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64"/>
          <w:szCs w:val="64"/>
        </w:rPr>
        <w:t xml:space="preserve">MAINTENANCE PORTAL</w:t>
      </w:r>
    </w:p>
    <w:p>
      <w:pPr>
        <w:spacing w:after="100" w:before="200"/>
        <w:jc w:val="center"/>
      </w:pPr>
      <w:r>
        <w:rPr>
          <w:color w:val="595959"/>
          <w:sz w:val="32"/>
          <w:szCs w:val="32"/>
        </w:rPr>
        <w:t xml:space="preserve">Business Plan &amp; Investment Overview</w:t>
      </w:r>
    </w:p>
    <w:p>
      <w:pPr>
        <w:spacing w:after="100" w:before="100"/>
        <w:jc w:val="center"/>
      </w:pPr>
      <w:r>
        <w:rPr>
          <w:i/>
          <w:iCs/>
          <w:color w:val="595959"/>
          <w:sz w:val="26"/>
          <w:szCs w:val="26"/>
        </w:rPr>
        <w:t xml:space="preserve">A Residential Maintenance Marketplace for Saudi Arabia</w:t>
      </w:r>
    </w:p>
    <w:p>
      <w:pPr>
        <w:spacing w:before="1600"/>
      </w:pPr>
    </w:p>
    <w:p>
      <w:pPr>
        <w:jc w:val="center"/>
      </w:pPr>
      <w:r>
        <w:rPr>
          <w:color w:val="1F3864"/>
          <w:sz w:val="22"/>
          <w:szCs w:val="22"/>
        </w:rPr>
        <w:t xml:space="preserve">Electrical  •  Plumbing  •  HVAC  •  Civil Finishes</w:t>
      </w:r>
    </w:p>
    <w:p>
      <w:pPr>
        <w:spacing w:before="60"/>
        <w:jc w:val="center"/>
      </w:pPr>
      <w:r>
        <w:rPr>
          <w:color w:val="595959"/>
          <w:sz w:val="20"/>
          <w:szCs w:val="20"/>
        </w:rPr>
        <w:t xml:space="preserve">Jeddah  ·  Riyadh  ·  Dammam  →  Madinah  ·  Taif  ·  Khobar  ·  Jubail</w:t>
      </w:r>
    </w:p>
    <w:p>
      <w:pPr>
        <w:spacing w:before="2400"/>
      </w:pPr>
    </w:p>
    <w:p>
      <w:pPr>
        <w:jc w:val="center"/>
      </w:pPr>
      <w:r>
        <w:rPr>
          <w:sz w:val="20"/>
          <w:szCs w:val="20"/>
        </w:rPr>
        <w:t xml:space="preserve">Prepared for review by banking and business partners</w:t>
      </w:r>
    </w:p>
    <w:p>
      <w:pPr>
        <w:spacing w:before="60"/>
        <w:jc w:val="center"/>
      </w:pPr>
      <w:r>
        <w:rPr>
          <w:color w:val="595959"/>
          <w:sz w:val="20"/>
          <w:szCs w:val="20"/>
        </w:rPr>
        <w:t xml:space="preserve">August 2026</w:t>
      </w:r>
    </w:p>
    <w:p>
      <w:pPr>
        <w:spacing w:before="900"/>
        <w:jc w:val="center"/>
      </w:pPr>
      <w:r>
        <w:rPr>
          <w:i/>
          <w:iCs/>
          <w:color w:val="595959"/>
          <w:sz w:val="16"/>
          <w:szCs w:val="16"/>
        </w:rPr>
        <w:t xml:space="preserve">CONFIDENTIAL — Prepared for discussion purposes. All figures are planning-grade estimates pending vendor quotes, legal confirmation, and licensed accounting review; see Section 6 and Section 9.</w:t>
      </w:r>
    </w:p>
    <w:p>
      <w:r>
        <w:br w:type="page"/>
      </w:r>
    </w:p>
    <w:p>
      <w:pPr>
        <w:pStyle w:val="Heading1"/>
        <w:spacing w:after="20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00" w:before="400"/>
      </w:pPr>
      <w:r>
        <w:t xml:space="preserve">1. Executive Summary</w:t>
      </w:r>
    </w:p>
    <w:p>
      <w:pPr>
        <w:pStyle w:val="Heading2"/>
        <w:spacing w:after="120" w:before="260"/>
      </w:pPr>
      <w:r>
        <w:t xml:space="preserve">The idea, in one paragraph</w:t>
      </w:r>
    </w:p>
    <w:p>
      <w:pPr>
        <w:spacing w:after="160"/>
        <w:jc w:val="left"/>
      </w:pPr>
      <w:r>
        <w:t xml:space="preserve">Maintenance Portal is a booking and dispatch platform — an app first, with a website as a backup channel — that lets homeowners and tenants in Saudi Arabia request electrical, plumbing, HVAC, and minor civil finishing work (paint, tiling) with a few taps, and get a vetted technician from an existing, already-staffed maintenance contractor at their door, with an upfront price estimate, a tracked job, and a guarantee. We do not hire technicians ourselves. We partner with maintenance companies that already have technicians stationed in Jeddah, Riyadh, and Dammam, and route work to them. We earn a commission on every completed job plus a small booking fee, and later, a subscription for recurring maintenance.</w:t>
      </w:r>
    </w:p>
    <w:p>
      <w:pPr>
        <w:pStyle w:val="Heading2"/>
        <w:spacing w:after="120" w:before="260"/>
      </w:pPr>
      <w:r>
        <w:t xml:space="preserve">Why this, why now</w:t>
      </w:r>
    </w:p>
    <w:p>
      <w:pPr>
        <w:pStyle w:val="ListParagraph"/>
        <w:numPr>
          <w:ilvl w:val="0"/>
          <w:numId w:val="2"/>
        </w:numPr>
        <w:spacing w:after="80"/>
      </w:pPr>
      <w:r>
        <w:t xml:space="preserve">Saudi Arabia’s residential market is large and growing: Riyadh’s metro area is home to roughly 8 million people, Jeddah roughly 4.7 million, and the Dammam–Khobar–Dhahran conurbation roughly 1.4 million — a combined addressable population north of 14 million in the first three cities alone.</w:t>
      </w:r>
    </w:p>
    <w:p>
      <w:pPr>
        <w:pStyle w:val="ListParagraph"/>
        <w:numPr>
          <w:ilvl w:val="0"/>
          <w:numId w:val="2"/>
        </w:numPr>
        <w:spacing w:after="80"/>
      </w:pPr>
      <w:r>
        <w:t xml:space="preserve">Vision 2030’s housing programs have driven a construction and homeownership boom, growing the base of owner-occupied homes that will need ongoing maintenance for decades.</w:t>
      </w:r>
    </w:p>
    <w:p>
      <w:pPr>
        <w:pStyle w:val="ListParagraph"/>
        <w:numPr>
          <w:ilvl w:val="0"/>
          <w:numId w:val="2"/>
        </w:numPr>
        <w:spacing w:after="80"/>
      </w:pPr>
      <w:r>
        <w:t xml:space="preserve">The market is not empty — apps like MAHA, HomeXA, Fix Riyadh Now, Ajeer, and Noon’s home-services vertical already operate here (Section 3) — but it is fragmented and inconsistent. No single player has dominant, trusted, multi-city coverage across electrical + plumbing + HVAC + civil finishes with real SLA guarantees. That fragmentation is the opening.</w:t>
      </w:r>
    </w:p>
    <w:p>
      <w:pPr>
        <w:pStyle w:val="ListParagraph"/>
        <w:numPr>
          <w:ilvl w:val="0"/>
          <w:numId w:val="2"/>
        </w:numPr>
        <w:spacing w:after="80"/>
      </w:pPr>
      <w:r>
        <w:t xml:space="preserve">The “partner, don’t hire” model is right for a first mover: near-zero technician payroll, no vehicle fleet, no tool inventory, and a launch measured in months, not years — provided partner agreements and quality controls are done properly.</w:t>
      </w:r>
    </w:p>
    <w:p>
      <w:pPr>
        <w:pStyle w:val="Heading2"/>
        <w:spacing w:after="120" w:before="260"/>
      </w:pPr>
      <w:r>
        <w:t xml:space="preserve">What makes this different</w:t>
      </w:r>
    </w:p>
    <w:p>
      <w:pPr>
        <w:pStyle w:val="ListParagraph"/>
        <w:numPr>
          <w:ilvl w:val="0"/>
          <w:numId w:val="2"/>
        </w:numPr>
        <w:spacing w:after="80"/>
      </w:pPr>
      <w:r>
        <w:t xml:space="preserve">We don’t compete with contractors, we plug into them — they bring the labor and licenses, we bring the customers and the booking/dispatch/payment layer.</w:t>
      </w:r>
    </w:p>
    <w:p>
      <w:pPr>
        <w:pStyle w:val="ListParagraph"/>
        <w:numPr>
          <w:ilvl w:val="0"/>
          <w:numId w:val="2"/>
        </w:numPr>
        <w:spacing w:after="80"/>
      </w:pPr>
      <w:r>
        <w:t xml:space="preserve">One app, every trade — most competitors specialize; a resident with a leaking pipe today and a broken AC next month should not need four different apps.</w:t>
      </w:r>
    </w:p>
    <w:p>
      <w:pPr>
        <w:pStyle w:val="ListParagraph"/>
        <w:numPr>
          <w:ilvl w:val="0"/>
          <w:numId w:val="2"/>
        </w:numPr>
        <w:spacing w:after="80"/>
      </w:pPr>
      <w:r>
        <w:t xml:space="preserve">A real SLA, not just a phone call — response-time and quality guarantees backed by a contractor holdback mechanism and a customer refund policy (Section 8).</w:t>
      </w:r>
    </w:p>
    <w:p>
      <w:pPr>
        <w:pStyle w:val="Heading2"/>
        <w:spacing w:after="120" w:before="260"/>
      </w:pPr>
      <w:r>
        <w:t xml:space="preserve">What this requires, honestly</w:t>
      </w:r>
    </w:p>
    <w:p>
      <w:pPr>
        <w:pStyle w:val="ListParagraph"/>
        <w:numPr>
          <w:ilvl w:val="0"/>
          <w:numId w:val="2"/>
        </w:numPr>
        <w:spacing w:after="80"/>
      </w:pPr>
      <w:r>
        <w:rPr>
          <w:b/>
          <w:bCs/>
        </w:rPr>
        <w:t xml:space="preserve">Capital: </w:t>
      </w:r>
      <w:r>
        <w:t xml:space="preserve">a two-stage approach — a lean validation stage costing SAR 80,000–120,000 to prove real demand, followed by a full 3-city buildout (app, team, launch, and runway to break-even) costing SAR 900,000–1,300,000 (~USD 240,000–347,000), committed only once Stage 0 shows real signal.</w:t>
      </w:r>
    </w:p>
    <w:p>
      <w:pPr>
        <w:pStyle w:val="ListParagraph"/>
        <w:numPr>
          <w:ilvl w:val="0"/>
          <w:numId w:val="2"/>
        </w:numPr>
        <w:spacing w:after="80"/>
      </w:pPr>
      <w:r>
        <w:rPr>
          <w:b/>
          <w:bCs/>
        </w:rPr>
        <w:t xml:space="preserve">Licensing: </w:t>
      </w:r>
      <w:r>
        <w:t xml:space="preserve">a Commercial Registration for a marketplace activity, Maroof e-commerce verification, a SAMA-regulated payment gateway, and confirmation that every contractor partner independently holds valid municipal, Civil Defense, and trade licensing. We believe we do not need our own contracting license since we never perform the trade work ourselves — but this must be confirmed in writing by a Saudi corporate lawyer before launch (Section 4).</w:t>
      </w:r>
    </w:p>
    <w:p>
      <w:pPr>
        <w:pStyle w:val="ListParagraph"/>
        <w:numPr>
          <w:ilvl w:val="0"/>
          <w:numId w:val="2"/>
        </w:numPr>
        <w:spacing w:after="80"/>
      </w:pPr>
      <w:r>
        <w:rPr>
          <w:b/>
          <w:bCs/>
        </w:rPr>
        <w:t xml:space="preserve">A lean start: </w:t>
      </w:r>
      <w:r>
        <w:t xml:space="preserve">prove demand and contractor reliability with a lightweight booking flow (a simple site + WhatsApp Business + a small human dispatch team) for 2–3 months before committing the bulk of the technology budget to a polished native app (Section 9).</w:t>
      </w:r>
    </w:p>
    <w:p>
      <w:pPr>
        <w:pStyle w:val="Heading2"/>
        <w:spacing w:after="120" w:before="260"/>
      </w:pPr>
      <w:r>
        <w:t xml:space="preserve">The 12-month goal</w:t>
      </w:r>
    </w:p>
    <w:p>
      <w:pPr>
        <w:spacing w:after="160"/>
        <w:jc w:val="left"/>
      </w:pPr>
      <w:r>
        <w:t xml:space="preserve">Launch in Jeddah first, prove the model with 8–12 contractor partners and a few hundred completed jobs, then expand to Riyadh and Dammam once the SLA and partner-payment mechanics are proven. Monthly operating break-even at the 3-city level is modeled at roughly month 10–12, with full payback of the initial capital around month 18–24 (Section 6).</w:t>
      </w:r>
    </w:p>
    <w:p>
      <w:pPr>
        <w:pStyle w:val="Heading1"/>
        <w:pageBreakBefore/>
        <w:spacing w:after="200" w:before="400"/>
      </w:pPr>
      <w:r>
        <w:t xml:space="preserve">2. Business Model</w:t>
      </w:r>
    </w:p>
    <w:p>
      <w:pPr>
        <w:pStyle w:val="Heading2"/>
        <w:spacing w:after="120" w:before="260"/>
      </w:pPr>
      <w:r>
        <w:t xml:space="preserve">The simplest possible explanation</w:t>
      </w:r>
    </w:p>
    <w:p>
      <w:pPr>
        <w:spacing w:after="160"/>
        <w:jc w:val="left"/>
      </w:pPr>
      <w:r>
        <w:t xml:space="preserve">Think of Maintenance Portal as the “Careem/Uber for home repairs,” except instead of independent drivers, our “drivers” are technicians employed by partner maintenance companies who already work in these cities. We are the matchmaker, the booking system, the payment processor, and the quality/complaints referee. The partner company is the employer, the licensed trade business, and the owner of the tools, the van, and the technician’s payroll.</w:t>
      </w:r>
    </w:p>
    <w:p>
      <w:pPr>
        <w:spacing w:after="160"/>
        <w:jc w:val="left"/>
      </w:pPr>
      <w:r>
        <w:t xml:space="preserve">This makes us asset-light (no technicians, vans, or tool inventory on our books), focused on selling trust and convenience, and operationally centered on partner management — recruiting good contractors, training them to our standards, and being willing to drop the bad ones.</w:t>
      </w:r>
    </w:p>
    <w:p>
      <w:pPr>
        <w:pStyle w:val="Heading2"/>
        <w:spacing w:after="120" w:before="260"/>
      </w:pPr>
      <w:r>
        <w:t xml:space="preserve">Business Model Canvas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80"/>
              <w:left w:type="dxa" w:w="100"/>
              <w:bottom w:type="dxa" w:w="80"/>
              <w:right w:type="dxa" w:w="100"/>
            </w:tcMar>
            <w:vAlign w:val="center"/>
          </w:tcPr>
          <w:p>
            <w:r>
              <w:rPr>
                <w:b/>
                <w:bCs/>
                <w:color w:val="FFFFFF"/>
                <w:sz w:val="20"/>
                <w:szCs w:val="20"/>
              </w:rPr>
              <w:t xml:space="preserve">Block</w:t>
            </w:r>
          </w:p>
        </w:tc>
        <w:tc>
          <w:tcPr>
            <w:tcW w:type="dxa" w:w="7301"/>
            <w:shd w:fill="1F3864" w:color="auto" w:val="clear"/>
            <w:tcMar>
              <w:top w:type="dxa" w:w="80"/>
              <w:left w:type="dxa" w:w="100"/>
              <w:bottom w:type="dxa" w:w="80"/>
              <w:right w:type="dxa" w:w="100"/>
            </w:tcMar>
            <w:vAlign w:val="center"/>
          </w:tcPr>
          <w:p>
            <w:r>
              <w:rPr>
                <w:b/>
                <w:bCs/>
                <w:color w:val="FFFFFF"/>
                <w:sz w:val="20"/>
                <w:szCs w:val="20"/>
              </w:rPr>
              <w:t xml:space="preserve">Details</w:t>
            </w:r>
          </w:p>
        </w:tc>
      </w:tr>
      <w:tr>
        <w:tc>
          <w:tcPr>
            <w:tcW w:type="dxa" w:w="2059"/>
            <w:shd w:fill="FFFFFF" w:color="auto" w:val="clear"/>
            <w:tcMar>
              <w:top w:type="dxa" w:w="60"/>
              <w:left w:type="dxa" w:w="100"/>
              <w:bottom w:type="dxa" w:w="60"/>
              <w:right w:type="dxa" w:w="100"/>
            </w:tcMar>
            <w:vAlign w:val="center"/>
          </w:tcPr>
          <w:p>
            <w:r>
              <w:rPr>
                <w:sz w:val="19"/>
                <w:szCs w:val="19"/>
              </w:rPr>
              <w:t xml:space="preserve">Customer Segments</w:t>
            </w:r>
          </w:p>
        </w:tc>
        <w:tc>
          <w:tcPr>
            <w:tcW w:type="dxa" w:w="7301"/>
            <w:shd w:fill="FFFFFF" w:color="auto" w:val="clear"/>
            <w:tcMar>
              <w:top w:type="dxa" w:w="60"/>
              <w:left w:type="dxa" w:w="100"/>
              <w:bottom w:type="dxa" w:w="60"/>
              <w:right w:type="dxa" w:w="100"/>
            </w:tcMar>
            <w:vAlign w:val="center"/>
          </w:tcPr>
          <w:p>
            <w:r>
              <w:rPr>
                <w:sz w:val="19"/>
                <w:szCs w:val="19"/>
              </w:rPr>
              <w:t xml:space="preserve">Phase 1: residential homeowners/tenants in Jeddah, Riyadh, Dammam. Phase 2: Madinah, Taif, Khobar, Jubail. Phase 3 (future): corporate/facility clients.</w:t>
            </w:r>
          </w:p>
        </w:tc>
      </w:tr>
      <w:tr>
        <w:tc>
          <w:tcPr>
            <w:tcW w:type="dxa" w:w="2059"/>
            <w:shd w:fill="DCE6F1" w:color="auto" w:val="clear"/>
            <w:tcMar>
              <w:top w:type="dxa" w:w="60"/>
              <w:left w:type="dxa" w:w="100"/>
              <w:bottom w:type="dxa" w:w="60"/>
              <w:right w:type="dxa" w:w="100"/>
            </w:tcMar>
            <w:vAlign w:val="center"/>
          </w:tcPr>
          <w:p>
            <w:r>
              <w:rPr>
                <w:sz w:val="19"/>
                <w:szCs w:val="19"/>
              </w:rPr>
              <w:t xml:space="preserve">Value Propositions</w:t>
            </w:r>
          </w:p>
        </w:tc>
        <w:tc>
          <w:tcPr>
            <w:tcW w:type="dxa" w:w="7301"/>
            <w:shd w:fill="DCE6F1" w:color="auto" w:val="clear"/>
            <w:tcMar>
              <w:top w:type="dxa" w:w="60"/>
              <w:left w:type="dxa" w:w="100"/>
              <w:bottom w:type="dxa" w:w="60"/>
              <w:right w:type="dxa" w:w="100"/>
            </w:tcMar>
            <w:vAlign w:val="center"/>
          </w:tcPr>
          <w:p>
            <w:r>
              <w:rPr>
                <w:sz w:val="19"/>
                <w:szCs w:val="19"/>
              </w:rPr>
              <w:t xml:space="preserve">Customers: one app for all trades, upfront pricing, vetted technicians, tracked jobs, guarantee, bilingual support. Contractors: steady new customers, faster payment collection, free scheduling tools.</w:t>
            </w:r>
          </w:p>
        </w:tc>
      </w:tr>
      <w:tr>
        <w:tc>
          <w:tcPr>
            <w:tcW w:type="dxa" w:w="2059"/>
            <w:shd w:fill="FFFFFF" w:color="auto" w:val="clear"/>
            <w:tcMar>
              <w:top w:type="dxa" w:w="60"/>
              <w:left w:type="dxa" w:w="100"/>
              <w:bottom w:type="dxa" w:w="60"/>
              <w:right w:type="dxa" w:w="100"/>
            </w:tcMar>
            <w:vAlign w:val="center"/>
          </w:tcPr>
          <w:p>
            <w:r>
              <w:rPr>
                <w:sz w:val="19"/>
                <w:szCs w:val="19"/>
              </w:rPr>
              <w:t xml:space="preserve">Channels</w:t>
            </w:r>
          </w:p>
        </w:tc>
        <w:tc>
          <w:tcPr>
            <w:tcW w:type="dxa" w:w="7301"/>
            <w:shd w:fill="FFFFFF" w:color="auto" w:val="clear"/>
            <w:tcMar>
              <w:top w:type="dxa" w:w="60"/>
              <w:left w:type="dxa" w:w="100"/>
              <w:bottom w:type="dxa" w:w="60"/>
              <w:right w:type="dxa" w:w="100"/>
            </w:tcMar>
            <w:vAlign w:val="center"/>
          </w:tcPr>
          <w:p>
            <w:r>
              <w:rPr>
                <w:sz w:val="19"/>
                <w:szCs w:val="19"/>
              </w:rPr>
              <w:t xml:space="preserve">Mobile app (iOS + Android) primary; website + WhatsApp Business as backup/pre-launch channels; social media and app-store presence for acquisition.</w:t>
            </w:r>
          </w:p>
        </w:tc>
      </w:tr>
      <w:tr>
        <w:tc>
          <w:tcPr>
            <w:tcW w:type="dxa" w:w="2059"/>
            <w:shd w:fill="DCE6F1" w:color="auto" w:val="clear"/>
            <w:tcMar>
              <w:top w:type="dxa" w:w="60"/>
              <w:left w:type="dxa" w:w="100"/>
              <w:bottom w:type="dxa" w:w="60"/>
              <w:right w:type="dxa" w:w="100"/>
            </w:tcMar>
            <w:vAlign w:val="center"/>
          </w:tcPr>
          <w:p>
            <w:r>
              <w:rPr>
                <w:sz w:val="19"/>
                <w:szCs w:val="19"/>
              </w:rPr>
              <w:t xml:space="preserve">Customer Relationships</w:t>
            </w:r>
          </w:p>
        </w:tc>
        <w:tc>
          <w:tcPr>
            <w:tcW w:type="dxa" w:w="7301"/>
            <w:shd w:fill="DCE6F1" w:color="auto" w:val="clear"/>
            <w:tcMar>
              <w:top w:type="dxa" w:w="60"/>
              <w:left w:type="dxa" w:w="100"/>
              <w:bottom w:type="dxa" w:w="60"/>
              <w:right w:type="dxa" w:w="100"/>
            </w:tcMar>
            <w:vAlign w:val="center"/>
          </w:tcPr>
          <w:p>
            <w:r>
              <w:rPr>
                <w:sz w:val="19"/>
                <w:szCs w:val="19"/>
              </w:rPr>
              <w:t xml:space="preserve">Self-service booking with human-backed support, automated job-status updates, post-job ratings, loyalty via subscription plans.</w:t>
            </w:r>
          </w:p>
        </w:tc>
      </w:tr>
      <w:tr>
        <w:tc>
          <w:tcPr>
            <w:tcW w:type="dxa" w:w="2059"/>
            <w:shd w:fill="FFFFFF" w:color="auto" w:val="clear"/>
            <w:tcMar>
              <w:top w:type="dxa" w:w="60"/>
              <w:left w:type="dxa" w:w="100"/>
              <w:bottom w:type="dxa" w:w="60"/>
              <w:right w:type="dxa" w:w="100"/>
            </w:tcMar>
            <w:vAlign w:val="center"/>
          </w:tcPr>
          <w:p>
            <w:r>
              <w:rPr>
                <w:sz w:val="19"/>
                <w:szCs w:val="19"/>
              </w:rPr>
              <w:t xml:space="preserve">Revenue Streams</w:t>
            </w:r>
          </w:p>
        </w:tc>
        <w:tc>
          <w:tcPr>
            <w:tcW w:type="dxa" w:w="7301"/>
            <w:shd w:fill="FFFFFF" w:color="auto" w:val="clear"/>
            <w:tcMar>
              <w:top w:type="dxa" w:w="60"/>
              <w:left w:type="dxa" w:w="100"/>
              <w:bottom w:type="dxa" w:w="60"/>
              <w:right w:type="dxa" w:w="100"/>
            </w:tcMar>
            <w:vAlign w:val="center"/>
          </w:tcPr>
          <w:p>
            <w:r>
              <w:rPr>
                <w:sz w:val="19"/>
                <w:szCs w:val="19"/>
              </w:rPr>
              <w:t xml:space="preserve">Commission per job, fixed booking fee, recurring maintenance subscriptions, later: contractor featured-placement fees.</w:t>
            </w:r>
          </w:p>
        </w:tc>
      </w:tr>
      <w:tr>
        <w:tc>
          <w:tcPr>
            <w:tcW w:type="dxa" w:w="2059"/>
            <w:shd w:fill="DCE6F1" w:color="auto" w:val="clear"/>
            <w:tcMar>
              <w:top w:type="dxa" w:w="60"/>
              <w:left w:type="dxa" w:w="100"/>
              <w:bottom w:type="dxa" w:w="60"/>
              <w:right w:type="dxa" w:w="100"/>
            </w:tcMar>
            <w:vAlign w:val="center"/>
          </w:tcPr>
          <w:p>
            <w:r>
              <w:rPr>
                <w:sz w:val="19"/>
                <w:szCs w:val="19"/>
              </w:rPr>
              <w:t xml:space="preserve">Key Resources</w:t>
            </w:r>
          </w:p>
        </w:tc>
        <w:tc>
          <w:tcPr>
            <w:tcW w:type="dxa" w:w="7301"/>
            <w:shd w:fill="DCE6F1" w:color="auto" w:val="clear"/>
            <w:tcMar>
              <w:top w:type="dxa" w:w="60"/>
              <w:left w:type="dxa" w:w="100"/>
              <w:bottom w:type="dxa" w:w="60"/>
              <w:right w:type="dxa" w:w="100"/>
            </w:tcMar>
            <w:vAlign w:val="center"/>
          </w:tcPr>
          <w:p>
            <w:r>
              <w:rPr>
                <w:sz w:val="19"/>
                <w:szCs w:val="19"/>
              </w:rPr>
              <w:t xml:space="preserve">The platform itself, the contractor network, brand trust, the operations/dispatch team, working capital.</w:t>
            </w:r>
          </w:p>
        </w:tc>
      </w:tr>
      <w:tr>
        <w:tc>
          <w:tcPr>
            <w:tcW w:type="dxa" w:w="2059"/>
            <w:shd w:fill="FFFFFF" w:color="auto" w:val="clear"/>
            <w:tcMar>
              <w:top w:type="dxa" w:w="60"/>
              <w:left w:type="dxa" w:w="100"/>
              <w:bottom w:type="dxa" w:w="60"/>
              <w:right w:type="dxa" w:w="100"/>
            </w:tcMar>
            <w:vAlign w:val="center"/>
          </w:tcPr>
          <w:p>
            <w:r>
              <w:rPr>
                <w:sz w:val="19"/>
                <w:szCs w:val="19"/>
              </w:rPr>
              <w:t xml:space="preserve">Key Activities</w:t>
            </w:r>
          </w:p>
        </w:tc>
        <w:tc>
          <w:tcPr>
            <w:tcW w:type="dxa" w:w="7301"/>
            <w:shd w:fill="FFFFFF" w:color="auto" w:val="clear"/>
            <w:tcMar>
              <w:top w:type="dxa" w:w="60"/>
              <w:left w:type="dxa" w:w="100"/>
              <w:bottom w:type="dxa" w:w="60"/>
              <w:right w:type="dxa" w:w="100"/>
            </w:tcMar>
            <w:vAlign w:val="center"/>
          </w:tcPr>
          <w:p>
            <w:r>
              <w:rPr>
                <w:sz w:val="19"/>
                <w:szCs w:val="19"/>
              </w:rPr>
              <w:t xml:space="preserve">Contractor recruitment &amp; vetting, technology development, marketing, dispatch/operations, quality control &amp; disputes, finance.</w:t>
            </w:r>
          </w:p>
        </w:tc>
      </w:tr>
      <w:tr>
        <w:tc>
          <w:tcPr>
            <w:tcW w:type="dxa" w:w="2059"/>
            <w:shd w:fill="DCE6F1" w:color="auto" w:val="clear"/>
            <w:tcMar>
              <w:top w:type="dxa" w:w="60"/>
              <w:left w:type="dxa" w:w="100"/>
              <w:bottom w:type="dxa" w:w="60"/>
              <w:right w:type="dxa" w:w="100"/>
            </w:tcMar>
            <w:vAlign w:val="center"/>
          </w:tcPr>
          <w:p>
            <w:r>
              <w:rPr>
                <w:sz w:val="19"/>
                <w:szCs w:val="19"/>
              </w:rPr>
              <w:t xml:space="preserve">Key Partnerships</w:t>
            </w:r>
          </w:p>
        </w:tc>
        <w:tc>
          <w:tcPr>
            <w:tcW w:type="dxa" w:w="7301"/>
            <w:shd w:fill="DCE6F1" w:color="auto" w:val="clear"/>
            <w:tcMar>
              <w:top w:type="dxa" w:w="60"/>
              <w:left w:type="dxa" w:w="100"/>
              <w:bottom w:type="dxa" w:w="60"/>
              <w:right w:type="dxa" w:w="100"/>
            </w:tcMar>
            <w:vAlign w:val="center"/>
          </w:tcPr>
          <w:p>
            <w:r>
              <w:rPr>
                <w:sz w:val="19"/>
                <w:szCs w:val="19"/>
              </w:rPr>
              <w:t xml:space="preserve">Maintenance contractor companies, a SAMA-licensed payment gateway, an app development partner, an insurance broker, government SME programs (Monsha’at, Kafalah).</w:t>
            </w:r>
          </w:p>
        </w:tc>
      </w:tr>
      <w:tr>
        <w:tc>
          <w:tcPr>
            <w:tcW w:type="dxa" w:w="2059"/>
            <w:shd w:fill="FFFFFF" w:color="auto" w:val="clear"/>
            <w:tcMar>
              <w:top w:type="dxa" w:w="60"/>
              <w:left w:type="dxa" w:w="100"/>
              <w:bottom w:type="dxa" w:w="60"/>
              <w:right w:type="dxa" w:w="100"/>
            </w:tcMar>
            <w:vAlign w:val="center"/>
          </w:tcPr>
          <w:p>
            <w:r>
              <w:rPr>
                <w:sz w:val="19"/>
                <w:szCs w:val="19"/>
              </w:rPr>
              <w:t xml:space="preserve">Cost Structure</w:t>
            </w:r>
          </w:p>
        </w:tc>
        <w:tc>
          <w:tcPr>
            <w:tcW w:type="dxa" w:w="7301"/>
            <w:shd w:fill="FFFFFF" w:color="auto" w:val="clear"/>
            <w:tcMar>
              <w:top w:type="dxa" w:w="60"/>
              <w:left w:type="dxa" w:w="100"/>
              <w:bottom w:type="dxa" w:w="60"/>
              <w:right w:type="dxa" w:w="100"/>
            </w:tcMar>
            <w:vAlign w:val="center"/>
          </w:tcPr>
          <w:p>
            <w:r>
              <w:rPr>
                <w:sz w:val="19"/>
                <w:szCs w:val="19"/>
              </w:rPr>
              <w:t xml:space="preserve">Technology, salaries, marketing spend, payment gateway fees, insurance, office/admin overhead. Contractor payouts are a pass-through, not a P&amp;L cost.</w:t>
            </w:r>
          </w:p>
        </w:tc>
      </w:tr>
    </w:tbl>
    <w:p>
      <w:pPr>
        <w:pStyle w:val="Heading2"/>
        <w:spacing w:after="120" w:before="260"/>
      </w:pPr>
      <w:r>
        <w:t xml:space="preserve">Who does what — division of labor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31"/>
        <w:gridCol w:w="2265"/>
        <w:gridCol w:w="2265"/>
      </w:tblGrid>
      <w:tr>
        <w:trPr>
          <w:tblHeader/>
        </w:trPr>
        <w:tc>
          <w:tcPr>
            <w:tcW w:type="dxa" w:w="4831"/>
            <w:shd w:fill="1F3864" w:color="auto" w:val="clear"/>
            <w:tcMar>
              <w:top w:type="dxa" w:w="80"/>
              <w:left w:type="dxa" w:w="100"/>
              <w:bottom w:type="dxa" w:w="80"/>
              <w:right w:type="dxa" w:w="100"/>
            </w:tcMar>
            <w:vAlign w:val="center"/>
          </w:tcPr>
          <w:p>
            <w:r>
              <w:rPr>
                <w:b/>
                <w:bCs/>
                <w:color w:val="FFFFFF"/>
                <w:sz w:val="20"/>
                <w:szCs w:val="20"/>
              </w:rPr>
              <w:t xml:space="preserve">Responsibility</w:t>
            </w:r>
          </w:p>
        </w:tc>
        <w:tc>
          <w:tcPr>
            <w:tcW w:type="dxa" w:w="2265"/>
            <w:shd w:fill="1F3864" w:color="auto" w:val="clear"/>
            <w:tcMar>
              <w:top w:type="dxa" w:w="80"/>
              <w:left w:type="dxa" w:w="100"/>
              <w:bottom w:type="dxa" w:w="80"/>
              <w:right w:type="dxa" w:w="100"/>
            </w:tcMar>
            <w:vAlign w:val="center"/>
          </w:tcPr>
          <w:p>
            <w:r>
              <w:rPr>
                <w:b/>
                <w:bCs/>
                <w:color w:val="FFFFFF"/>
                <w:sz w:val="20"/>
                <w:szCs w:val="20"/>
              </w:rPr>
              <w:t xml:space="preserve">Us</w:t>
            </w:r>
          </w:p>
        </w:tc>
        <w:tc>
          <w:tcPr>
            <w:tcW w:type="dxa" w:w="2265"/>
            <w:shd w:fill="1F3864" w:color="auto" w:val="clear"/>
            <w:tcMar>
              <w:top w:type="dxa" w:w="80"/>
              <w:left w:type="dxa" w:w="100"/>
              <w:bottom w:type="dxa" w:w="80"/>
              <w:right w:type="dxa" w:w="100"/>
            </w:tcMar>
            <w:vAlign w:val="center"/>
          </w:tcPr>
          <w:p>
            <w:r>
              <w:rPr>
                <w:b/>
                <w:bCs/>
                <w:color w:val="FFFFFF"/>
                <w:sz w:val="20"/>
                <w:szCs w:val="20"/>
              </w:rPr>
              <w:t xml:space="preserve">Contractor Partner</w:t>
            </w:r>
          </w:p>
        </w:tc>
      </w:tr>
      <w:tr>
        <w:tc>
          <w:tcPr>
            <w:tcW w:type="dxa" w:w="4831"/>
            <w:shd w:fill="FFFFFF" w:color="auto" w:val="clear"/>
            <w:tcMar>
              <w:top w:type="dxa" w:w="60"/>
              <w:left w:type="dxa" w:w="100"/>
              <w:bottom w:type="dxa" w:w="60"/>
              <w:right w:type="dxa" w:w="100"/>
            </w:tcMar>
            <w:vAlign w:val="center"/>
          </w:tcPr>
          <w:p>
            <w:r>
              <w:rPr>
                <w:sz w:val="19"/>
                <w:szCs w:val="19"/>
              </w:rPr>
              <w:t xml:space="preserve">Owns the customer relationship &amp; app</w:t>
            </w:r>
          </w:p>
        </w:tc>
        <w:tc>
          <w:tcPr>
            <w:tcW w:type="dxa" w:w="2265"/>
            <w:shd w:fill="FFFFFF" w:color="auto" w:val="clear"/>
            <w:tcMar>
              <w:top w:type="dxa" w:w="60"/>
              <w:left w:type="dxa" w:w="100"/>
              <w:bottom w:type="dxa" w:w="60"/>
              <w:right w:type="dxa" w:w="100"/>
            </w:tcMar>
            <w:vAlign w:val="center"/>
          </w:tcPr>
          <w:p>
            <w:r>
              <w:rPr>
                <w:sz w:val="19"/>
                <w:szCs w:val="19"/>
              </w:rPr>
              <w:t xml:space="preserve">Yes</w:t>
            </w:r>
          </w:p>
        </w:tc>
        <w:tc>
          <w:tcPr>
            <w:tcW w:type="dxa" w:w="2265"/>
            <w:shd w:fill="FFFFFF" w:color="auto" w:val="clear"/>
            <w:tcMar>
              <w:top w:type="dxa" w:w="60"/>
              <w:left w:type="dxa" w:w="100"/>
              <w:bottom w:type="dxa" w:w="60"/>
              <w:right w:type="dxa" w:w="100"/>
            </w:tcMar>
            <w:vAlign w:val="center"/>
          </w:tcPr>
          <w:p>
            <w:r>
              <w:rPr>
                <w:sz w:val="19"/>
                <w:szCs w:val="19"/>
              </w:rPr>
              <w:t xml:space="preserve">No</w:t>
            </w:r>
          </w:p>
        </w:tc>
      </w:tr>
      <w:tr>
        <w:tc>
          <w:tcPr>
            <w:tcW w:type="dxa" w:w="4831"/>
            <w:shd w:fill="DCE6F1" w:color="auto" w:val="clear"/>
            <w:tcMar>
              <w:top w:type="dxa" w:w="60"/>
              <w:left w:type="dxa" w:w="100"/>
              <w:bottom w:type="dxa" w:w="60"/>
              <w:right w:type="dxa" w:w="100"/>
            </w:tcMar>
            <w:vAlign w:val="center"/>
          </w:tcPr>
          <w:p>
            <w:r>
              <w:rPr>
                <w:sz w:val="19"/>
                <w:szCs w:val="19"/>
              </w:rPr>
              <w:t xml:space="preserve">Employs the technician</w:t>
            </w:r>
          </w:p>
        </w:tc>
        <w:tc>
          <w:tcPr>
            <w:tcW w:type="dxa" w:w="2265"/>
            <w:shd w:fill="DCE6F1" w:color="auto" w:val="clear"/>
            <w:tcMar>
              <w:top w:type="dxa" w:w="60"/>
              <w:left w:type="dxa" w:w="100"/>
              <w:bottom w:type="dxa" w:w="60"/>
              <w:right w:type="dxa" w:w="100"/>
            </w:tcMar>
            <w:vAlign w:val="center"/>
          </w:tcPr>
          <w:p>
            <w:r>
              <w:rPr>
                <w:sz w:val="19"/>
                <w:szCs w:val="19"/>
              </w:rPr>
              <w:t xml:space="preserve">No</w:t>
            </w:r>
          </w:p>
        </w:tc>
        <w:tc>
          <w:tcPr>
            <w:tcW w:type="dxa" w:w="2265"/>
            <w:shd w:fill="DCE6F1" w:color="auto" w:val="clear"/>
            <w:tcMar>
              <w:top w:type="dxa" w:w="60"/>
              <w:left w:type="dxa" w:w="100"/>
              <w:bottom w:type="dxa" w:w="60"/>
              <w:right w:type="dxa" w:w="100"/>
            </w:tcMar>
            <w:vAlign w:val="center"/>
          </w:tcPr>
          <w:p>
            <w:r>
              <w:rPr>
                <w:sz w:val="19"/>
                <w:szCs w:val="19"/>
              </w:rPr>
              <w:t xml:space="preserve">Yes</w:t>
            </w:r>
          </w:p>
        </w:tc>
      </w:tr>
      <w:tr>
        <w:tc>
          <w:tcPr>
            <w:tcW w:type="dxa" w:w="4831"/>
            <w:shd w:fill="FFFFFF" w:color="auto" w:val="clear"/>
            <w:tcMar>
              <w:top w:type="dxa" w:w="60"/>
              <w:left w:type="dxa" w:w="100"/>
              <w:bottom w:type="dxa" w:w="60"/>
              <w:right w:type="dxa" w:w="100"/>
            </w:tcMar>
            <w:vAlign w:val="center"/>
          </w:tcPr>
          <w:p>
            <w:r>
              <w:rPr>
                <w:sz w:val="19"/>
                <w:szCs w:val="19"/>
              </w:rPr>
              <w:t xml:space="preserve">Holds the trade/municipal license</w:t>
            </w:r>
          </w:p>
        </w:tc>
        <w:tc>
          <w:tcPr>
            <w:tcW w:type="dxa" w:w="2265"/>
            <w:shd w:fill="FFFFFF" w:color="auto" w:val="clear"/>
            <w:tcMar>
              <w:top w:type="dxa" w:w="60"/>
              <w:left w:type="dxa" w:w="100"/>
              <w:bottom w:type="dxa" w:w="60"/>
              <w:right w:type="dxa" w:w="100"/>
            </w:tcMar>
            <w:vAlign w:val="center"/>
          </w:tcPr>
          <w:p>
            <w:r>
              <w:rPr>
                <w:sz w:val="19"/>
                <w:szCs w:val="19"/>
              </w:rPr>
              <w:t xml:space="preserve">No (to be confirmed with lawyer)</w:t>
            </w:r>
          </w:p>
        </w:tc>
        <w:tc>
          <w:tcPr>
            <w:tcW w:type="dxa" w:w="2265"/>
            <w:shd w:fill="FFFFFF" w:color="auto" w:val="clear"/>
            <w:tcMar>
              <w:top w:type="dxa" w:w="60"/>
              <w:left w:type="dxa" w:w="100"/>
              <w:bottom w:type="dxa" w:w="60"/>
              <w:right w:type="dxa" w:w="100"/>
            </w:tcMar>
            <w:vAlign w:val="center"/>
          </w:tcPr>
          <w:p>
            <w:r>
              <w:rPr>
                <w:sz w:val="19"/>
                <w:szCs w:val="19"/>
              </w:rPr>
              <w:t xml:space="preserve">Yes — mandatory</w:t>
            </w:r>
          </w:p>
        </w:tc>
      </w:tr>
      <w:tr>
        <w:tc>
          <w:tcPr>
            <w:tcW w:type="dxa" w:w="4831"/>
            <w:shd w:fill="DCE6F1" w:color="auto" w:val="clear"/>
            <w:tcMar>
              <w:top w:type="dxa" w:w="60"/>
              <w:left w:type="dxa" w:w="100"/>
              <w:bottom w:type="dxa" w:w="60"/>
              <w:right w:type="dxa" w:w="100"/>
            </w:tcMar>
            <w:vAlign w:val="center"/>
          </w:tcPr>
          <w:p>
            <w:r>
              <w:rPr>
                <w:sz w:val="19"/>
                <w:szCs w:val="19"/>
              </w:rPr>
              <w:t xml:space="preserve">Vets technician competence &amp; background</w:t>
            </w:r>
          </w:p>
        </w:tc>
        <w:tc>
          <w:tcPr>
            <w:tcW w:type="dxa" w:w="2265"/>
            <w:shd w:fill="DCE6F1" w:color="auto" w:val="clear"/>
            <w:tcMar>
              <w:top w:type="dxa" w:w="60"/>
              <w:left w:type="dxa" w:w="100"/>
              <w:bottom w:type="dxa" w:w="60"/>
              <w:right w:type="dxa" w:w="100"/>
            </w:tcMar>
            <w:vAlign w:val="center"/>
          </w:tcPr>
          <w:p>
            <w:r>
              <w:rPr>
                <w:sz w:val="19"/>
                <w:szCs w:val="19"/>
              </w:rPr>
              <w:t xml:space="preserve">Sets the bar</w:t>
            </w:r>
          </w:p>
        </w:tc>
        <w:tc>
          <w:tcPr>
            <w:tcW w:type="dxa" w:w="2265"/>
            <w:shd w:fill="DCE6F1" w:color="auto" w:val="clear"/>
            <w:tcMar>
              <w:top w:type="dxa" w:w="60"/>
              <w:left w:type="dxa" w:w="100"/>
              <w:bottom w:type="dxa" w:w="60"/>
              <w:right w:type="dxa" w:w="100"/>
            </w:tcMar>
            <w:vAlign w:val="center"/>
          </w:tcPr>
          <w:p>
            <w:r>
              <w:rPr>
                <w:sz w:val="19"/>
                <w:szCs w:val="19"/>
              </w:rPr>
              <w:t xml:space="preserve">Hires &amp; supervises</w:t>
            </w:r>
          </w:p>
        </w:tc>
      </w:tr>
      <w:tr>
        <w:tc>
          <w:tcPr>
            <w:tcW w:type="dxa" w:w="4831"/>
            <w:shd w:fill="FFFFFF" w:color="auto" w:val="clear"/>
            <w:tcMar>
              <w:top w:type="dxa" w:w="60"/>
              <w:left w:type="dxa" w:w="100"/>
              <w:bottom w:type="dxa" w:w="60"/>
              <w:right w:type="dxa" w:w="100"/>
            </w:tcMar>
            <w:vAlign w:val="center"/>
          </w:tcPr>
          <w:p>
            <w:r>
              <w:rPr>
                <w:sz w:val="19"/>
                <w:szCs w:val="19"/>
              </w:rPr>
              <w:t xml:space="preserve">Sets/approves customer pricing</w:t>
            </w:r>
          </w:p>
        </w:tc>
        <w:tc>
          <w:tcPr>
            <w:tcW w:type="dxa" w:w="2265"/>
            <w:shd w:fill="FFFFFF" w:color="auto" w:val="clear"/>
            <w:tcMar>
              <w:top w:type="dxa" w:w="60"/>
              <w:left w:type="dxa" w:w="100"/>
              <w:bottom w:type="dxa" w:w="60"/>
              <w:right w:type="dxa" w:w="100"/>
            </w:tcMar>
            <w:vAlign w:val="center"/>
          </w:tcPr>
          <w:p>
            <w:r>
              <w:rPr>
                <w:sz w:val="19"/>
                <w:szCs w:val="19"/>
              </w:rPr>
              <w:t xml:space="preserve">Standard price bands</w:t>
            </w:r>
          </w:p>
        </w:tc>
        <w:tc>
          <w:tcPr>
            <w:tcW w:type="dxa" w:w="2265"/>
            <w:shd w:fill="FFFFFF" w:color="auto" w:val="clear"/>
            <w:tcMar>
              <w:top w:type="dxa" w:w="60"/>
              <w:left w:type="dxa" w:w="100"/>
              <w:bottom w:type="dxa" w:w="60"/>
              <w:right w:type="dxa" w:w="100"/>
            </w:tcMar>
            <w:vAlign w:val="center"/>
          </w:tcPr>
          <w:p>
            <w:r>
              <w:rPr>
                <w:sz w:val="19"/>
                <w:szCs w:val="19"/>
              </w:rPr>
              <w:t xml:space="preserve">Bids into price bands</w:t>
            </w:r>
          </w:p>
        </w:tc>
      </w:tr>
      <w:tr>
        <w:tc>
          <w:tcPr>
            <w:tcW w:type="dxa" w:w="4831"/>
            <w:shd w:fill="DCE6F1" w:color="auto" w:val="clear"/>
            <w:tcMar>
              <w:top w:type="dxa" w:w="60"/>
              <w:left w:type="dxa" w:w="100"/>
              <w:bottom w:type="dxa" w:w="60"/>
              <w:right w:type="dxa" w:w="100"/>
            </w:tcMar>
            <w:vAlign w:val="center"/>
          </w:tcPr>
          <w:p>
            <w:r>
              <w:rPr>
                <w:sz w:val="19"/>
                <w:szCs w:val="19"/>
              </w:rPr>
              <w:t xml:space="preserve">Collects payment from customer</w:t>
            </w:r>
          </w:p>
        </w:tc>
        <w:tc>
          <w:tcPr>
            <w:tcW w:type="dxa" w:w="2265"/>
            <w:shd w:fill="DCE6F1" w:color="auto" w:val="clear"/>
            <w:tcMar>
              <w:top w:type="dxa" w:w="60"/>
              <w:left w:type="dxa" w:w="100"/>
              <w:bottom w:type="dxa" w:w="60"/>
              <w:right w:type="dxa" w:w="100"/>
            </w:tcMar>
            <w:vAlign w:val="center"/>
          </w:tcPr>
          <w:p>
            <w:r>
              <w:rPr>
                <w:sz w:val="19"/>
                <w:szCs w:val="19"/>
              </w:rPr>
              <w:t xml:space="preserve">Yes (via app)</w:t>
            </w:r>
          </w:p>
        </w:tc>
        <w:tc>
          <w:tcPr>
            <w:tcW w:type="dxa" w:w="2265"/>
            <w:shd w:fill="DCE6F1" w:color="auto" w:val="clear"/>
            <w:tcMar>
              <w:top w:type="dxa" w:w="60"/>
              <w:left w:type="dxa" w:w="100"/>
              <w:bottom w:type="dxa" w:w="60"/>
              <w:right w:type="dxa" w:w="100"/>
            </w:tcMar>
            <w:vAlign w:val="center"/>
          </w:tcPr>
          <w:p>
            <w:r>
              <w:rPr>
                <w:sz w:val="19"/>
                <w:szCs w:val="19"/>
              </w:rPr>
              <w:t xml:space="preserve">No — paid out by us</w:t>
            </w:r>
          </w:p>
        </w:tc>
      </w:tr>
      <w:tr>
        <w:tc>
          <w:tcPr>
            <w:tcW w:type="dxa" w:w="4831"/>
            <w:shd w:fill="FFFFFF" w:color="auto" w:val="clear"/>
            <w:tcMar>
              <w:top w:type="dxa" w:w="60"/>
              <w:left w:type="dxa" w:w="100"/>
              <w:bottom w:type="dxa" w:w="60"/>
              <w:right w:type="dxa" w:w="100"/>
            </w:tcMar>
            <w:vAlign w:val="center"/>
          </w:tcPr>
          <w:p>
            <w:r>
              <w:rPr>
                <w:sz w:val="19"/>
                <w:szCs w:val="19"/>
              </w:rPr>
              <w:t xml:space="preserve">Provides tools, van, spare parts</w:t>
            </w:r>
          </w:p>
        </w:tc>
        <w:tc>
          <w:tcPr>
            <w:tcW w:type="dxa" w:w="2265"/>
            <w:shd w:fill="FFFFFF" w:color="auto" w:val="clear"/>
            <w:tcMar>
              <w:top w:type="dxa" w:w="60"/>
              <w:left w:type="dxa" w:w="100"/>
              <w:bottom w:type="dxa" w:w="60"/>
              <w:right w:type="dxa" w:w="100"/>
            </w:tcMar>
            <w:vAlign w:val="center"/>
          </w:tcPr>
          <w:p>
            <w:r>
              <w:rPr>
                <w:sz w:val="19"/>
                <w:szCs w:val="19"/>
              </w:rPr>
              <w:t xml:space="preserve">No</w:t>
            </w:r>
          </w:p>
        </w:tc>
        <w:tc>
          <w:tcPr>
            <w:tcW w:type="dxa" w:w="2265"/>
            <w:shd w:fill="FFFFFF" w:color="auto" w:val="clear"/>
            <w:tcMar>
              <w:top w:type="dxa" w:w="60"/>
              <w:left w:type="dxa" w:w="100"/>
              <w:bottom w:type="dxa" w:w="60"/>
              <w:right w:type="dxa" w:w="100"/>
            </w:tcMar>
            <w:vAlign w:val="center"/>
          </w:tcPr>
          <w:p>
            <w:r>
              <w:rPr>
                <w:sz w:val="19"/>
                <w:szCs w:val="19"/>
              </w:rPr>
              <w:t xml:space="preserve">Yes</w:t>
            </w:r>
          </w:p>
        </w:tc>
      </w:tr>
      <w:tr>
        <w:tc>
          <w:tcPr>
            <w:tcW w:type="dxa" w:w="4831"/>
            <w:shd w:fill="DCE6F1" w:color="auto" w:val="clear"/>
            <w:tcMar>
              <w:top w:type="dxa" w:w="60"/>
              <w:left w:type="dxa" w:w="100"/>
              <w:bottom w:type="dxa" w:w="60"/>
              <w:right w:type="dxa" w:w="100"/>
            </w:tcMar>
            <w:vAlign w:val="center"/>
          </w:tcPr>
          <w:p>
            <w:r>
              <w:rPr>
                <w:sz w:val="19"/>
                <w:szCs w:val="19"/>
              </w:rPr>
              <w:t xml:space="preserve">Carries liability insurance for the work</w:t>
            </w:r>
          </w:p>
        </w:tc>
        <w:tc>
          <w:tcPr>
            <w:tcW w:type="dxa" w:w="2265"/>
            <w:shd w:fill="DCE6F1" w:color="auto" w:val="clear"/>
            <w:tcMar>
              <w:top w:type="dxa" w:w="60"/>
              <w:left w:type="dxa" w:w="100"/>
              <w:bottom w:type="dxa" w:w="60"/>
              <w:right w:type="dxa" w:w="100"/>
            </w:tcMar>
            <w:vAlign w:val="center"/>
          </w:tcPr>
          <w:p>
            <w:r>
              <w:rPr>
                <w:sz w:val="19"/>
                <w:szCs w:val="19"/>
              </w:rPr>
              <w:t xml:space="preserve">Requires proof</w:t>
            </w:r>
          </w:p>
        </w:tc>
        <w:tc>
          <w:tcPr>
            <w:tcW w:type="dxa" w:w="2265"/>
            <w:shd w:fill="DCE6F1" w:color="auto" w:val="clear"/>
            <w:tcMar>
              <w:top w:type="dxa" w:w="60"/>
              <w:left w:type="dxa" w:w="100"/>
              <w:bottom w:type="dxa" w:w="60"/>
              <w:right w:type="dxa" w:w="100"/>
            </w:tcMar>
            <w:vAlign w:val="center"/>
          </w:tcPr>
          <w:p>
            <w:r>
              <w:rPr>
                <w:sz w:val="19"/>
                <w:szCs w:val="19"/>
              </w:rPr>
              <w:t xml:space="preserve">Yes — must hold it</w:t>
            </w:r>
          </w:p>
        </w:tc>
      </w:tr>
    </w:tbl>
    <w:p>
      <w:pPr>
        <w:pStyle w:val="Heading2"/>
        <w:spacing w:after="120" w:before="260"/>
      </w:pPr>
      <w:r>
        <w:t xml:space="preserve">Revenue streams, explained simply</w:t>
      </w:r>
    </w:p>
    <w:p>
      <w:pPr>
        <w:pStyle w:val="ListParagraph"/>
        <w:numPr>
          <w:ilvl w:val="0"/>
          <w:numId w:val="2"/>
        </w:numPr>
        <w:spacing w:after="80"/>
      </w:pPr>
      <w:r>
        <w:rPr>
          <w:b/>
          <w:bCs/>
        </w:rPr>
        <w:t xml:space="preserve">Commission on completed jobs: </w:t>
      </w:r>
      <w:r>
        <w:t xml:space="preserve">the main engine. Industry-typical range for on-demand service marketplaces is 15%–25%; recommended starting point 18%, validated against real contractor conversations at onboarding.</w:t>
      </w:r>
    </w:p>
    <w:p>
      <w:pPr>
        <w:pStyle w:val="ListParagraph"/>
        <w:numPr>
          <w:ilvl w:val="0"/>
          <w:numId w:val="2"/>
        </w:numPr>
        <w:spacing w:after="80"/>
      </w:pPr>
      <w:r>
        <w:rPr>
          <w:b/>
          <w:bCs/>
        </w:rPr>
        <w:t xml:space="preserve">Booking/dispatch fee: </w:t>
      </w:r>
      <w:r>
        <w:t xml:space="preserve">a flat SAR 15–25 charged to the customer, discouraging no-shows.</w:t>
      </w:r>
    </w:p>
    <w:p>
      <w:pPr>
        <w:pStyle w:val="ListParagraph"/>
        <w:numPr>
          <w:ilvl w:val="0"/>
          <w:numId w:val="2"/>
        </w:numPr>
        <w:spacing w:after="80"/>
      </w:pPr>
      <w:r>
        <w:rPr>
          <w:b/>
          <w:bCs/>
        </w:rPr>
        <w:t xml:space="preserve">“Portal Care” maintenance subscription: </w:t>
      </w:r>
      <w:r>
        <w:t xml:space="preserve">annual plan (AC servicing + priority booking + parts discount) — the highest-margin, most predictable line once trust is established.</w:t>
      </w:r>
    </w:p>
    <w:p>
      <w:pPr>
        <w:pStyle w:val="ListParagraph"/>
        <w:numPr>
          <w:ilvl w:val="0"/>
          <w:numId w:val="2"/>
        </w:numPr>
        <w:spacing w:after="80"/>
      </w:pPr>
      <w:r>
        <w:rPr>
          <w:b/>
          <w:bCs/>
        </w:rPr>
        <w:t xml:space="preserve">Contractor value-added services (Phase 2+): </w:t>
      </w:r>
      <w:r>
        <w:t xml:space="preserve">optional paid placement/lead-boost, introduced only once demand exceeds supply.</w:t>
      </w:r>
    </w:p>
    <w:p>
      <w:pPr>
        <w:pStyle w:val="Heading2"/>
        <w:spacing w:after="120" w:before="260"/>
      </w:pPr>
      <w:r>
        <w:t xml:space="preserve">Why “partner” beats “hire” for a first mover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35"/>
        <w:gridCol w:w="3413"/>
        <w:gridCol w:w="3413"/>
      </w:tblGrid>
      <w:tr>
        <w:trPr>
          <w:tblHeader/>
        </w:trPr>
        <w:tc>
          <w:tcPr>
            <w:tcW w:type="dxa" w:w="2535"/>
            <w:shd w:fill="1F3864" w:color="auto" w:val="clear"/>
            <w:tcMar>
              <w:top w:type="dxa" w:w="80"/>
              <w:left w:type="dxa" w:w="100"/>
              <w:bottom w:type="dxa" w:w="80"/>
              <w:right w:type="dxa" w:w="100"/>
            </w:tcMar>
            <w:vAlign w:val="center"/>
          </w:tcPr>
          <w:p>
            <w:r>
              <w:rPr>
                <w:b/>
                <w:bCs/>
                <w:color w:val="FFFFFF"/>
                <w:sz w:val="20"/>
                <w:szCs w:val="20"/>
              </w:rPr>
              <w:t xml:space="preserve"/>
            </w:r>
          </w:p>
        </w:tc>
        <w:tc>
          <w:tcPr>
            <w:tcW w:type="dxa" w:w="3413"/>
            <w:shd w:fill="1F3864" w:color="auto" w:val="clear"/>
            <w:tcMar>
              <w:top w:type="dxa" w:w="80"/>
              <w:left w:type="dxa" w:w="100"/>
              <w:bottom w:type="dxa" w:w="80"/>
              <w:right w:type="dxa" w:w="100"/>
            </w:tcMar>
            <w:vAlign w:val="center"/>
          </w:tcPr>
          <w:p>
            <w:r>
              <w:rPr>
                <w:b/>
                <w:bCs/>
                <w:color w:val="FFFFFF"/>
                <w:sz w:val="20"/>
                <w:szCs w:val="20"/>
              </w:rPr>
              <w:t xml:space="preserve">Partner Model (recommended)</w:t>
            </w:r>
          </w:p>
        </w:tc>
        <w:tc>
          <w:tcPr>
            <w:tcW w:type="dxa" w:w="3413"/>
            <w:shd w:fill="1F3864" w:color="auto" w:val="clear"/>
            <w:tcMar>
              <w:top w:type="dxa" w:w="80"/>
              <w:left w:type="dxa" w:w="100"/>
              <w:bottom w:type="dxa" w:w="80"/>
              <w:right w:type="dxa" w:w="100"/>
            </w:tcMar>
            <w:vAlign w:val="center"/>
          </w:tcPr>
          <w:p>
            <w:r>
              <w:rPr>
                <w:b/>
                <w:bCs/>
                <w:color w:val="FFFFFF"/>
                <w:sz w:val="20"/>
                <w:szCs w:val="20"/>
              </w:rPr>
              <w:t xml:space="preserve">Employ-Own-Technicians</w:t>
            </w:r>
          </w:p>
        </w:tc>
      </w:tr>
      <w:tr>
        <w:tc>
          <w:tcPr>
            <w:tcW w:type="dxa" w:w="2535"/>
            <w:shd w:fill="FFFFFF" w:color="auto" w:val="clear"/>
            <w:tcMar>
              <w:top w:type="dxa" w:w="60"/>
              <w:left w:type="dxa" w:w="100"/>
              <w:bottom w:type="dxa" w:w="60"/>
              <w:right w:type="dxa" w:w="100"/>
            </w:tcMar>
            <w:vAlign w:val="center"/>
          </w:tcPr>
          <w:p>
            <w:r>
              <w:rPr>
                <w:sz w:val="19"/>
                <w:szCs w:val="19"/>
              </w:rPr>
              <w:t xml:space="preserve">Time to launch</w:t>
            </w:r>
          </w:p>
        </w:tc>
        <w:tc>
          <w:tcPr>
            <w:tcW w:type="dxa" w:w="3413"/>
            <w:shd w:fill="FFFFFF" w:color="auto" w:val="clear"/>
            <w:tcMar>
              <w:top w:type="dxa" w:w="60"/>
              <w:left w:type="dxa" w:w="100"/>
              <w:bottom w:type="dxa" w:w="60"/>
              <w:right w:type="dxa" w:w="100"/>
            </w:tcMar>
            <w:vAlign w:val="center"/>
          </w:tcPr>
          <w:p>
            <w:r>
              <w:rPr>
                <w:sz w:val="19"/>
                <w:szCs w:val="19"/>
              </w:rPr>
              <w:t xml:space="preserve">Months</w:t>
            </w:r>
          </w:p>
        </w:tc>
        <w:tc>
          <w:tcPr>
            <w:tcW w:type="dxa" w:w="3413"/>
            <w:shd w:fill="FFFFFF" w:color="auto" w:val="clear"/>
            <w:tcMar>
              <w:top w:type="dxa" w:w="60"/>
              <w:left w:type="dxa" w:w="100"/>
              <w:bottom w:type="dxa" w:w="60"/>
              <w:right w:type="dxa" w:w="100"/>
            </w:tcMar>
            <w:vAlign w:val="center"/>
          </w:tcPr>
          <w:p>
            <w:r>
              <w:rPr>
                <w:sz w:val="19"/>
                <w:szCs w:val="19"/>
              </w:rPr>
              <w:t xml:space="preserve">1–2 years</w:t>
            </w:r>
          </w:p>
        </w:tc>
      </w:tr>
      <w:tr>
        <w:tc>
          <w:tcPr>
            <w:tcW w:type="dxa" w:w="2535"/>
            <w:shd w:fill="DCE6F1" w:color="auto" w:val="clear"/>
            <w:tcMar>
              <w:top w:type="dxa" w:w="60"/>
              <w:left w:type="dxa" w:w="100"/>
              <w:bottom w:type="dxa" w:w="60"/>
              <w:right w:type="dxa" w:w="100"/>
            </w:tcMar>
            <w:vAlign w:val="center"/>
          </w:tcPr>
          <w:p>
            <w:r>
              <w:rPr>
                <w:sz w:val="19"/>
                <w:szCs w:val="19"/>
              </w:rPr>
              <w:t xml:space="preserve">Upfront capital</w:t>
            </w:r>
          </w:p>
        </w:tc>
        <w:tc>
          <w:tcPr>
            <w:tcW w:type="dxa" w:w="3413"/>
            <w:shd w:fill="DCE6F1" w:color="auto" w:val="clear"/>
            <w:tcMar>
              <w:top w:type="dxa" w:w="60"/>
              <w:left w:type="dxa" w:w="100"/>
              <w:bottom w:type="dxa" w:w="60"/>
              <w:right w:type="dxa" w:w="100"/>
            </w:tcMar>
            <w:vAlign w:val="center"/>
          </w:tcPr>
          <w:p>
            <w:r>
              <w:rPr>
                <w:sz w:val="19"/>
                <w:szCs w:val="19"/>
              </w:rPr>
              <w:t xml:space="preserve">Lower</w:t>
            </w:r>
          </w:p>
        </w:tc>
        <w:tc>
          <w:tcPr>
            <w:tcW w:type="dxa" w:w="3413"/>
            <w:shd w:fill="DCE6F1" w:color="auto" w:val="clear"/>
            <w:tcMar>
              <w:top w:type="dxa" w:w="60"/>
              <w:left w:type="dxa" w:w="100"/>
              <w:bottom w:type="dxa" w:w="60"/>
              <w:right w:type="dxa" w:w="100"/>
            </w:tcMar>
            <w:vAlign w:val="center"/>
          </w:tcPr>
          <w:p>
            <w:r>
              <w:rPr>
                <w:sz w:val="19"/>
                <w:szCs w:val="19"/>
              </w:rPr>
              <w:t xml:space="preserve">Much higher (payroll, vans, tools)</w:t>
            </w:r>
          </w:p>
        </w:tc>
      </w:tr>
      <w:tr>
        <w:tc>
          <w:tcPr>
            <w:tcW w:type="dxa" w:w="2535"/>
            <w:shd w:fill="FFFFFF" w:color="auto" w:val="clear"/>
            <w:tcMar>
              <w:top w:type="dxa" w:w="60"/>
              <w:left w:type="dxa" w:w="100"/>
              <w:bottom w:type="dxa" w:w="60"/>
              <w:right w:type="dxa" w:w="100"/>
            </w:tcMar>
            <w:vAlign w:val="center"/>
          </w:tcPr>
          <w:p>
            <w:r>
              <w:rPr>
                <w:sz w:val="19"/>
                <w:szCs w:val="19"/>
              </w:rPr>
              <w:t xml:space="preserve">Licensing burden</w:t>
            </w:r>
          </w:p>
        </w:tc>
        <w:tc>
          <w:tcPr>
            <w:tcW w:type="dxa" w:w="3413"/>
            <w:shd w:fill="FFFFFF" w:color="auto" w:val="clear"/>
            <w:tcMar>
              <w:top w:type="dxa" w:w="60"/>
              <w:left w:type="dxa" w:w="100"/>
              <w:bottom w:type="dxa" w:w="60"/>
              <w:right w:type="dxa" w:w="100"/>
            </w:tcMar>
            <w:vAlign w:val="center"/>
          </w:tcPr>
          <w:p>
            <w:r>
              <w:rPr>
                <w:sz w:val="19"/>
                <w:szCs w:val="19"/>
              </w:rPr>
              <w:t xml:space="preserve">Lower — contractors carry their own</w:t>
            </w:r>
          </w:p>
        </w:tc>
        <w:tc>
          <w:tcPr>
            <w:tcW w:type="dxa" w:w="3413"/>
            <w:shd w:fill="FFFFFF" w:color="auto" w:val="clear"/>
            <w:tcMar>
              <w:top w:type="dxa" w:w="60"/>
              <w:left w:type="dxa" w:w="100"/>
              <w:bottom w:type="dxa" w:w="60"/>
              <w:right w:type="dxa" w:w="100"/>
            </w:tcMar>
            <w:vAlign w:val="center"/>
          </w:tcPr>
          <w:p>
            <w:r>
              <w:rPr>
                <w:sz w:val="19"/>
                <w:szCs w:val="19"/>
              </w:rPr>
              <w:t xml:space="preserve">You must hold trade licenses</w:t>
            </w:r>
          </w:p>
        </w:tc>
      </w:tr>
      <w:tr>
        <w:tc>
          <w:tcPr>
            <w:tcW w:type="dxa" w:w="2535"/>
            <w:shd w:fill="DCE6F1" w:color="auto" w:val="clear"/>
            <w:tcMar>
              <w:top w:type="dxa" w:w="60"/>
              <w:left w:type="dxa" w:w="100"/>
              <w:bottom w:type="dxa" w:w="60"/>
              <w:right w:type="dxa" w:w="100"/>
            </w:tcMar>
            <w:vAlign w:val="center"/>
          </w:tcPr>
          <w:p>
            <w:r>
              <w:rPr>
                <w:sz w:val="19"/>
                <w:szCs w:val="19"/>
              </w:rPr>
              <w:t xml:space="preserve">Quality control</w:t>
            </w:r>
          </w:p>
        </w:tc>
        <w:tc>
          <w:tcPr>
            <w:tcW w:type="dxa" w:w="3413"/>
            <w:shd w:fill="DCE6F1" w:color="auto" w:val="clear"/>
            <w:tcMar>
              <w:top w:type="dxa" w:w="60"/>
              <w:left w:type="dxa" w:w="100"/>
              <w:bottom w:type="dxa" w:w="60"/>
              <w:right w:type="dxa" w:w="100"/>
            </w:tcMar>
            <w:vAlign w:val="center"/>
          </w:tcPr>
          <w:p>
            <w:r>
              <w:rPr>
                <w:sz w:val="19"/>
                <w:szCs w:val="19"/>
              </w:rPr>
              <w:t xml:space="preserve">Harder — indirect</w:t>
            </w:r>
          </w:p>
        </w:tc>
        <w:tc>
          <w:tcPr>
            <w:tcW w:type="dxa" w:w="3413"/>
            <w:shd w:fill="DCE6F1" w:color="auto" w:val="clear"/>
            <w:tcMar>
              <w:top w:type="dxa" w:w="60"/>
              <w:left w:type="dxa" w:w="100"/>
              <w:bottom w:type="dxa" w:w="60"/>
              <w:right w:type="dxa" w:w="100"/>
            </w:tcMar>
            <w:vAlign w:val="center"/>
          </w:tcPr>
          <w:p>
            <w:r>
              <w:rPr>
                <w:sz w:val="19"/>
                <w:szCs w:val="19"/>
              </w:rPr>
              <w:t xml:space="preserve">Easier — direct</w:t>
            </w:r>
          </w:p>
        </w:tc>
      </w:tr>
      <w:tr>
        <w:tc>
          <w:tcPr>
            <w:tcW w:type="dxa" w:w="2535"/>
            <w:shd w:fill="FFFFFF" w:color="auto" w:val="clear"/>
            <w:tcMar>
              <w:top w:type="dxa" w:w="60"/>
              <w:left w:type="dxa" w:w="100"/>
              <w:bottom w:type="dxa" w:w="60"/>
              <w:right w:type="dxa" w:w="100"/>
            </w:tcMar>
            <w:vAlign w:val="center"/>
          </w:tcPr>
          <w:p>
            <w:r>
              <w:rPr>
                <w:sz w:val="19"/>
                <w:szCs w:val="19"/>
              </w:rPr>
              <w:t xml:space="preserve">Scaling to new cities</w:t>
            </w:r>
          </w:p>
        </w:tc>
        <w:tc>
          <w:tcPr>
            <w:tcW w:type="dxa" w:w="3413"/>
            <w:shd w:fill="FFFFFF" w:color="auto" w:val="clear"/>
            <w:tcMar>
              <w:top w:type="dxa" w:w="60"/>
              <w:left w:type="dxa" w:w="100"/>
              <w:bottom w:type="dxa" w:w="60"/>
              <w:right w:type="dxa" w:w="100"/>
            </w:tcMar>
            <w:vAlign w:val="center"/>
          </w:tcPr>
          <w:p>
            <w:r>
              <w:rPr>
                <w:sz w:val="19"/>
                <w:szCs w:val="19"/>
              </w:rPr>
              <w:t xml:space="preserve">Fast — sign a local contractor</w:t>
            </w:r>
          </w:p>
        </w:tc>
        <w:tc>
          <w:tcPr>
            <w:tcW w:type="dxa" w:w="3413"/>
            <w:shd w:fill="FFFFFF" w:color="auto" w:val="clear"/>
            <w:tcMar>
              <w:top w:type="dxa" w:w="60"/>
              <w:left w:type="dxa" w:w="100"/>
              <w:bottom w:type="dxa" w:w="60"/>
              <w:right w:type="dxa" w:w="100"/>
            </w:tcMar>
            <w:vAlign w:val="center"/>
          </w:tcPr>
          <w:p>
            <w:r>
              <w:rPr>
                <w:sz w:val="19"/>
                <w:szCs w:val="19"/>
              </w:rPr>
              <w:t xml:space="preserve">Slow — build city by city</w:t>
            </w:r>
          </w:p>
        </w:tc>
      </w:tr>
      <w:tr>
        <w:tc>
          <w:tcPr>
            <w:tcW w:type="dxa" w:w="2535"/>
            <w:shd w:fill="DCE6F1" w:color="auto" w:val="clear"/>
            <w:tcMar>
              <w:top w:type="dxa" w:w="60"/>
              <w:left w:type="dxa" w:w="100"/>
              <w:bottom w:type="dxa" w:w="60"/>
              <w:right w:type="dxa" w:w="100"/>
            </w:tcMar>
            <w:vAlign w:val="center"/>
          </w:tcPr>
          <w:p>
            <w:r>
              <w:rPr>
                <w:sz w:val="19"/>
                <w:szCs w:val="19"/>
              </w:rPr>
              <w:t xml:space="preserve">Margin per job</w:t>
            </w:r>
          </w:p>
        </w:tc>
        <w:tc>
          <w:tcPr>
            <w:tcW w:type="dxa" w:w="3413"/>
            <w:shd w:fill="DCE6F1" w:color="auto" w:val="clear"/>
            <w:tcMar>
              <w:top w:type="dxa" w:w="60"/>
              <w:left w:type="dxa" w:w="100"/>
              <w:bottom w:type="dxa" w:w="60"/>
              <w:right w:type="dxa" w:w="100"/>
            </w:tcMar>
            <w:vAlign w:val="center"/>
          </w:tcPr>
          <w:p>
            <w:r>
              <w:rPr>
                <w:sz w:val="19"/>
                <w:szCs w:val="19"/>
              </w:rPr>
              <w:t xml:space="preserve">Lower (commission only)</w:t>
            </w:r>
          </w:p>
        </w:tc>
        <w:tc>
          <w:tcPr>
            <w:tcW w:type="dxa" w:w="3413"/>
            <w:shd w:fill="DCE6F1" w:color="auto" w:val="clear"/>
            <w:tcMar>
              <w:top w:type="dxa" w:w="60"/>
              <w:left w:type="dxa" w:w="100"/>
              <w:bottom w:type="dxa" w:w="60"/>
              <w:right w:type="dxa" w:w="100"/>
            </w:tcMar>
            <w:vAlign w:val="center"/>
          </w:tcPr>
          <w:p>
            <w:r>
              <w:rPr>
                <w:sz w:val="19"/>
                <w:szCs w:val="19"/>
              </w:rPr>
              <w:t xml:space="preserve">Higher, if run efficiently</w:t>
            </w:r>
          </w:p>
        </w:tc>
      </w:tr>
    </w:tbl>
    <w:p>
      <w:pPr>
        <w:pBdr>
          <w:left w:val="single" w:color="9DC3E6" w:sz="12" w:space="8"/>
        </w:pBdr>
        <w:spacing w:after="200" w:before="100"/>
        <w:ind w:left="200"/>
      </w:pPr>
      <w:r>
        <w:rPr>
          <w:i/>
          <w:iCs/>
          <w:color w:val="595959"/>
          <w:sz w:val="20"/>
          <w:szCs w:val="20"/>
        </w:rPr>
        <w:t xml:space="preserve">Recommendation: start partner-only. Once volume and data prove which service lines are most reliable and highest-margin, selectively bring specific categories in-house later.</w:t>
      </w:r>
    </w:p>
    <w:p>
      <w:pPr>
        <w:pStyle w:val="Heading2"/>
        <w:spacing w:after="120" w:before="260"/>
      </w:pPr>
      <w:r>
        <w:t xml:space="preserve">Residential now, corporate later</w:t>
      </w:r>
    </w:p>
    <w:p>
      <w:pPr>
        <w:spacing w:after="160"/>
        <w:jc w:val="left"/>
      </w:pPr>
      <w:r>
        <w:t xml:space="preserve">Corporate/facility clients want the same service but with consolidated invoicing, multi-site contracts, and faster SLAs. Going after them from day one would split limited launch focus. Recommended sequencing: prove the model on residential customers first (simpler booking, single decision-maker), then upsell corporate clients once the contractor network and operations playbook are proven — at that point it is mainly a billing/contract layer added on top of an already-working service.</w:t>
      </w:r>
    </w:p>
    <w:p>
      <w:pPr>
        <w:pStyle w:val="Heading1"/>
        <w:pageBreakBefore/>
        <w:spacing w:after="200" w:before="400"/>
      </w:pPr>
      <w:r>
        <w:t xml:space="preserve">3. Market Research</w:t>
      </w:r>
    </w:p>
    <w:p>
      <w:pPr>
        <w:pStyle w:val="Heading2"/>
        <w:spacing w:after="120" w:before="260"/>
      </w:pPr>
      <w:r>
        <w:t xml:space="preserve">Market size, in plain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3510"/>
        <w:gridCol w:w="2340"/>
      </w:tblGrid>
      <w:tr>
        <w:trPr>
          <w:tblHeader/>
        </w:trPr>
        <w:tc>
          <w:tcPr>
            <w:tcW w:type="dxa" w:w="3510"/>
            <w:shd w:fill="1F3864" w:color="auto" w:val="clear"/>
            <w:tcMar>
              <w:top w:type="dxa" w:w="80"/>
              <w:left w:type="dxa" w:w="100"/>
              <w:bottom w:type="dxa" w:w="80"/>
              <w:right w:type="dxa" w:w="100"/>
            </w:tcMar>
            <w:vAlign w:val="center"/>
          </w:tcPr>
          <w:p>
            <w:r>
              <w:rPr>
                <w:b/>
                <w:bCs/>
                <w:color w:val="FFFFFF"/>
                <w:sz w:val="20"/>
                <w:szCs w:val="20"/>
              </w:rPr>
              <w:t xml:space="preserve">City</w:t>
            </w:r>
          </w:p>
        </w:tc>
        <w:tc>
          <w:tcPr>
            <w:tcW w:type="dxa" w:w="3510"/>
            <w:shd w:fill="1F3864" w:color="auto" w:val="clear"/>
            <w:tcMar>
              <w:top w:type="dxa" w:w="80"/>
              <w:left w:type="dxa" w:w="100"/>
              <w:bottom w:type="dxa" w:w="80"/>
              <w:right w:type="dxa" w:w="100"/>
            </w:tcMar>
            <w:vAlign w:val="center"/>
          </w:tcPr>
          <w:p>
            <w:r>
              <w:rPr>
                <w:b/>
                <w:bCs/>
                <w:color w:val="FFFFFF"/>
                <w:sz w:val="20"/>
                <w:szCs w:val="20"/>
              </w:rPr>
              <w:t xml:space="preserve">Metro population (~2025)</w:t>
            </w:r>
          </w:p>
        </w:tc>
        <w:tc>
          <w:tcPr>
            <w:tcW w:type="dxa" w:w="2340"/>
            <w:shd w:fill="1F3864" w:color="auto" w:val="clear"/>
            <w:tcMar>
              <w:top w:type="dxa" w:w="80"/>
              <w:left w:type="dxa" w:w="100"/>
              <w:bottom w:type="dxa" w:w="80"/>
              <w:right w:type="dxa" w:w="100"/>
            </w:tcMar>
            <w:vAlign w:val="center"/>
          </w:tcPr>
          <w:p>
            <w:r>
              <w:rPr>
                <w:b/>
                <w:bCs/>
                <w:color w:val="FFFFFF"/>
                <w:sz w:val="20"/>
                <w:szCs w:val="20"/>
              </w:rPr>
              <w:t xml:space="preserve">Phase</w:t>
            </w:r>
          </w:p>
        </w:tc>
      </w:tr>
      <w:tr>
        <w:tc>
          <w:tcPr>
            <w:tcW w:type="dxa" w:w="3510"/>
            <w:shd w:fill="FFFFFF" w:color="auto" w:val="clear"/>
            <w:tcMar>
              <w:top w:type="dxa" w:w="60"/>
              <w:left w:type="dxa" w:w="100"/>
              <w:bottom w:type="dxa" w:w="60"/>
              <w:right w:type="dxa" w:w="100"/>
            </w:tcMar>
            <w:vAlign w:val="center"/>
          </w:tcPr>
          <w:p>
            <w:r>
              <w:rPr>
                <w:sz w:val="19"/>
                <w:szCs w:val="19"/>
              </w:rPr>
              <w:t xml:space="preserve">Riyadh</w:t>
            </w:r>
          </w:p>
        </w:tc>
        <w:tc>
          <w:tcPr>
            <w:tcW w:type="dxa" w:w="3510"/>
            <w:shd w:fill="FFFFFF" w:color="auto" w:val="clear"/>
            <w:tcMar>
              <w:top w:type="dxa" w:w="60"/>
              <w:left w:type="dxa" w:w="100"/>
              <w:bottom w:type="dxa" w:w="60"/>
              <w:right w:type="dxa" w:w="100"/>
            </w:tcMar>
            <w:vAlign w:val="center"/>
          </w:tcPr>
          <w:p>
            <w:r>
              <w:rPr>
                <w:sz w:val="19"/>
                <w:szCs w:val="19"/>
              </w:rPr>
              <w:t xml:space="preserve">~7.95 million</w:t>
            </w:r>
          </w:p>
        </w:tc>
        <w:tc>
          <w:tcPr>
            <w:tcW w:type="dxa" w:w="2340"/>
            <w:shd w:fill="FFFFFF" w:color="auto" w:val="clear"/>
            <w:tcMar>
              <w:top w:type="dxa" w:w="60"/>
              <w:left w:type="dxa" w:w="100"/>
              <w:bottom w:type="dxa" w:w="60"/>
              <w:right w:type="dxa" w:w="100"/>
            </w:tcMar>
            <w:vAlign w:val="center"/>
          </w:tcPr>
          <w:p>
            <w:r>
              <w:rPr>
                <w:sz w:val="19"/>
                <w:szCs w:val="19"/>
              </w:rPr>
              <w:t xml:space="preserve">Phase 1</w:t>
            </w:r>
          </w:p>
        </w:tc>
      </w:tr>
      <w:tr>
        <w:tc>
          <w:tcPr>
            <w:tcW w:type="dxa" w:w="3510"/>
            <w:shd w:fill="DCE6F1" w:color="auto" w:val="clear"/>
            <w:tcMar>
              <w:top w:type="dxa" w:w="60"/>
              <w:left w:type="dxa" w:w="100"/>
              <w:bottom w:type="dxa" w:w="60"/>
              <w:right w:type="dxa" w:w="100"/>
            </w:tcMar>
            <w:vAlign w:val="center"/>
          </w:tcPr>
          <w:p>
            <w:r>
              <w:rPr>
                <w:sz w:val="19"/>
                <w:szCs w:val="19"/>
              </w:rPr>
              <w:t xml:space="preserve">Jeddah</w:t>
            </w:r>
          </w:p>
        </w:tc>
        <w:tc>
          <w:tcPr>
            <w:tcW w:type="dxa" w:w="3510"/>
            <w:shd w:fill="DCE6F1" w:color="auto" w:val="clear"/>
            <w:tcMar>
              <w:top w:type="dxa" w:w="60"/>
              <w:left w:type="dxa" w:w="100"/>
              <w:bottom w:type="dxa" w:w="60"/>
              <w:right w:type="dxa" w:w="100"/>
            </w:tcMar>
            <w:vAlign w:val="center"/>
          </w:tcPr>
          <w:p>
            <w:r>
              <w:rPr>
                <w:sz w:val="19"/>
                <w:szCs w:val="19"/>
              </w:rPr>
              <w:t xml:space="preserve">~4.7 million</w:t>
            </w:r>
          </w:p>
        </w:tc>
        <w:tc>
          <w:tcPr>
            <w:tcW w:type="dxa" w:w="2340"/>
            <w:shd w:fill="DCE6F1" w:color="auto" w:val="clear"/>
            <w:tcMar>
              <w:top w:type="dxa" w:w="60"/>
              <w:left w:type="dxa" w:w="100"/>
              <w:bottom w:type="dxa" w:w="60"/>
              <w:right w:type="dxa" w:w="100"/>
            </w:tcMar>
            <w:vAlign w:val="center"/>
          </w:tcPr>
          <w:p>
            <w:r>
              <w:rPr>
                <w:sz w:val="19"/>
                <w:szCs w:val="19"/>
              </w:rPr>
              <w:t xml:space="preserve">Phase 1</w:t>
            </w:r>
          </w:p>
        </w:tc>
      </w:tr>
      <w:tr>
        <w:tc>
          <w:tcPr>
            <w:tcW w:type="dxa" w:w="3510"/>
            <w:shd w:fill="FFFFFF" w:color="auto" w:val="clear"/>
            <w:tcMar>
              <w:top w:type="dxa" w:w="60"/>
              <w:left w:type="dxa" w:w="100"/>
              <w:bottom w:type="dxa" w:w="60"/>
              <w:right w:type="dxa" w:w="100"/>
            </w:tcMar>
            <w:vAlign w:val="center"/>
          </w:tcPr>
          <w:p>
            <w:r>
              <w:rPr>
                <w:sz w:val="19"/>
                <w:szCs w:val="19"/>
              </w:rPr>
              <w:t xml:space="preserve">Dammam–Khobar–Dhahran</w:t>
            </w:r>
          </w:p>
        </w:tc>
        <w:tc>
          <w:tcPr>
            <w:tcW w:type="dxa" w:w="3510"/>
            <w:shd w:fill="FFFFFF" w:color="auto" w:val="clear"/>
            <w:tcMar>
              <w:top w:type="dxa" w:w="60"/>
              <w:left w:type="dxa" w:w="100"/>
              <w:bottom w:type="dxa" w:w="60"/>
              <w:right w:type="dxa" w:w="100"/>
            </w:tcMar>
            <w:vAlign w:val="center"/>
          </w:tcPr>
          <w:p>
            <w:r>
              <w:rPr>
                <w:sz w:val="19"/>
                <w:szCs w:val="19"/>
              </w:rPr>
              <w:t xml:space="preserve">~1.38 million</w:t>
            </w:r>
          </w:p>
        </w:tc>
        <w:tc>
          <w:tcPr>
            <w:tcW w:type="dxa" w:w="2340"/>
            <w:shd w:fill="FFFFFF" w:color="auto" w:val="clear"/>
            <w:tcMar>
              <w:top w:type="dxa" w:w="60"/>
              <w:left w:type="dxa" w:w="100"/>
              <w:bottom w:type="dxa" w:w="60"/>
              <w:right w:type="dxa" w:w="100"/>
            </w:tcMar>
            <w:vAlign w:val="center"/>
          </w:tcPr>
          <w:p>
            <w:r>
              <w:rPr>
                <w:sz w:val="19"/>
                <w:szCs w:val="19"/>
              </w:rPr>
              <w:t xml:space="preserve">Phase 1</w:t>
            </w:r>
          </w:p>
        </w:tc>
      </w:tr>
      <w:tr>
        <w:tc>
          <w:tcPr>
            <w:tcW w:type="dxa" w:w="3510"/>
            <w:shd w:fill="DCE6F1" w:color="auto" w:val="clear"/>
            <w:tcMar>
              <w:top w:type="dxa" w:w="60"/>
              <w:left w:type="dxa" w:w="100"/>
              <w:bottom w:type="dxa" w:w="60"/>
              <w:right w:type="dxa" w:w="100"/>
            </w:tcMar>
            <w:vAlign w:val="center"/>
          </w:tcPr>
          <w:p>
            <w:r>
              <w:rPr>
                <w:sz w:val="19"/>
                <w:szCs w:val="19"/>
              </w:rPr>
              <w:t xml:space="preserve">Madinah, Taif, Jubail</w:t>
            </w:r>
          </w:p>
        </w:tc>
        <w:tc>
          <w:tcPr>
            <w:tcW w:type="dxa" w:w="3510"/>
            <w:shd w:fill="DCE6F1" w:color="auto" w:val="clear"/>
            <w:tcMar>
              <w:top w:type="dxa" w:w="60"/>
              <w:left w:type="dxa" w:w="100"/>
              <w:bottom w:type="dxa" w:w="60"/>
              <w:right w:type="dxa" w:w="100"/>
            </w:tcMar>
            <w:vAlign w:val="center"/>
          </w:tcPr>
          <w:p>
            <w:r>
              <w:rPr>
                <w:sz w:val="19"/>
                <w:szCs w:val="19"/>
              </w:rPr>
              <w:t xml:space="preserve">Several hundred thousand to ~1.5 million each</w:t>
            </w:r>
          </w:p>
        </w:tc>
        <w:tc>
          <w:tcPr>
            <w:tcW w:type="dxa" w:w="2340"/>
            <w:shd w:fill="DCE6F1" w:color="auto" w:val="clear"/>
            <w:tcMar>
              <w:top w:type="dxa" w:w="60"/>
              <w:left w:type="dxa" w:w="100"/>
              <w:bottom w:type="dxa" w:w="60"/>
              <w:right w:type="dxa" w:w="100"/>
            </w:tcMar>
            <w:vAlign w:val="center"/>
          </w:tcPr>
          <w:p>
            <w:r>
              <w:rPr>
                <w:sz w:val="19"/>
                <w:szCs w:val="19"/>
              </w:rPr>
              <w:t xml:space="preserve">Phase 2</w:t>
            </w:r>
          </w:p>
        </w:tc>
      </w:tr>
    </w:tbl>
    <w:p>
      <w:pPr>
        <w:pBdr>
          <w:left w:val="single" w:color="9DC3E6" w:sz="12" w:space="8"/>
        </w:pBdr>
        <w:spacing w:after="200" w:before="100"/>
        <w:ind w:left="200"/>
      </w:pPr>
      <w:r>
        <w:rPr>
          <w:i/>
          <w:iCs/>
          <w:color w:val="595959"/>
          <w:sz w:val="20"/>
          <w:szCs w:val="20"/>
        </w:rPr>
        <w:t xml:space="preserve">Sources: World Population Review, Macrotrends city population series, GlobalMediaInsight Saudi Population Statistics 2026 (full citations at the end of this document). City-level GASTAT household counts were not available in open sources — obtaining these directly from GASTAT is a cheap, high-value next step before finalizing sizing for a bank or investor deck.</w:t>
      </w:r>
    </w:p>
    <w:p>
      <w:pPr>
        <w:spacing w:after="160"/>
        <w:jc w:val="left"/>
      </w:pPr>
      <w:r>
        <w:t xml:space="preserve">Rule-of-thumb sizing: Saudi household size averages roughly 5–6 people, so Phase 1’s ~14 million combined metro population implies roughly 2.3–2.8 million households across Jeddah, Riyadh, and Dammam. Even a conservative 1% monthly booking rate implies 23,000–28,000 jobs/month at full scale — a ceiling, not a Year-1 forecast (see Section 6 for realistic Year-1 volumes).</w:t>
      </w:r>
    </w:p>
    <w:p>
      <w:pPr>
        <w:pStyle w:val="Heading2"/>
        <w:spacing w:after="120" w:before="260"/>
      </w:pPr>
      <w:r>
        <w:t xml:space="preserve">Why demand exists right now</w:t>
      </w:r>
    </w:p>
    <w:p>
      <w:pPr>
        <w:pStyle w:val="ListParagraph"/>
        <w:numPr>
          <w:ilvl w:val="0"/>
          <w:numId w:val="2"/>
        </w:numPr>
        <w:spacing w:after="80"/>
      </w:pPr>
      <w:r>
        <w:t xml:space="preserve">Vision 2030 housing push has significantly grown the stock of owner-occupied villas and apartments, which age and need maintenance on a predictable cycle.</w:t>
      </w:r>
    </w:p>
    <w:p>
      <w:pPr>
        <w:pStyle w:val="ListParagraph"/>
        <w:numPr>
          <w:ilvl w:val="0"/>
          <w:numId w:val="2"/>
        </w:numPr>
        <w:spacing w:after="80"/>
      </w:pPr>
      <w:r>
        <w:t xml:space="preserve">HVAC is not optional in Saudi Arabia — AC maintenance is one of the highest-frequency, highest-willingness-to-pay categories, especially before and during summer peak.</w:t>
      </w:r>
    </w:p>
    <w:p>
      <w:pPr>
        <w:pStyle w:val="ListParagraph"/>
        <w:numPr>
          <w:ilvl w:val="0"/>
          <w:numId w:val="2"/>
        </w:numPr>
        <w:spacing w:after="80"/>
      </w:pPr>
      <w:r>
        <w:t xml:space="preserve">Urban lifestyle shift — dual-income households and a younger, app-native population increasingly prefer booking a vetted technician on a phone over word-of-mouth referrals.</w:t>
      </w:r>
    </w:p>
    <w:p>
      <w:pPr>
        <w:pStyle w:val="ListParagraph"/>
        <w:numPr>
          <w:ilvl w:val="0"/>
          <w:numId w:val="2"/>
        </w:numPr>
        <w:spacing w:after="80"/>
      </w:pPr>
      <w:r>
        <w:t xml:space="preserve">Labor market structure — residential trade labor is mostly performed by expatriate technicians employed by small/mid maintenance companies, not individual freelance citizens (the Saudi “Freelance Work Document” route is restricted to Saudi nationals and covers ~120 approved professions, and is not the typical route for these trades). This is exactly why the partner-with-existing-companies model fits the real labor market structure.</w:t>
      </w:r>
    </w:p>
    <w:p>
      <w:pPr>
        <w:pStyle w:val="Heading2"/>
        <w:spacing w:after="120" w:before="260"/>
      </w:pPr>
      <w:r>
        <w:t xml:space="preserve">Who's already in this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1"/>
        <w:gridCol w:w="3784"/>
        <w:gridCol w:w="3585"/>
      </w:tblGrid>
      <w:tr>
        <w:trPr>
          <w:tblHeader/>
        </w:trPr>
        <w:tc>
          <w:tcPr>
            <w:tcW w:type="dxa" w:w="1991"/>
            <w:shd w:fill="1F3864" w:color="auto" w:val="clear"/>
            <w:tcMar>
              <w:top w:type="dxa" w:w="80"/>
              <w:left w:type="dxa" w:w="100"/>
              <w:bottom w:type="dxa" w:w="80"/>
              <w:right w:type="dxa" w:w="100"/>
            </w:tcMar>
            <w:vAlign w:val="center"/>
          </w:tcPr>
          <w:p>
            <w:r>
              <w:rPr>
                <w:b/>
                <w:bCs/>
                <w:color w:val="FFFFFF"/>
                <w:sz w:val="20"/>
                <w:szCs w:val="20"/>
              </w:rPr>
              <w:t xml:space="preserve">Player</w:t>
            </w:r>
          </w:p>
        </w:tc>
        <w:tc>
          <w:tcPr>
            <w:tcW w:type="dxa" w:w="3784"/>
            <w:shd w:fill="1F3864" w:color="auto" w:val="clear"/>
            <w:tcMar>
              <w:top w:type="dxa" w:w="80"/>
              <w:left w:type="dxa" w:w="100"/>
              <w:bottom w:type="dxa" w:w="80"/>
              <w:right w:type="dxa" w:w="100"/>
            </w:tcMar>
            <w:vAlign w:val="center"/>
          </w:tcPr>
          <w:p>
            <w:r>
              <w:rPr>
                <w:b/>
                <w:bCs/>
                <w:color w:val="FFFFFF"/>
                <w:sz w:val="20"/>
                <w:szCs w:val="20"/>
              </w:rPr>
              <w:t xml:space="preserve">What they do</w:t>
            </w:r>
          </w:p>
        </w:tc>
        <w:tc>
          <w:tcPr>
            <w:tcW w:type="dxa" w:w="3585"/>
            <w:shd w:fill="1F3864" w:color="auto" w:val="clear"/>
            <w:tcMar>
              <w:top w:type="dxa" w:w="80"/>
              <w:left w:type="dxa" w:w="100"/>
              <w:bottom w:type="dxa" w:w="80"/>
              <w:right w:type="dxa" w:w="100"/>
            </w:tcMar>
            <w:vAlign w:val="center"/>
          </w:tcPr>
          <w:p>
            <w:r>
              <w:rPr>
                <w:b/>
                <w:bCs/>
                <w:color w:val="FFFFFF"/>
                <w:sz w:val="20"/>
                <w:szCs w:val="20"/>
              </w:rPr>
              <w:t xml:space="preserve">What we learn / the gap</w:t>
            </w:r>
          </w:p>
        </w:tc>
      </w:tr>
      <w:tr>
        <w:tc>
          <w:tcPr>
            <w:tcW w:type="dxa" w:w="1991"/>
            <w:shd w:fill="FFFFFF" w:color="auto" w:val="clear"/>
            <w:tcMar>
              <w:top w:type="dxa" w:w="60"/>
              <w:left w:type="dxa" w:w="100"/>
              <w:bottom w:type="dxa" w:w="60"/>
              <w:right w:type="dxa" w:w="100"/>
            </w:tcMar>
            <w:vAlign w:val="center"/>
          </w:tcPr>
          <w:p>
            <w:r>
              <w:rPr>
                <w:sz w:val="19"/>
                <w:szCs w:val="19"/>
              </w:rPr>
              <w:t xml:space="preserve">MAHA</w:t>
            </w:r>
          </w:p>
        </w:tc>
        <w:tc>
          <w:tcPr>
            <w:tcW w:type="dxa" w:w="3784"/>
            <w:shd w:fill="FFFFFF" w:color="auto" w:val="clear"/>
            <w:tcMar>
              <w:top w:type="dxa" w:w="60"/>
              <w:left w:type="dxa" w:w="100"/>
              <w:bottom w:type="dxa" w:w="60"/>
              <w:right w:type="dxa" w:w="100"/>
            </w:tcMar>
            <w:vAlign w:val="center"/>
          </w:tcPr>
          <w:p>
            <w:r>
              <w:rPr>
                <w:sz w:val="19"/>
                <w:szCs w:val="19"/>
              </w:rPr>
              <w:t xml:space="preserve">On-demand home maintenance &amp; property services app: electrical, plumbing, AC, painting, carpentry</w:t>
            </w:r>
          </w:p>
        </w:tc>
        <w:tc>
          <w:tcPr>
            <w:tcW w:type="dxa" w:w="3585"/>
            <w:shd w:fill="FFFFFF" w:color="auto" w:val="clear"/>
            <w:tcMar>
              <w:top w:type="dxa" w:w="60"/>
              <w:left w:type="dxa" w:w="100"/>
              <w:bottom w:type="dxa" w:w="60"/>
              <w:right w:type="dxa" w:w="100"/>
            </w:tcMar>
            <w:vAlign w:val="center"/>
          </w:tcPr>
          <w:p>
            <w:r>
              <w:rPr>
                <w:sz w:val="19"/>
                <w:szCs w:val="19"/>
              </w:rPr>
              <w:t xml:space="preserve">A direct comparable — study closely (download, test-book, read reviews for complaint patterns)</w:t>
            </w:r>
          </w:p>
        </w:tc>
      </w:tr>
      <w:tr>
        <w:tc>
          <w:tcPr>
            <w:tcW w:type="dxa" w:w="1991"/>
            <w:shd w:fill="DCE6F1" w:color="auto" w:val="clear"/>
            <w:tcMar>
              <w:top w:type="dxa" w:w="60"/>
              <w:left w:type="dxa" w:w="100"/>
              <w:bottom w:type="dxa" w:w="60"/>
              <w:right w:type="dxa" w:w="100"/>
            </w:tcMar>
            <w:vAlign w:val="center"/>
          </w:tcPr>
          <w:p>
            <w:r>
              <w:rPr>
                <w:sz w:val="19"/>
                <w:szCs w:val="19"/>
              </w:rPr>
              <w:t xml:space="preserve">HomeXA</w:t>
            </w:r>
          </w:p>
        </w:tc>
        <w:tc>
          <w:tcPr>
            <w:tcW w:type="dxa" w:w="3784"/>
            <w:shd w:fill="DCE6F1" w:color="auto" w:val="clear"/>
            <w:tcMar>
              <w:top w:type="dxa" w:w="60"/>
              <w:left w:type="dxa" w:w="100"/>
              <w:bottom w:type="dxa" w:w="60"/>
              <w:right w:type="dxa" w:w="100"/>
            </w:tcMar>
            <w:vAlign w:val="center"/>
          </w:tcPr>
          <w:p>
            <w:r>
              <w:rPr>
                <w:sz w:val="19"/>
                <w:szCs w:val="19"/>
              </w:rPr>
              <w:t xml:space="preserve">Professional home &amp; facility maintenance booking platform</w:t>
            </w:r>
          </w:p>
        </w:tc>
        <w:tc>
          <w:tcPr>
            <w:tcW w:type="dxa" w:w="3585"/>
            <w:shd w:fill="DCE6F1" w:color="auto" w:val="clear"/>
            <w:tcMar>
              <w:top w:type="dxa" w:w="60"/>
              <w:left w:type="dxa" w:w="100"/>
              <w:bottom w:type="dxa" w:w="60"/>
              <w:right w:type="dxa" w:w="100"/>
            </w:tcMar>
            <w:vAlign w:val="center"/>
          </w:tcPr>
          <w:p>
            <w:r>
              <w:rPr>
                <w:sz w:val="19"/>
                <w:szCs w:val="19"/>
              </w:rPr>
              <w:t xml:space="preserve">Appears to target both homes and facilities — worth benchmarking for our Phase 2 corporate angle</w:t>
            </w:r>
          </w:p>
        </w:tc>
      </w:tr>
      <w:tr>
        <w:tc>
          <w:tcPr>
            <w:tcW w:type="dxa" w:w="1991"/>
            <w:shd w:fill="FFFFFF" w:color="auto" w:val="clear"/>
            <w:tcMar>
              <w:top w:type="dxa" w:w="60"/>
              <w:left w:type="dxa" w:w="100"/>
              <w:bottom w:type="dxa" w:w="60"/>
              <w:right w:type="dxa" w:w="100"/>
            </w:tcMar>
            <w:vAlign w:val="center"/>
          </w:tcPr>
          <w:p>
            <w:r>
              <w:rPr>
                <w:sz w:val="19"/>
                <w:szCs w:val="19"/>
              </w:rPr>
              <w:t xml:space="preserve">Fix Riyadh Now</w:t>
            </w:r>
          </w:p>
        </w:tc>
        <w:tc>
          <w:tcPr>
            <w:tcW w:type="dxa" w:w="3784"/>
            <w:shd w:fill="FFFFFF" w:color="auto" w:val="clear"/>
            <w:tcMar>
              <w:top w:type="dxa" w:w="60"/>
              <w:left w:type="dxa" w:w="100"/>
              <w:bottom w:type="dxa" w:w="60"/>
              <w:right w:type="dxa" w:w="100"/>
            </w:tcMar>
            <w:vAlign w:val="center"/>
          </w:tcPr>
          <w:p>
            <w:r>
              <w:rPr>
                <w:sz w:val="19"/>
                <w:szCs w:val="19"/>
              </w:rPr>
              <w:t xml:space="preserve">Riyadh-specific 24/7 electrical &amp; plumbing for residential buildings</w:t>
            </w:r>
          </w:p>
        </w:tc>
        <w:tc>
          <w:tcPr>
            <w:tcW w:type="dxa" w:w="3585"/>
            <w:shd w:fill="FFFFFF" w:color="auto" w:val="clear"/>
            <w:tcMar>
              <w:top w:type="dxa" w:w="60"/>
              <w:left w:type="dxa" w:w="100"/>
              <w:bottom w:type="dxa" w:w="60"/>
              <w:right w:type="dxa" w:w="100"/>
            </w:tcMar>
            <w:vAlign w:val="center"/>
          </w:tcPr>
          <w:p>
            <w:r>
              <w:rPr>
                <w:sz w:val="19"/>
                <w:szCs w:val="19"/>
              </w:rPr>
              <w:t xml:space="preserve">Single-city, single-trade-pair — shows a multi-city, multi-trade platform is a genuine differentiator</w:t>
            </w:r>
          </w:p>
        </w:tc>
      </w:tr>
      <w:tr>
        <w:tc>
          <w:tcPr>
            <w:tcW w:type="dxa" w:w="1991"/>
            <w:shd w:fill="DCE6F1" w:color="auto" w:val="clear"/>
            <w:tcMar>
              <w:top w:type="dxa" w:w="60"/>
              <w:left w:type="dxa" w:w="100"/>
              <w:bottom w:type="dxa" w:w="60"/>
              <w:right w:type="dxa" w:w="100"/>
            </w:tcMar>
            <w:vAlign w:val="center"/>
          </w:tcPr>
          <w:p>
            <w:r>
              <w:rPr>
                <w:sz w:val="19"/>
                <w:szCs w:val="19"/>
              </w:rPr>
              <w:t xml:space="preserve">Ajeer</w:t>
            </w:r>
          </w:p>
        </w:tc>
        <w:tc>
          <w:tcPr>
            <w:tcW w:type="dxa" w:w="3784"/>
            <w:shd w:fill="DCE6F1" w:color="auto" w:val="clear"/>
            <w:tcMar>
              <w:top w:type="dxa" w:w="60"/>
              <w:left w:type="dxa" w:w="100"/>
              <w:bottom w:type="dxa" w:w="60"/>
              <w:right w:type="dxa" w:w="100"/>
            </w:tcMar>
            <w:vAlign w:val="center"/>
          </w:tcPr>
          <w:p>
            <w:r>
              <w:rPr>
                <w:sz w:val="19"/>
                <w:szCs w:val="19"/>
              </w:rPr>
              <w:t xml:space="preserve">AC, plumbing, electrical maintenance “plans” nationwide</w:t>
            </w:r>
          </w:p>
        </w:tc>
        <w:tc>
          <w:tcPr>
            <w:tcW w:type="dxa" w:w="3585"/>
            <w:shd w:fill="DCE6F1" w:color="auto" w:val="clear"/>
            <w:tcMar>
              <w:top w:type="dxa" w:w="60"/>
              <w:left w:type="dxa" w:w="100"/>
              <w:bottom w:type="dxa" w:w="60"/>
              <w:right w:type="dxa" w:w="100"/>
            </w:tcMar>
            <w:vAlign w:val="center"/>
          </w:tcPr>
          <w:p>
            <w:r>
              <w:rPr>
                <w:sz w:val="19"/>
                <w:szCs w:val="19"/>
              </w:rPr>
              <w:t xml:space="preserve">Their “plans” language supports our subscription revenue idea</w:t>
            </w:r>
          </w:p>
        </w:tc>
      </w:tr>
      <w:tr>
        <w:tc>
          <w:tcPr>
            <w:tcW w:type="dxa" w:w="1991"/>
            <w:shd w:fill="FFFFFF" w:color="auto" w:val="clear"/>
            <w:tcMar>
              <w:top w:type="dxa" w:w="60"/>
              <w:left w:type="dxa" w:w="100"/>
              <w:bottom w:type="dxa" w:w="60"/>
              <w:right w:type="dxa" w:w="100"/>
            </w:tcMar>
            <w:vAlign w:val="center"/>
          </w:tcPr>
          <w:p>
            <w:r>
              <w:rPr>
                <w:sz w:val="19"/>
                <w:szCs w:val="19"/>
              </w:rPr>
              <w:t xml:space="preserve">Noon Home Services</w:t>
            </w:r>
          </w:p>
        </w:tc>
        <w:tc>
          <w:tcPr>
            <w:tcW w:type="dxa" w:w="3784"/>
            <w:shd w:fill="FFFFFF" w:color="auto" w:val="clear"/>
            <w:tcMar>
              <w:top w:type="dxa" w:w="60"/>
              <w:left w:type="dxa" w:w="100"/>
              <w:bottom w:type="dxa" w:w="60"/>
              <w:right w:type="dxa" w:w="100"/>
            </w:tcMar>
            <w:vAlign w:val="center"/>
          </w:tcPr>
          <w:p>
            <w:r>
              <w:rPr>
                <w:sz w:val="19"/>
                <w:szCs w:val="19"/>
              </w:rPr>
              <w:t xml:space="preserve">Home services vertical from Noon, a major KSA e-commerce platform</w:t>
            </w:r>
          </w:p>
        </w:tc>
        <w:tc>
          <w:tcPr>
            <w:tcW w:type="dxa" w:w="3585"/>
            <w:shd w:fill="FFFFFF" w:color="auto" w:val="clear"/>
            <w:tcMar>
              <w:top w:type="dxa" w:w="60"/>
              <w:left w:type="dxa" w:w="100"/>
              <w:bottom w:type="dxa" w:w="60"/>
              <w:right w:type="dxa" w:w="100"/>
            </w:tcMar>
            <w:vAlign w:val="center"/>
          </w:tcPr>
          <w:p>
            <w:r>
              <w:rPr>
                <w:sz w:val="19"/>
                <w:szCs w:val="19"/>
              </w:rPr>
              <w:t xml:space="preserve">A well-capitalized entrant validates the category, and is a serious long-term competitive threat</w:t>
            </w:r>
          </w:p>
        </w:tc>
      </w:tr>
      <w:tr>
        <w:tc>
          <w:tcPr>
            <w:tcW w:type="dxa" w:w="1991"/>
            <w:shd w:fill="DCE6F1" w:color="auto" w:val="clear"/>
            <w:tcMar>
              <w:top w:type="dxa" w:w="60"/>
              <w:left w:type="dxa" w:w="100"/>
              <w:bottom w:type="dxa" w:w="60"/>
              <w:right w:type="dxa" w:w="100"/>
            </w:tcMar>
            <w:vAlign w:val="center"/>
          </w:tcPr>
          <w:p>
            <w:r>
              <w:rPr>
                <w:sz w:val="19"/>
                <w:szCs w:val="19"/>
              </w:rPr>
              <w:t xml:space="preserve">Albaap</w:t>
            </w:r>
          </w:p>
        </w:tc>
        <w:tc>
          <w:tcPr>
            <w:tcW w:type="dxa" w:w="3784"/>
            <w:shd w:fill="DCE6F1" w:color="auto" w:val="clear"/>
            <w:tcMar>
              <w:top w:type="dxa" w:w="60"/>
              <w:left w:type="dxa" w:w="100"/>
              <w:bottom w:type="dxa" w:w="60"/>
              <w:right w:type="dxa" w:w="100"/>
            </w:tcMar>
            <w:vAlign w:val="center"/>
          </w:tcPr>
          <w:p>
            <w:r>
              <w:rPr>
                <w:sz w:val="19"/>
                <w:szCs w:val="19"/>
              </w:rPr>
              <w:t xml:space="preserve">Home services app</w:t>
            </w:r>
          </w:p>
        </w:tc>
        <w:tc>
          <w:tcPr>
            <w:tcW w:type="dxa" w:w="3585"/>
            <w:shd w:fill="DCE6F1" w:color="auto" w:val="clear"/>
            <w:tcMar>
              <w:top w:type="dxa" w:w="60"/>
              <w:left w:type="dxa" w:w="100"/>
              <w:bottom w:type="dxa" w:w="60"/>
              <w:right w:type="dxa" w:w="100"/>
            </w:tcMar>
            <w:vAlign w:val="center"/>
          </w:tcPr>
          <w:p>
            <w:r>
              <w:rPr>
                <w:sz w:val="19"/>
                <w:szCs w:val="19"/>
              </w:rPr>
              <w:t xml:space="preserve">Another established competitor to benchmark</w:t>
            </w:r>
          </w:p>
        </w:tc>
      </w:tr>
      <w:tr>
        <w:tc>
          <w:tcPr>
            <w:tcW w:type="dxa" w:w="1991"/>
            <w:shd w:fill="FFFFFF" w:color="auto" w:val="clear"/>
            <w:tcMar>
              <w:top w:type="dxa" w:w="60"/>
              <w:left w:type="dxa" w:w="100"/>
              <w:bottom w:type="dxa" w:w="60"/>
              <w:right w:type="dxa" w:w="100"/>
            </w:tcMar>
            <w:vAlign w:val="center"/>
          </w:tcPr>
          <w:p>
            <w:r>
              <w:rPr>
                <w:sz w:val="19"/>
                <w:szCs w:val="19"/>
              </w:rPr>
              <w:t xml:space="preserve">Muheel (Abdul Latif Jameel)</w:t>
            </w:r>
          </w:p>
        </w:tc>
        <w:tc>
          <w:tcPr>
            <w:tcW w:type="dxa" w:w="3784"/>
            <w:shd w:fill="FFFFFF" w:color="auto" w:val="clear"/>
            <w:tcMar>
              <w:top w:type="dxa" w:w="60"/>
              <w:left w:type="dxa" w:w="100"/>
              <w:bottom w:type="dxa" w:w="60"/>
              <w:right w:type="dxa" w:w="100"/>
            </w:tcMar>
            <w:vAlign w:val="center"/>
          </w:tcPr>
          <w:p>
            <w:r>
              <w:rPr>
                <w:sz w:val="19"/>
                <w:szCs w:val="19"/>
              </w:rPr>
              <w:t xml:space="preserve">App-based maintenance service from a major, long-established conglomerate</w:t>
            </w:r>
          </w:p>
        </w:tc>
        <w:tc>
          <w:tcPr>
            <w:tcW w:type="dxa" w:w="3585"/>
            <w:shd w:fill="FFFFFF" w:color="auto" w:val="clear"/>
            <w:tcMar>
              <w:top w:type="dxa" w:w="60"/>
              <w:left w:type="dxa" w:w="100"/>
              <w:bottom w:type="dxa" w:w="60"/>
              <w:right w:type="dxa" w:w="100"/>
            </w:tcMar>
            <w:vAlign w:val="center"/>
          </w:tcPr>
          <w:p>
            <w:r>
              <w:rPr>
                <w:sz w:val="19"/>
                <w:szCs w:val="19"/>
              </w:rPr>
              <w:t xml:space="preserve">Signals institutional confidence in the category; a well-funded competitor to watch</w:t>
            </w:r>
          </w:p>
        </w:tc>
      </w:tr>
    </w:tbl>
    <w:p>
      <w:pPr>
        <w:spacing w:after="160"/>
        <w:jc w:val="left"/>
      </w:pPr>
      <w:r>
        <w:t xml:space="preserve">What this tells us: the category is validated — multiple funded players, including one backed by a major conglomerate — but it is fragmented across single-city or single-trade players, with no obvious multi-city, multi-trade household name yet. The opening is not to invent a new category, but to execute better than a fragmented field on trust, SLA reliability, and multi-city, multi-trade convenience.</w:t>
      </w:r>
    </w:p>
    <w:p>
      <w:pPr>
        <w:pStyle w:val="Heading2"/>
        <w:spacing w:after="120" w:before="260"/>
      </w:pPr>
      <w:r>
        <w:t xml:space="preserve">Customer segments and what each wants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89"/>
        <w:gridCol w:w="3485"/>
        <w:gridCol w:w="3386"/>
      </w:tblGrid>
      <w:tr>
        <w:trPr>
          <w:tblHeader/>
        </w:trPr>
        <w:tc>
          <w:tcPr>
            <w:tcW w:type="dxa" w:w="2489"/>
            <w:shd w:fill="1F3864" w:color="auto" w:val="clear"/>
            <w:tcMar>
              <w:top w:type="dxa" w:w="80"/>
              <w:left w:type="dxa" w:w="100"/>
              <w:bottom w:type="dxa" w:w="80"/>
              <w:right w:type="dxa" w:w="100"/>
            </w:tcMar>
            <w:vAlign w:val="center"/>
          </w:tcPr>
          <w:p>
            <w:r>
              <w:rPr>
                <w:b/>
                <w:bCs/>
                <w:color w:val="FFFFFF"/>
                <w:sz w:val="20"/>
                <w:szCs w:val="20"/>
              </w:rPr>
              <w:t xml:space="preserve">Segment</w:t>
            </w:r>
          </w:p>
        </w:tc>
        <w:tc>
          <w:tcPr>
            <w:tcW w:type="dxa" w:w="3485"/>
            <w:shd w:fill="1F3864" w:color="auto" w:val="clear"/>
            <w:tcMar>
              <w:top w:type="dxa" w:w="80"/>
              <w:left w:type="dxa" w:w="100"/>
              <w:bottom w:type="dxa" w:w="80"/>
              <w:right w:type="dxa" w:w="100"/>
            </w:tcMar>
            <w:vAlign w:val="center"/>
          </w:tcPr>
          <w:p>
            <w:r>
              <w:rPr>
                <w:b/>
                <w:bCs/>
                <w:color w:val="FFFFFF"/>
                <w:sz w:val="20"/>
                <w:szCs w:val="20"/>
              </w:rPr>
              <w:t xml:space="preserve">What they care about most</w:t>
            </w:r>
          </w:p>
        </w:tc>
        <w:tc>
          <w:tcPr>
            <w:tcW w:type="dxa" w:w="3386"/>
            <w:shd w:fill="1F3864" w:color="auto" w:val="clear"/>
            <w:tcMar>
              <w:top w:type="dxa" w:w="80"/>
              <w:left w:type="dxa" w:w="100"/>
              <w:bottom w:type="dxa" w:w="80"/>
              <w:right w:type="dxa" w:w="100"/>
            </w:tcMar>
            <w:vAlign w:val="center"/>
          </w:tcPr>
          <w:p>
            <w:r>
              <w:rPr>
                <w:b/>
                <w:bCs/>
                <w:color w:val="FFFFFF"/>
                <w:sz w:val="20"/>
                <w:szCs w:val="20"/>
              </w:rPr>
              <w:t xml:space="preserve">Implication</w:t>
            </w:r>
          </w:p>
        </w:tc>
      </w:tr>
      <w:tr>
        <w:tc>
          <w:tcPr>
            <w:tcW w:type="dxa" w:w="2489"/>
            <w:shd w:fill="FFFFFF" w:color="auto" w:val="clear"/>
            <w:tcMar>
              <w:top w:type="dxa" w:w="60"/>
              <w:left w:type="dxa" w:w="100"/>
              <w:bottom w:type="dxa" w:w="60"/>
              <w:right w:type="dxa" w:w="100"/>
            </w:tcMar>
            <w:vAlign w:val="center"/>
          </w:tcPr>
          <w:p>
            <w:r>
              <w:rPr>
                <w:sz w:val="19"/>
                <w:szCs w:val="19"/>
              </w:rPr>
              <w:t xml:space="preserve">Villa owners</w:t>
            </w:r>
          </w:p>
        </w:tc>
        <w:tc>
          <w:tcPr>
            <w:tcW w:type="dxa" w:w="3485"/>
            <w:shd w:fill="FFFFFF" w:color="auto" w:val="clear"/>
            <w:tcMar>
              <w:top w:type="dxa" w:w="60"/>
              <w:left w:type="dxa" w:w="100"/>
              <w:bottom w:type="dxa" w:w="60"/>
              <w:right w:type="dxa" w:w="100"/>
            </w:tcMar>
            <w:vAlign w:val="center"/>
          </w:tcPr>
          <w:p>
            <w:r>
              <w:rPr>
                <w:sz w:val="19"/>
                <w:szCs w:val="19"/>
              </w:rPr>
              <w:t xml:space="preserve">Reliability, trust, a known recurring technician, avoiding damage/theft risk</w:t>
            </w:r>
          </w:p>
        </w:tc>
        <w:tc>
          <w:tcPr>
            <w:tcW w:type="dxa" w:w="3386"/>
            <w:shd w:fill="FFFFFF" w:color="auto" w:val="clear"/>
            <w:tcMar>
              <w:top w:type="dxa" w:w="60"/>
              <w:left w:type="dxa" w:w="100"/>
              <w:bottom w:type="dxa" w:w="60"/>
              <w:right w:type="dxa" w:w="100"/>
            </w:tcMar>
            <w:vAlign w:val="center"/>
          </w:tcPr>
          <w:p>
            <w:r>
              <w:rPr>
                <w:sz w:val="19"/>
                <w:szCs w:val="19"/>
              </w:rPr>
              <w:t xml:space="preserve">Emphasize vetting, ID verification, ratings, subscriptions</w:t>
            </w:r>
          </w:p>
        </w:tc>
      </w:tr>
      <w:tr>
        <w:tc>
          <w:tcPr>
            <w:tcW w:type="dxa" w:w="2489"/>
            <w:shd w:fill="DCE6F1" w:color="auto" w:val="clear"/>
            <w:tcMar>
              <w:top w:type="dxa" w:w="60"/>
              <w:left w:type="dxa" w:w="100"/>
              <w:bottom w:type="dxa" w:w="60"/>
              <w:right w:type="dxa" w:w="100"/>
            </w:tcMar>
            <w:vAlign w:val="center"/>
          </w:tcPr>
          <w:p>
            <w:r>
              <w:rPr>
                <w:sz w:val="19"/>
                <w:szCs w:val="19"/>
              </w:rPr>
              <w:t xml:space="preserve">Apartment renters/tenants</w:t>
            </w:r>
          </w:p>
        </w:tc>
        <w:tc>
          <w:tcPr>
            <w:tcW w:type="dxa" w:w="3485"/>
            <w:shd w:fill="DCE6F1" w:color="auto" w:val="clear"/>
            <w:tcMar>
              <w:top w:type="dxa" w:w="60"/>
              <w:left w:type="dxa" w:w="100"/>
              <w:bottom w:type="dxa" w:w="60"/>
              <w:right w:type="dxa" w:w="100"/>
            </w:tcMar>
            <w:vAlign w:val="center"/>
          </w:tcPr>
          <w:p>
            <w:r>
              <w:rPr>
                <w:sz w:val="19"/>
                <w:szCs w:val="19"/>
              </w:rPr>
              <w:t xml:space="preserve">Speed, price transparency, minimal hassle</w:t>
            </w:r>
          </w:p>
        </w:tc>
        <w:tc>
          <w:tcPr>
            <w:tcW w:type="dxa" w:w="3386"/>
            <w:shd w:fill="DCE6F1" w:color="auto" w:val="clear"/>
            <w:tcMar>
              <w:top w:type="dxa" w:w="60"/>
              <w:left w:type="dxa" w:w="100"/>
              <w:bottom w:type="dxa" w:w="60"/>
              <w:right w:type="dxa" w:w="100"/>
            </w:tcMar>
            <w:vAlign w:val="center"/>
          </w:tcPr>
          <w:p>
            <w:r>
              <w:rPr>
                <w:sz w:val="19"/>
                <w:szCs w:val="19"/>
              </w:rPr>
              <w:t xml:space="preserve">Instant upfront pricing, fast response</w:t>
            </w:r>
          </w:p>
        </w:tc>
      </w:tr>
      <w:tr>
        <w:tc>
          <w:tcPr>
            <w:tcW w:type="dxa" w:w="2489"/>
            <w:shd w:fill="FFFFFF" w:color="auto" w:val="clear"/>
            <w:tcMar>
              <w:top w:type="dxa" w:w="60"/>
              <w:left w:type="dxa" w:w="100"/>
              <w:bottom w:type="dxa" w:w="60"/>
              <w:right w:type="dxa" w:w="100"/>
            </w:tcMar>
            <w:vAlign w:val="center"/>
          </w:tcPr>
          <w:p>
            <w:r>
              <w:rPr>
                <w:sz w:val="19"/>
                <w:szCs w:val="19"/>
              </w:rPr>
              <w:t xml:space="preserve">Expatriate households</w:t>
            </w:r>
          </w:p>
        </w:tc>
        <w:tc>
          <w:tcPr>
            <w:tcW w:type="dxa" w:w="3485"/>
            <w:shd w:fill="FFFFFF" w:color="auto" w:val="clear"/>
            <w:tcMar>
              <w:top w:type="dxa" w:w="60"/>
              <w:left w:type="dxa" w:w="100"/>
              <w:bottom w:type="dxa" w:w="60"/>
              <w:right w:type="dxa" w:w="100"/>
            </w:tcMar>
            <w:vAlign w:val="center"/>
          </w:tcPr>
          <w:p>
            <w:r>
              <w:rPr>
                <w:sz w:val="19"/>
                <w:szCs w:val="19"/>
              </w:rPr>
              <w:t xml:space="preserve">English support, digital payment convenience, no existing informal referral network</w:t>
            </w:r>
          </w:p>
        </w:tc>
        <w:tc>
          <w:tcPr>
            <w:tcW w:type="dxa" w:w="3386"/>
            <w:shd w:fill="FFFFFF" w:color="auto" w:val="clear"/>
            <w:tcMar>
              <w:top w:type="dxa" w:w="60"/>
              <w:left w:type="dxa" w:w="100"/>
              <w:bottom w:type="dxa" w:w="60"/>
              <w:right w:type="dxa" w:w="100"/>
            </w:tcMar>
            <w:vAlign w:val="center"/>
          </w:tcPr>
          <w:p>
            <w:r>
              <w:rPr>
                <w:sz w:val="19"/>
                <w:szCs w:val="19"/>
              </w:rPr>
              <w:t xml:space="preserve">Strong bilingual UX; a key early-adopter segment</w:t>
            </w:r>
          </w:p>
        </w:tc>
      </w:tr>
      <w:tr>
        <w:tc>
          <w:tcPr>
            <w:tcW w:type="dxa" w:w="2489"/>
            <w:shd w:fill="DCE6F1" w:color="auto" w:val="clear"/>
            <w:tcMar>
              <w:top w:type="dxa" w:w="60"/>
              <w:left w:type="dxa" w:w="100"/>
              <w:bottom w:type="dxa" w:w="60"/>
              <w:right w:type="dxa" w:w="100"/>
            </w:tcMar>
            <w:vAlign w:val="center"/>
          </w:tcPr>
          <w:p>
            <w:r>
              <w:rPr>
                <w:sz w:val="19"/>
                <w:szCs w:val="19"/>
              </w:rPr>
              <w:t xml:space="preserve">Landlords with multiple units</w:t>
            </w:r>
          </w:p>
        </w:tc>
        <w:tc>
          <w:tcPr>
            <w:tcW w:type="dxa" w:w="3485"/>
            <w:shd w:fill="DCE6F1" w:color="auto" w:val="clear"/>
            <w:tcMar>
              <w:top w:type="dxa" w:w="60"/>
              <w:left w:type="dxa" w:w="100"/>
              <w:bottom w:type="dxa" w:w="60"/>
              <w:right w:type="dxa" w:w="100"/>
            </w:tcMar>
            <w:vAlign w:val="center"/>
          </w:tcPr>
          <w:p>
            <w:r>
              <w:rPr>
                <w:sz w:val="19"/>
                <w:szCs w:val="19"/>
              </w:rPr>
              <w:t xml:space="preserve">Volume, consolidated invoicing, consistent quality across properties</w:t>
            </w:r>
          </w:p>
        </w:tc>
        <w:tc>
          <w:tcPr>
            <w:tcW w:type="dxa" w:w="3386"/>
            <w:shd w:fill="DCE6F1" w:color="auto" w:val="clear"/>
            <w:tcMar>
              <w:top w:type="dxa" w:w="60"/>
              <w:left w:type="dxa" w:w="100"/>
              <w:bottom w:type="dxa" w:w="60"/>
              <w:right w:type="dxa" w:w="100"/>
            </w:tcMar>
            <w:vAlign w:val="center"/>
          </w:tcPr>
          <w:p>
            <w:r>
              <w:rPr>
                <w:sz w:val="19"/>
                <w:szCs w:val="19"/>
              </w:rPr>
              <w:t xml:space="preserve">A natural bridge to the eventual corporate offering</w:t>
            </w:r>
          </w:p>
        </w:tc>
      </w:tr>
    </w:tbl>
    <w:p>
      <w:pPr>
        <w:pStyle w:val="Heading2"/>
        <w:spacing w:after="120" w:before="260"/>
      </w:pPr>
      <w:r>
        <w:t xml:space="preserve">Seasonality</w:t>
      </w:r>
    </w:p>
    <w:p>
      <w:pPr>
        <w:spacing w:after="160"/>
        <w:jc w:val="left"/>
      </w:pPr>
      <w:r>
        <w:t xml:space="preserve">HVAC demand spikes hard from roughly March through September. Electrical and plumbing are more even year-round with bumps around Ramadan/Eid and school-year start. Civil finishes cluster around move-in/move-out cycles and major holidays. Plan launch timing to land before the summer AC season wherever possible.</w:t>
      </w:r>
    </w:p>
    <w:p>
      <w:pPr>
        <w:pStyle w:val="Heading2"/>
        <w:spacing w:after="120" w:before="260"/>
      </w:pPr>
      <w:r>
        <w:t xml:space="preserve">Where this research is strong vs. needs more before a bank/investor pitch</w:t>
      </w:r>
    </w:p>
    <w:p>
      <w:pPr>
        <w:spacing w:after="160"/>
        <w:jc w:val="left"/>
      </w:pPr>
      <w:r>
        <w:t xml:space="preserve">Strong and usable as-is: regulatory landscape, competitor identification, city-level sizing, revenue-model precedent, seasonality.</w:t>
      </w:r>
    </w:p>
    <w:p>
      <w:pPr>
        <w:spacing w:after="160"/>
        <w:jc w:val="left"/>
      </w:pPr>
      <w:r>
        <w:t xml:space="preserve">Needs primary research before finalizing investor materials: exact household counts per city (GASTAT), mystery-shopping competitor pricing and response times, direct conversations with 10–15 candidate contractors on commission tolerance, and a simple landing-page demand smoke test.</w:t>
      </w:r>
    </w:p>
    <w:p>
      <w:pPr>
        <w:pStyle w:val="Heading1"/>
        <w:pageBreakBefore/>
        <w:spacing w:after="200" w:before="400"/>
      </w:pPr>
      <w:r>
        <w:t xml:space="preserve">4. Feasibility Study</w:t>
      </w:r>
    </w:p>
    <w:p>
      <w:pPr>
        <w:spacing w:after="160"/>
        <w:jc w:val="left"/>
      </w:pPr>
      <w:r>
        <w:t xml:space="preserve">A feasibility study answers one question from four angles: can this actually be done, realistically? Each is scored: Green = clear path, Yellow = doable but needs specific action.</w:t>
      </w:r>
    </w:p>
    <w:p>
      <w:pPr>
        <w:pStyle w:val="Heading2"/>
        <w:spacing w:after="120" w:before="260"/>
      </w:pPr>
      <w:r>
        <w:t xml:space="preserve">Technical feasibility — Green</w:t>
      </w:r>
    </w:p>
    <w:p>
      <w:pPr>
        <w:spacing w:after="160"/>
        <w:jc w:val="left"/>
      </w:pPr>
      <w:r>
        <w:t xml:space="preserve">Building a two-sided marketplace app (customer app, contractor app, admin dashboard) is a well-understood problem, not novel technology. Recommended build sequence, in order of preference: (1) a no-code/low-code MVP first — a simple booking site + WhatsApp Business + manual dispatch — to validate demand cheaply; (2) an outsourced development agency for the full app once demand is validated; (3) an in-house team, once scale justifies it. Payment integration must go through a licensed KSA payment gateway partner, not be built in-house.</w:t>
      </w:r>
    </w:p>
    <w:p>
      <w:pPr>
        <w:pStyle w:val="Heading2"/>
        <w:spacing w:after="120" w:before="260"/>
      </w:pPr>
      <w:r>
        <w:t xml:space="preserve">Operational feasibility — Yellow</w:t>
      </w:r>
    </w:p>
    <w:p>
      <w:pPr>
        <w:spacing w:after="160"/>
        <w:jc w:val="left"/>
      </w:pPr>
      <w:r>
        <w:t xml:space="preserve">The technology is the easy part. The hard part is operations: recruiting good contractors, keeping quality consistent, and handling disputes. Before launch, staff or build a process for: contractor recruitment &amp; vetting, dispatch, quality control, dispute resolution &amp; guarantees, and bilingual customer support. This is where most businesses in this category actually fail — budget real headcount for it from day one (Section 6).</w:t>
      </w:r>
    </w:p>
    <w:p>
      <w:pPr>
        <w:pStyle w:val="Heading2"/>
        <w:spacing w:after="120" w:before="260"/>
      </w:pPr>
      <w:r>
        <w:t xml:space="preserve">Legal &amp; regulatory feasibility — Yellow</w:t>
      </w:r>
    </w:p>
    <w:p>
      <w:pPr>
        <w:spacing w:after="160"/>
        <w:jc w:val="left"/>
      </w:pPr>
      <w:r>
        <w:t xml:space="preserve">This is the section requiring the most professional confirmation before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89"/>
        <w:gridCol w:w="3983"/>
        <w:gridCol w:w="2788"/>
      </w:tblGrid>
      <w:tr>
        <w:trPr>
          <w:tblHeader/>
        </w:trPr>
        <w:tc>
          <w:tcPr>
            <w:tcW w:type="dxa" w:w="2589"/>
            <w:shd w:fill="1F3864" w:color="auto" w:val="clear"/>
            <w:tcMar>
              <w:top w:type="dxa" w:w="80"/>
              <w:left w:type="dxa" w:w="100"/>
              <w:bottom w:type="dxa" w:w="80"/>
              <w:right w:type="dxa" w:w="100"/>
            </w:tcMar>
            <w:vAlign w:val="center"/>
          </w:tcPr>
          <w:p>
            <w:r>
              <w:rPr>
                <w:b/>
                <w:bCs/>
                <w:color w:val="FFFFFF"/>
                <w:sz w:val="20"/>
                <w:szCs w:val="20"/>
              </w:rPr>
              <w:t xml:space="preserve">Requirement</w:t>
            </w:r>
          </w:p>
        </w:tc>
        <w:tc>
          <w:tcPr>
            <w:tcW w:type="dxa" w:w="3983"/>
            <w:shd w:fill="1F3864" w:color="auto" w:val="clear"/>
            <w:tcMar>
              <w:top w:type="dxa" w:w="80"/>
              <w:left w:type="dxa" w:w="100"/>
              <w:bottom w:type="dxa" w:w="80"/>
              <w:right w:type="dxa" w:w="100"/>
            </w:tcMar>
            <w:vAlign w:val="center"/>
          </w:tcPr>
          <w:p>
            <w:r>
              <w:rPr>
                <w:b/>
                <w:bCs/>
                <w:color w:val="FFFFFF"/>
                <w:sz w:val="20"/>
                <w:szCs w:val="20"/>
              </w:rPr>
              <w:t xml:space="preserve">What we found</w:t>
            </w:r>
          </w:p>
        </w:tc>
        <w:tc>
          <w:tcPr>
            <w:tcW w:type="dxa" w:w="2788"/>
            <w:shd w:fill="1F3864" w:color="auto" w:val="clear"/>
            <w:tcMar>
              <w:top w:type="dxa" w:w="80"/>
              <w:left w:type="dxa" w:w="100"/>
              <w:bottom w:type="dxa" w:w="80"/>
              <w:right w:type="dxa" w:w="100"/>
            </w:tcMar>
            <w:vAlign w:val="center"/>
          </w:tcPr>
          <w:p>
            <w:r>
              <w:rPr>
                <w:b/>
                <w:bCs/>
                <w:color w:val="FFFFFF"/>
                <w:sz w:val="20"/>
                <w:szCs w:val="20"/>
              </w:rPr>
              <w:t xml:space="preserve">Action needed</w:t>
            </w:r>
          </w:p>
        </w:tc>
      </w:tr>
      <w:tr>
        <w:tc>
          <w:tcPr>
            <w:tcW w:type="dxa" w:w="2589"/>
            <w:shd w:fill="FFFFFF" w:color="auto" w:val="clear"/>
            <w:tcMar>
              <w:top w:type="dxa" w:w="60"/>
              <w:left w:type="dxa" w:w="100"/>
              <w:bottom w:type="dxa" w:w="60"/>
              <w:right w:type="dxa" w:w="100"/>
            </w:tcMar>
            <w:vAlign w:val="center"/>
          </w:tcPr>
          <w:p>
            <w:r>
              <w:rPr>
                <w:sz w:val="19"/>
                <w:szCs w:val="19"/>
              </w:rPr>
              <w:t xml:space="preserve">Commercial Registration (CR)</w:t>
            </w:r>
          </w:p>
        </w:tc>
        <w:tc>
          <w:tcPr>
            <w:tcW w:type="dxa" w:w="3983"/>
            <w:shd w:fill="FFFFFF" w:color="auto" w:val="clear"/>
            <w:tcMar>
              <w:top w:type="dxa" w:w="60"/>
              <w:left w:type="dxa" w:w="100"/>
              <w:bottom w:type="dxa" w:w="60"/>
              <w:right w:type="dxa" w:w="100"/>
            </w:tcMar>
            <w:vAlign w:val="center"/>
          </w:tcPr>
          <w:p>
            <w:r>
              <w:rPr>
                <w:sz w:val="19"/>
                <w:szCs w:val="19"/>
              </w:rPr>
              <w:t xml:space="preserve">Needs an activity code matching a marketplace/services-intermediary business, not a contracting classification</w:t>
            </w:r>
          </w:p>
        </w:tc>
        <w:tc>
          <w:tcPr>
            <w:tcW w:type="dxa" w:w="2788"/>
            <w:shd w:fill="FFFFFF" w:color="auto" w:val="clear"/>
            <w:tcMar>
              <w:top w:type="dxa" w:w="60"/>
              <w:left w:type="dxa" w:w="100"/>
              <w:bottom w:type="dxa" w:w="60"/>
              <w:right w:type="dxa" w:w="100"/>
            </w:tcMar>
            <w:vAlign w:val="center"/>
          </w:tcPr>
          <w:p>
            <w:r>
              <w:rPr>
                <w:sz w:val="19"/>
                <w:szCs w:val="19"/>
              </w:rPr>
              <w:t xml:space="preserve">File with a Saudi corporate lawyer or licensed business-setup consultancy</w:t>
            </w:r>
          </w:p>
        </w:tc>
      </w:tr>
      <w:tr>
        <w:tc>
          <w:tcPr>
            <w:tcW w:type="dxa" w:w="2589"/>
            <w:shd w:fill="DCE6F1" w:color="auto" w:val="clear"/>
            <w:tcMar>
              <w:top w:type="dxa" w:w="60"/>
              <w:left w:type="dxa" w:w="100"/>
              <w:bottom w:type="dxa" w:w="60"/>
              <w:right w:type="dxa" w:w="100"/>
            </w:tcMar>
            <w:vAlign w:val="center"/>
          </w:tcPr>
          <w:p>
            <w:r>
              <w:rPr>
                <w:sz w:val="19"/>
                <w:szCs w:val="19"/>
              </w:rPr>
              <w:t xml:space="preserve">Maroof e-commerce verification</w:t>
            </w:r>
          </w:p>
        </w:tc>
        <w:tc>
          <w:tcPr>
            <w:tcW w:type="dxa" w:w="3983"/>
            <w:shd w:fill="DCE6F1" w:color="auto" w:val="clear"/>
            <w:tcMar>
              <w:top w:type="dxa" w:w="60"/>
              <w:left w:type="dxa" w:w="100"/>
              <w:bottom w:type="dxa" w:w="60"/>
              <w:right w:type="dxa" w:w="100"/>
            </w:tcMar>
            <w:vAlign w:val="center"/>
          </w:tcPr>
          <w:p>
            <w:r>
              <w:rPr>
                <w:sz w:val="19"/>
                <w:szCs w:val="19"/>
              </w:rPr>
              <w:t xml:space="preserve">Ministry of Commerce platform verifying legitimacy; increasingly required by payment gateways</w:t>
            </w:r>
          </w:p>
        </w:tc>
        <w:tc>
          <w:tcPr>
            <w:tcW w:type="dxa" w:w="2788"/>
            <w:shd w:fill="DCE6F1" w:color="auto" w:val="clear"/>
            <w:tcMar>
              <w:top w:type="dxa" w:w="60"/>
              <w:left w:type="dxa" w:w="100"/>
              <w:bottom w:type="dxa" w:w="60"/>
              <w:right w:type="dxa" w:w="100"/>
            </w:tcMar>
            <w:vAlign w:val="center"/>
          </w:tcPr>
          <w:p>
            <w:r>
              <w:rPr>
                <w:sz w:val="19"/>
                <w:szCs w:val="19"/>
              </w:rPr>
              <w:t xml:space="preserve">Register once CR is issued</w:t>
            </w:r>
          </w:p>
        </w:tc>
      </w:tr>
      <w:tr>
        <w:tc>
          <w:tcPr>
            <w:tcW w:type="dxa" w:w="2589"/>
            <w:shd w:fill="FFFFFF" w:color="auto" w:val="clear"/>
            <w:tcMar>
              <w:top w:type="dxa" w:w="60"/>
              <w:left w:type="dxa" w:w="100"/>
              <w:bottom w:type="dxa" w:w="60"/>
              <w:right w:type="dxa" w:w="100"/>
            </w:tcMar>
            <w:vAlign w:val="center"/>
          </w:tcPr>
          <w:p>
            <w:r>
              <w:rPr>
                <w:sz w:val="19"/>
                <w:szCs w:val="19"/>
              </w:rPr>
              <w:t xml:space="preserve">Do we need our own trade/SCA license?</w:t>
            </w:r>
          </w:p>
        </w:tc>
        <w:tc>
          <w:tcPr>
            <w:tcW w:type="dxa" w:w="3983"/>
            <w:shd w:fill="FFFFFF" w:color="auto" w:val="clear"/>
            <w:tcMar>
              <w:top w:type="dxa" w:w="60"/>
              <w:left w:type="dxa" w:w="100"/>
              <w:bottom w:type="dxa" w:w="60"/>
              <w:right w:type="dxa" w:w="100"/>
            </w:tcMar>
            <w:vAlign w:val="center"/>
          </w:tcPr>
          <w:p>
            <w:r>
              <w:rPr>
                <w:sz w:val="19"/>
                <w:szCs w:val="19"/>
              </w:rPr>
              <w:t xml:space="preserve">SCA and Balady trade licenses apply to companies that perform the work. Since we never touch a customer’s wiring or pipes, the plain reading is we do not need one</w:t>
            </w:r>
          </w:p>
        </w:tc>
        <w:tc>
          <w:tcPr>
            <w:tcW w:type="dxa" w:w="2788"/>
            <w:shd w:fill="FFFFFF" w:color="auto" w:val="clear"/>
            <w:tcMar>
              <w:top w:type="dxa" w:w="60"/>
              <w:left w:type="dxa" w:w="100"/>
              <w:bottom w:type="dxa" w:w="60"/>
              <w:right w:type="dxa" w:w="100"/>
            </w:tcMar>
            <w:vAlign w:val="center"/>
          </w:tcPr>
          <w:p>
            <w:r>
              <w:rPr>
                <w:sz w:val="19"/>
                <w:szCs w:val="19"/>
              </w:rPr>
              <w:t xml:space="preserve">Confirm in writing with a Saudi corporate lawyer before relying on this — the single most important legal question in this plan</w:t>
            </w:r>
          </w:p>
        </w:tc>
      </w:tr>
      <w:tr>
        <w:tc>
          <w:tcPr>
            <w:tcW w:type="dxa" w:w="2589"/>
            <w:shd w:fill="DCE6F1" w:color="auto" w:val="clear"/>
            <w:tcMar>
              <w:top w:type="dxa" w:w="60"/>
              <w:left w:type="dxa" w:w="100"/>
              <w:bottom w:type="dxa" w:w="60"/>
              <w:right w:type="dxa" w:w="100"/>
            </w:tcMar>
            <w:vAlign w:val="center"/>
          </w:tcPr>
          <w:p>
            <w:r>
              <w:rPr>
                <w:sz w:val="19"/>
                <w:szCs w:val="19"/>
              </w:rPr>
              <w:t xml:space="preserve">Contractor partner licensing</w:t>
            </w:r>
          </w:p>
        </w:tc>
        <w:tc>
          <w:tcPr>
            <w:tcW w:type="dxa" w:w="3983"/>
            <w:shd w:fill="DCE6F1" w:color="auto" w:val="clear"/>
            <w:tcMar>
              <w:top w:type="dxa" w:w="60"/>
              <w:left w:type="dxa" w:w="100"/>
              <w:bottom w:type="dxa" w:w="60"/>
              <w:right w:type="dxa" w:w="100"/>
            </w:tcMar>
            <w:vAlign w:val="center"/>
          </w:tcPr>
          <w:p>
            <w:r>
              <w:rPr>
                <w:sz w:val="19"/>
                <w:szCs w:val="19"/>
              </w:rPr>
              <w:t xml:space="preserve">Every partner must independently hold a valid Balady license and, where applicable, Civil Defense approval and SCA classification</w:t>
            </w:r>
          </w:p>
        </w:tc>
        <w:tc>
          <w:tcPr>
            <w:tcW w:type="dxa" w:w="2788"/>
            <w:shd w:fill="DCE6F1" w:color="auto" w:val="clear"/>
            <w:tcMar>
              <w:top w:type="dxa" w:w="60"/>
              <w:left w:type="dxa" w:w="100"/>
              <w:bottom w:type="dxa" w:w="60"/>
              <w:right w:type="dxa" w:w="100"/>
            </w:tcMar>
            <w:vAlign w:val="center"/>
          </w:tcPr>
          <w:p>
            <w:r>
              <w:rPr>
                <w:sz w:val="19"/>
                <w:szCs w:val="19"/>
              </w:rPr>
              <w:t xml:space="preserve">Verify at onboarding via Balady/Wathq and re-verify annually</w:t>
            </w:r>
          </w:p>
        </w:tc>
      </w:tr>
      <w:tr>
        <w:tc>
          <w:tcPr>
            <w:tcW w:type="dxa" w:w="2589"/>
            <w:shd w:fill="FFFFFF" w:color="auto" w:val="clear"/>
            <w:tcMar>
              <w:top w:type="dxa" w:w="60"/>
              <w:left w:type="dxa" w:w="100"/>
              <w:bottom w:type="dxa" w:w="60"/>
              <w:right w:type="dxa" w:w="100"/>
            </w:tcMar>
            <w:vAlign w:val="center"/>
          </w:tcPr>
          <w:p>
            <w:r>
              <w:rPr>
                <w:sz w:val="19"/>
                <w:szCs w:val="19"/>
              </w:rPr>
              <w:t xml:space="preserve">Payment processing</w:t>
            </w:r>
          </w:p>
        </w:tc>
        <w:tc>
          <w:tcPr>
            <w:tcW w:type="dxa" w:w="3983"/>
            <w:shd w:fill="FFFFFF" w:color="auto" w:val="clear"/>
            <w:tcMar>
              <w:top w:type="dxa" w:w="60"/>
              <w:left w:type="dxa" w:w="100"/>
              <w:bottom w:type="dxa" w:w="60"/>
              <w:right w:type="dxa" w:w="100"/>
            </w:tcMar>
            <w:vAlign w:val="center"/>
          </w:tcPr>
          <w:p>
            <w:r>
              <w:rPr>
                <w:sz w:val="19"/>
                <w:szCs w:val="19"/>
              </w:rPr>
              <w:t xml:space="preserve">Requires a SAMA-licensed payment service provider (e.g., established KSA gateways such as Moyasar, PayTabs, HyperPay, Tap Payments)</w:t>
            </w:r>
          </w:p>
        </w:tc>
        <w:tc>
          <w:tcPr>
            <w:tcW w:type="dxa" w:w="2788"/>
            <w:shd w:fill="FFFFFF" w:color="auto" w:val="clear"/>
            <w:tcMar>
              <w:top w:type="dxa" w:w="60"/>
              <w:left w:type="dxa" w:w="100"/>
              <w:bottom w:type="dxa" w:w="60"/>
              <w:right w:type="dxa" w:w="100"/>
            </w:tcMar>
            <w:vAlign w:val="center"/>
          </w:tcPr>
          <w:p>
            <w:r>
              <w:rPr>
                <w:sz w:val="19"/>
                <w:szCs w:val="19"/>
              </w:rPr>
              <w:t xml:space="preserve">Engage directly for integration; confirm current licensing status</w:t>
            </w:r>
          </w:p>
        </w:tc>
      </w:tr>
      <w:tr>
        <w:tc>
          <w:tcPr>
            <w:tcW w:type="dxa" w:w="2589"/>
            <w:shd w:fill="DCE6F1" w:color="auto" w:val="clear"/>
            <w:tcMar>
              <w:top w:type="dxa" w:w="60"/>
              <w:left w:type="dxa" w:w="100"/>
              <w:bottom w:type="dxa" w:w="60"/>
              <w:right w:type="dxa" w:w="100"/>
            </w:tcMar>
            <w:vAlign w:val="center"/>
          </w:tcPr>
          <w:p>
            <w:r>
              <w:rPr>
                <w:sz w:val="19"/>
                <w:szCs w:val="19"/>
              </w:rPr>
              <w:t xml:space="preserve">VAT</w:t>
            </w:r>
          </w:p>
        </w:tc>
        <w:tc>
          <w:tcPr>
            <w:tcW w:type="dxa" w:w="3983"/>
            <w:shd w:fill="DCE6F1" w:color="auto" w:val="clear"/>
            <w:tcMar>
              <w:top w:type="dxa" w:w="60"/>
              <w:left w:type="dxa" w:w="100"/>
              <w:bottom w:type="dxa" w:w="60"/>
              <w:right w:type="dxa" w:w="100"/>
            </w:tcMar>
            <w:vAlign w:val="center"/>
          </w:tcPr>
          <w:p>
            <w:r>
              <w:rPr>
                <w:sz w:val="19"/>
                <w:szCs w:val="19"/>
              </w:rPr>
              <w:t xml:space="preserve">Standard rate 15%, administered by ZATCA. Mandatory above SAR 375,000/year turnover, voluntary above SAR 187,500/year</w:t>
            </w:r>
          </w:p>
        </w:tc>
        <w:tc>
          <w:tcPr>
            <w:tcW w:type="dxa" w:w="2788"/>
            <w:shd w:fill="DCE6F1" w:color="auto" w:val="clear"/>
            <w:tcMar>
              <w:top w:type="dxa" w:w="60"/>
              <w:left w:type="dxa" w:w="100"/>
              <w:bottom w:type="dxa" w:w="60"/>
              <w:right w:type="dxa" w:w="100"/>
            </w:tcMar>
            <w:vAlign w:val="center"/>
          </w:tcPr>
          <w:p>
            <w:r>
              <w:rPr>
                <w:sz w:val="19"/>
                <w:szCs w:val="19"/>
              </w:rPr>
              <w:t xml:space="preserve">Register at the appropriate threshold; use a licensed accountant for e-invoicing compliance</w:t>
            </w:r>
          </w:p>
        </w:tc>
      </w:tr>
      <w:tr>
        <w:tc>
          <w:tcPr>
            <w:tcW w:type="dxa" w:w="2589"/>
            <w:shd w:fill="FFFFFF" w:color="auto" w:val="clear"/>
            <w:tcMar>
              <w:top w:type="dxa" w:w="60"/>
              <w:left w:type="dxa" w:w="100"/>
              <w:bottom w:type="dxa" w:w="60"/>
              <w:right w:type="dxa" w:w="100"/>
            </w:tcMar>
            <w:vAlign w:val="center"/>
          </w:tcPr>
          <w:p>
            <w:r>
              <w:rPr>
                <w:sz w:val="19"/>
                <w:szCs w:val="19"/>
              </w:rPr>
              <w:t xml:space="preserve">Zakat / corporate tax</w:t>
            </w:r>
          </w:p>
        </w:tc>
        <w:tc>
          <w:tcPr>
            <w:tcW w:type="dxa" w:w="3983"/>
            <w:shd w:fill="FFFFFF" w:color="auto" w:val="clear"/>
            <w:tcMar>
              <w:top w:type="dxa" w:w="60"/>
              <w:left w:type="dxa" w:w="100"/>
              <w:bottom w:type="dxa" w:w="60"/>
              <w:right w:type="dxa" w:w="100"/>
            </w:tcMar>
            <w:vAlign w:val="center"/>
          </w:tcPr>
          <w:p>
            <w:r>
              <w:rPr>
                <w:sz w:val="19"/>
                <w:szCs w:val="19"/>
              </w:rPr>
              <w:t xml:space="preserve">Saudi/GCC shareholders: 2.5% Zakat on their share. Non-Saudi/non-GCC shareholders: 20% corporate income tax on their share</w:t>
            </w:r>
          </w:p>
        </w:tc>
        <w:tc>
          <w:tcPr>
            <w:tcW w:type="dxa" w:w="2788"/>
            <w:shd w:fill="FFFFFF" w:color="auto" w:val="clear"/>
            <w:tcMar>
              <w:top w:type="dxa" w:w="60"/>
              <w:left w:type="dxa" w:w="100"/>
              <w:bottom w:type="dxa" w:w="60"/>
              <w:right w:type="dxa" w:w="100"/>
            </w:tcMar>
            <w:vAlign w:val="center"/>
          </w:tcPr>
          <w:p>
            <w:r>
              <w:rPr>
                <w:sz w:val="19"/>
                <w:szCs w:val="19"/>
              </w:rPr>
              <w:t xml:space="preserve">Confirm treatment with an accountant before finalizing the cap table</w:t>
            </w:r>
          </w:p>
        </w:tc>
      </w:tr>
      <w:tr>
        <w:tc>
          <w:tcPr>
            <w:tcW w:type="dxa" w:w="2589"/>
            <w:shd w:fill="DCE6F1" w:color="auto" w:val="clear"/>
            <w:tcMar>
              <w:top w:type="dxa" w:w="60"/>
              <w:left w:type="dxa" w:w="100"/>
              <w:bottom w:type="dxa" w:w="60"/>
              <w:right w:type="dxa" w:w="100"/>
            </w:tcMar>
            <w:vAlign w:val="center"/>
          </w:tcPr>
          <w:p>
            <w:r>
              <w:rPr>
                <w:sz w:val="19"/>
                <w:szCs w:val="19"/>
              </w:rPr>
              <w:t xml:space="preserve">Foreign ownership (MISA)</w:t>
            </w:r>
          </w:p>
        </w:tc>
        <w:tc>
          <w:tcPr>
            <w:tcW w:type="dxa" w:w="3983"/>
            <w:shd w:fill="DCE6F1" w:color="auto" w:val="clear"/>
            <w:tcMar>
              <w:top w:type="dxa" w:w="60"/>
              <w:left w:type="dxa" w:w="100"/>
              <w:bottom w:type="dxa" w:w="60"/>
              <w:right w:type="dxa" w:w="100"/>
            </w:tcMar>
            <w:vAlign w:val="center"/>
          </w:tcPr>
          <w:p>
            <w:r>
              <w:rPr>
                <w:sz w:val="19"/>
                <w:szCs w:val="19"/>
              </w:rPr>
              <w:t xml:space="preserve">Non-Saudi-owned companies generally require a MISA investment license; 100% foreign ownership is permitted in most services sectors</w:t>
            </w:r>
          </w:p>
        </w:tc>
        <w:tc>
          <w:tcPr>
            <w:tcW w:type="dxa" w:w="2788"/>
            <w:shd w:fill="DCE6F1" w:color="auto" w:val="clear"/>
            <w:tcMar>
              <w:top w:type="dxa" w:w="60"/>
              <w:left w:type="dxa" w:w="100"/>
              <w:bottom w:type="dxa" w:w="60"/>
              <w:right w:type="dxa" w:w="100"/>
            </w:tcMar>
            <w:vAlign w:val="center"/>
          </w:tcPr>
          <w:p>
            <w:r>
              <w:rPr>
                <w:sz w:val="19"/>
                <w:szCs w:val="19"/>
              </w:rPr>
              <w:t xml:space="preserve">If any owner is non-Saudi, start this track early, in parallel with legal work</w:t>
            </w:r>
          </w:p>
        </w:tc>
      </w:tr>
      <w:tr>
        <w:tc>
          <w:tcPr>
            <w:tcW w:type="dxa" w:w="2589"/>
            <w:shd w:fill="FFFFFF" w:color="auto" w:val="clear"/>
            <w:tcMar>
              <w:top w:type="dxa" w:w="60"/>
              <w:left w:type="dxa" w:w="100"/>
              <w:bottom w:type="dxa" w:w="60"/>
              <w:right w:type="dxa" w:w="100"/>
            </w:tcMar>
            <w:vAlign w:val="center"/>
          </w:tcPr>
          <w:p>
            <w:r>
              <w:rPr>
                <w:sz w:val="19"/>
                <w:szCs w:val="19"/>
              </w:rPr>
              <w:t xml:space="preserve">Saudization (Nitaqat)</w:t>
            </w:r>
          </w:p>
        </w:tc>
        <w:tc>
          <w:tcPr>
            <w:tcW w:type="dxa" w:w="3983"/>
            <w:shd w:fill="FFFFFF" w:color="auto" w:val="clear"/>
            <w:tcMar>
              <w:top w:type="dxa" w:w="60"/>
              <w:left w:type="dxa" w:w="100"/>
              <w:bottom w:type="dxa" w:w="60"/>
              <w:right w:type="dxa" w:w="100"/>
            </w:tcMar>
            <w:vAlign w:val="center"/>
          </w:tcPr>
          <w:p>
            <w:r>
              <w:rPr>
                <w:sz w:val="19"/>
                <w:szCs w:val="19"/>
              </w:rPr>
              <w:t xml:space="preserve">Directly employed staff (ops, support, marketing) count toward the company’s Nitaqat quota, affecting visa issuance for non-Saudi hires</w:t>
            </w:r>
          </w:p>
        </w:tc>
        <w:tc>
          <w:tcPr>
            <w:tcW w:type="dxa" w:w="2788"/>
            <w:shd w:fill="FFFFFF" w:color="auto" w:val="clear"/>
            <w:tcMar>
              <w:top w:type="dxa" w:w="60"/>
              <w:left w:type="dxa" w:w="100"/>
              <w:bottom w:type="dxa" w:w="60"/>
              <w:right w:type="dxa" w:w="100"/>
            </w:tcMar>
            <w:vAlign w:val="center"/>
          </w:tcPr>
          <w:p>
            <w:r>
              <w:rPr>
                <w:sz w:val="19"/>
                <w:szCs w:val="19"/>
              </w:rPr>
              <w:t xml:space="preserve">Model the Phase 1 hiring mix with a licensed HR/legal consultant</w:t>
            </w:r>
          </w:p>
        </w:tc>
      </w:tr>
      <w:tr>
        <w:tc>
          <w:tcPr>
            <w:tcW w:type="dxa" w:w="2589"/>
            <w:shd w:fill="DCE6F1" w:color="auto" w:val="clear"/>
            <w:tcMar>
              <w:top w:type="dxa" w:w="60"/>
              <w:left w:type="dxa" w:w="100"/>
              <w:bottom w:type="dxa" w:w="60"/>
              <w:right w:type="dxa" w:w="100"/>
            </w:tcMar>
            <w:vAlign w:val="center"/>
          </w:tcPr>
          <w:p>
            <w:r>
              <w:rPr>
                <w:sz w:val="19"/>
                <w:szCs w:val="19"/>
              </w:rPr>
              <w:t xml:space="preserve">Data protection (PDPL)</w:t>
            </w:r>
          </w:p>
        </w:tc>
        <w:tc>
          <w:tcPr>
            <w:tcW w:type="dxa" w:w="3983"/>
            <w:shd w:fill="DCE6F1" w:color="auto" w:val="clear"/>
            <w:tcMar>
              <w:top w:type="dxa" w:w="60"/>
              <w:left w:type="dxa" w:w="100"/>
              <w:bottom w:type="dxa" w:w="60"/>
              <w:right w:type="dxa" w:w="100"/>
            </w:tcMar>
            <w:vAlign w:val="center"/>
          </w:tcPr>
          <w:p>
            <w:r>
              <w:rPr>
                <w:sz w:val="19"/>
                <w:szCs w:val="19"/>
              </w:rPr>
              <w:t xml:space="preserve">Governs collection/storage/processing of customer personal data — names, addresses, home-access details</w:t>
            </w:r>
          </w:p>
        </w:tc>
        <w:tc>
          <w:tcPr>
            <w:tcW w:type="dxa" w:w="2788"/>
            <w:shd w:fill="DCE6F1" w:color="auto" w:val="clear"/>
            <w:tcMar>
              <w:top w:type="dxa" w:w="60"/>
              <w:left w:type="dxa" w:w="100"/>
              <w:bottom w:type="dxa" w:w="60"/>
              <w:right w:type="dxa" w:w="100"/>
            </w:tcMar>
            <w:vAlign w:val="center"/>
          </w:tcPr>
          <w:p>
            <w:r>
              <w:rPr>
                <w:sz w:val="19"/>
                <w:szCs w:val="19"/>
              </w:rPr>
              <w:t xml:space="preserve">Build PDPL-compliant data handling in at the design stage, not as a retrofit</w:t>
            </w:r>
          </w:p>
        </w:tc>
      </w:tr>
    </w:tbl>
    <w:p>
      <w:pPr>
        <w:pStyle w:val="Heading2"/>
        <w:spacing w:after="120" w:before="260"/>
      </w:pPr>
      <w:r>
        <w:t xml:space="preserve">Financial feasibility — Green, provided funding is secured before full app development</w:t>
      </w:r>
    </w:p>
    <w:p>
      <w:pPr>
        <w:spacing w:after="160"/>
        <w:jc w:val="left"/>
      </w:pPr>
      <w:r>
        <w:t xml:space="preserve">The unit economics work on paper — comparable marketplaces in this category are clearly profitable at scale. The real financial risk is not whether this can be profitable, but whether there is enough runway to survive the ramp-up before density (enough contractors and customers in the same city) kicks in. This is why Section 6 models a conservative, staged ramp rather than a single lump-sum spend.</w:t>
      </w:r>
    </w:p>
    <w:p>
      <w:pPr>
        <w:pStyle w:val="Heading2"/>
        <w:spacing w:after="120" w:before="260"/>
      </w:pPr>
      <w:r>
        <w:t xml:space="preserve">Overall feasibility verdict</w:t>
      </w:r>
    </w:p>
    <w:p>
      <w:pPr>
        <w:spacing w:after="160"/>
        <w:jc w:val="left"/>
      </w:pPr>
      <w:r>
        <w:t xml:space="preserve">Feasible, with three pre-launch gates: (1) written legal confirmation of the licensing position; (2) secured funding for at least a lean Phase 0 launch; (3) signed agreements with at least 3–5 contractor partners per trade, per city, before public launch.</w:t>
      </w:r>
    </w:p>
    <w:p>
      <w:pPr>
        <w:pStyle w:val="Heading1"/>
        <w:pageBreakBefore/>
        <w:spacing w:after="200" w:before="400"/>
      </w:pPr>
      <w:r>
        <w:t xml:space="preserve">5. Risk Analysis</w:t>
      </w:r>
    </w:p>
    <w:p>
      <w:pPr>
        <w:spacing w:after="160"/>
        <w:jc w:val="left"/>
      </w:pPr>
      <w:r>
        <w:t xml:space="preserve">Each risk is rated by Likelihood × Impact, with a plain-English mitigation.</w:t>
      </w:r>
    </w:p>
    <w:p>
      <w:pPr>
        <w:pStyle w:val="Heading2"/>
        <w:spacing w:after="120" w:before="260"/>
      </w:pPr>
      <w:r>
        <w:t xml:space="preserve">Supply-side risks (contractors)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86"/>
        <w:gridCol w:w="1394"/>
        <w:gridCol w:w="4580"/>
      </w:tblGrid>
      <w:tr>
        <w:trPr>
          <w:tblHeader/>
        </w:trPr>
        <w:tc>
          <w:tcPr>
            <w:tcW w:type="dxa" w:w="3386"/>
            <w:shd w:fill="1F3864" w:color="auto" w:val="clear"/>
            <w:tcMar>
              <w:top w:type="dxa" w:w="80"/>
              <w:left w:type="dxa" w:w="100"/>
              <w:bottom w:type="dxa" w:w="80"/>
              <w:right w:type="dxa" w:w="100"/>
            </w:tcMar>
            <w:vAlign w:val="center"/>
          </w:tcPr>
          <w:p>
            <w:r>
              <w:rPr>
                <w:b/>
                <w:bCs/>
                <w:color w:val="FFFFFF"/>
                <w:sz w:val="20"/>
                <w:szCs w:val="20"/>
              </w:rPr>
              <w:t xml:space="preserve">Risk</w:t>
            </w:r>
          </w:p>
        </w:tc>
        <w:tc>
          <w:tcPr>
            <w:tcW w:type="dxa" w:w="1394"/>
            <w:shd w:fill="1F3864" w:color="auto" w:val="clear"/>
            <w:tcMar>
              <w:top w:type="dxa" w:w="80"/>
              <w:left w:type="dxa" w:w="100"/>
              <w:bottom w:type="dxa" w:w="80"/>
              <w:right w:type="dxa" w:w="100"/>
            </w:tcMar>
            <w:vAlign w:val="center"/>
          </w:tcPr>
          <w:p>
            <w:r>
              <w:rPr>
                <w:b/>
                <w:bCs/>
                <w:color w:val="FFFFFF"/>
                <w:sz w:val="20"/>
                <w:szCs w:val="20"/>
              </w:rPr>
              <w:t xml:space="preserve">L / I</w:t>
            </w:r>
          </w:p>
        </w:tc>
        <w:tc>
          <w:tcPr>
            <w:tcW w:type="dxa" w:w="4580"/>
            <w:shd w:fill="1F3864" w:color="auto" w:val="clear"/>
            <w:tcMar>
              <w:top w:type="dxa" w:w="80"/>
              <w:left w:type="dxa" w:w="100"/>
              <w:bottom w:type="dxa" w:w="80"/>
              <w:right w:type="dxa" w:w="100"/>
            </w:tcMar>
            <w:vAlign w:val="center"/>
          </w:tcPr>
          <w:p>
            <w:r>
              <w:rPr>
                <w:b/>
                <w:bCs/>
                <w:color w:val="FFFFFF"/>
                <w:sz w:val="20"/>
                <w:szCs w:val="20"/>
              </w:rPr>
              <w:t xml:space="preserve">Mitigation</w:t>
            </w:r>
          </w:p>
        </w:tc>
      </w:tr>
      <w:tr>
        <w:tc>
          <w:tcPr>
            <w:tcW w:type="dxa" w:w="3386"/>
            <w:shd w:fill="FFFFFF" w:color="auto" w:val="clear"/>
            <w:tcMar>
              <w:top w:type="dxa" w:w="60"/>
              <w:left w:type="dxa" w:w="100"/>
              <w:bottom w:type="dxa" w:w="60"/>
              <w:right w:type="dxa" w:w="100"/>
            </w:tcMar>
            <w:vAlign w:val="center"/>
          </w:tcPr>
          <w:p>
            <w:r>
              <w:rPr>
                <w:sz w:val="19"/>
                <w:szCs w:val="19"/>
              </w:rPr>
              <w:t xml:space="preserve">Not enough good contractors sign up</w:t>
            </w:r>
          </w:p>
        </w:tc>
        <w:tc>
          <w:tcPr>
            <w:tcW w:type="dxa" w:w="1394"/>
            <w:shd w:fill="FFFFFF" w:color="auto" w:val="clear"/>
            <w:tcMar>
              <w:top w:type="dxa" w:w="60"/>
              <w:left w:type="dxa" w:w="100"/>
              <w:bottom w:type="dxa" w:w="60"/>
              <w:right w:type="dxa" w:w="100"/>
            </w:tcMar>
            <w:vAlign w:val="center"/>
          </w:tcPr>
          <w:p>
            <w:r>
              <w:rPr>
                <w:sz w:val="19"/>
                <w:szCs w:val="19"/>
              </w:rPr>
              <w:t xml:space="preserve">Med / High</w:t>
            </w:r>
          </w:p>
        </w:tc>
        <w:tc>
          <w:tcPr>
            <w:tcW w:type="dxa" w:w="4580"/>
            <w:shd w:fill="FFFFFF" w:color="auto" w:val="clear"/>
            <w:tcMar>
              <w:top w:type="dxa" w:w="60"/>
              <w:left w:type="dxa" w:w="100"/>
              <w:bottom w:type="dxa" w:w="60"/>
              <w:right w:type="dxa" w:w="100"/>
            </w:tcMar>
            <w:vAlign w:val="center"/>
          </w:tcPr>
          <w:p>
            <w:r>
              <w:rPr>
                <w:sz w:val="19"/>
                <w:szCs w:val="19"/>
              </w:rPr>
              <w:t xml:space="preserve">Start recruiting 2–3 months before launch; over-recruit; offer an attractive early-partner deal</w:t>
            </w:r>
          </w:p>
        </w:tc>
      </w:tr>
      <w:tr>
        <w:tc>
          <w:tcPr>
            <w:tcW w:type="dxa" w:w="3386"/>
            <w:shd w:fill="DCE6F1" w:color="auto" w:val="clear"/>
            <w:tcMar>
              <w:top w:type="dxa" w:w="60"/>
              <w:left w:type="dxa" w:w="100"/>
              <w:bottom w:type="dxa" w:w="60"/>
              <w:right w:type="dxa" w:w="100"/>
            </w:tcMar>
            <w:vAlign w:val="center"/>
          </w:tcPr>
          <w:p>
            <w:r>
              <w:rPr>
                <w:sz w:val="19"/>
                <w:szCs w:val="19"/>
              </w:rPr>
              <w:t xml:space="preserve">Poor or unsafe work / property damage</w:t>
            </w:r>
          </w:p>
        </w:tc>
        <w:tc>
          <w:tcPr>
            <w:tcW w:type="dxa" w:w="1394"/>
            <w:shd w:fill="DCE6F1" w:color="auto" w:val="clear"/>
            <w:tcMar>
              <w:top w:type="dxa" w:w="60"/>
              <w:left w:type="dxa" w:w="100"/>
              <w:bottom w:type="dxa" w:w="60"/>
              <w:right w:type="dxa" w:w="100"/>
            </w:tcMar>
            <w:vAlign w:val="center"/>
          </w:tcPr>
          <w:p>
            <w:r>
              <w:rPr>
                <w:sz w:val="19"/>
                <w:szCs w:val="19"/>
              </w:rPr>
              <w:t xml:space="preserve">Med / High</w:t>
            </w:r>
          </w:p>
        </w:tc>
        <w:tc>
          <w:tcPr>
            <w:tcW w:type="dxa" w:w="4580"/>
            <w:shd w:fill="DCE6F1" w:color="auto" w:val="clear"/>
            <w:tcMar>
              <w:top w:type="dxa" w:w="60"/>
              <w:left w:type="dxa" w:w="100"/>
              <w:bottom w:type="dxa" w:w="60"/>
              <w:right w:type="dxa" w:w="100"/>
            </w:tcMar>
            <w:vAlign w:val="center"/>
          </w:tcPr>
          <w:p>
            <w:r>
              <w:rPr>
                <w:sz w:val="19"/>
                <w:szCs w:val="19"/>
              </w:rPr>
              <w:t xml:space="preserve">Mandatory liability insurance proof; customer guarantee funded partly by a contractor holdback; fast three-strikes removal</w:t>
            </w:r>
          </w:p>
        </w:tc>
      </w:tr>
      <w:tr>
        <w:tc>
          <w:tcPr>
            <w:tcW w:type="dxa" w:w="3386"/>
            <w:shd w:fill="FFFFFF" w:color="auto" w:val="clear"/>
            <w:tcMar>
              <w:top w:type="dxa" w:w="60"/>
              <w:left w:type="dxa" w:w="100"/>
              <w:bottom w:type="dxa" w:w="60"/>
              <w:right w:type="dxa" w:w="100"/>
            </w:tcMar>
            <w:vAlign w:val="center"/>
          </w:tcPr>
          <w:p>
            <w:r>
              <w:rPr>
                <w:sz w:val="19"/>
                <w:szCs w:val="19"/>
              </w:rPr>
              <w:t xml:space="preserve">Contractor disintermediation (goes around the app)</w:t>
            </w:r>
          </w:p>
        </w:tc>
        <w:tc>
          <w:tcPr>
            <w:tcW w:type="dxa" w:w="1394"/>
            <w:shd w:fill="FFFFFF" w:color="auto" w:val="clear"/>
            <w:tcMar>
              <w:top w:type="dxa" w:w="60"/>
              <w:left w:type="dxa" w:w="100"/>
              <w:bottom w:type="dxa" w:w="60"/>
              <w:right w:type="dxa" w:w="100"/>
            </w:tcMar>
            <w:vAlign w:val="center"/>
          </w:tcPr>
          <w:p>
            <w:r>
              <w:rPr>
                <w:sz w:val="19"/>
                <w:szCs w:val="19"/>
              </w:rPr>
              <w:t xml:space="preserve">High / Med</w:t>
            </w:r>
          </w:p>
        </w:tc>
        <w:tc>
          <w:tcPr>
            <w:tcW w:type="dxa" w:w="4580"/>
            <w:shd w:fill="FFFFFF" w:color="auto" w:val="clear"/>
            <w:tcMar>
              <w:top w:type="dxa" w:w="60"/>
              <w:left w:type="dxa" w:w="100"/>
              <w:bottom w:type="dxa" w:w="60"/>
              <w:right w:type="dxa" w:w="100"/>
            </w:tcMar>
            <w:vAlign w:val="center"/>
          </w:tcPr>
          <w:p>
            <w:r>
              <w:rPr>
                <w:sz w:val="19"/>
                <w:szCs w:val="19"/>
              </w:rPr>
              <w:t xml:space="preserve">Build recurring value contractors can’t replicate themselves; reasonable contract penalties; focus on making the platform genuinely useful</w:t>
            </w:r>
          </w:p>
        </w:tc>
      </w:tr>
      <w:tr>
        <w:tc>
          <w:tcPr>
            <w:tcW w:type="dxa" w:w="3386"/>
            <w:shd w:fill="DCE6F1" w:color="auto" w:val="clear"/>
            <w:tcMar>
              <w:top w:type="dxa" w:w="60"/>
              <w:left w:type="dxa" w:w="100"/>
              <w:bottom w:type="dxa" w:w="60"/>
              <w:right w:type="dxa" w:w="100"/>
            </w:tcMar>
            <w:vAlign w:val="center"/>
          </w:tcPr>
          <w:p>
            <w:r>
              <w:rPr>
                <w:sz w:val="19"/>
                <w:szCs w:val="19"/>
              </w:rPr>
              <w:t xml:space="preserve">Contractor licensing lapses</w:t>
            </w:r>
          </w:p>
        </w:tc>
        <w:tc>
          <w:tcPr>
            <w:tcW w:type="dxa" w:w="1394"/>
            <w:shd w:fill="DCE6F1" w:color="auto" w:val="clear"/>
            <w:tcMar>
              <w:top w:type="dxa" w:w="60"/>
              <w:left w:type="dxa" w:w="100"/>
              <w:bottom w:type="dxa" w:w="60"/>
              <w:right w:type="dxa" w:w="100"/>
            </w:tcMar>
            <w:vAlign w:val="center"/>
          </w:tcPr>
          <w:p>
            <w:r>
              <w:rPr>
                <w:sz w:val="19"/>
                <w:szCs w:val="19"/>
              </w:rPr>
              <w:t xml:space="preserve">Med / High</w:t>
            </w:r>
          </w:p>
        </w:tc>
        <w:tc>
          <w:tcPr>
            <w:tcW w:type="dxa" w:w="4580"/>
            <w:shd w:fill="DCE6F1" w:color="auto" w:val="clear"/>
            <w:tcMar>
              <w:top w:type="dxa" w:w="60"/>
              <w:left w:type="dxa" w:w="100"/>
              <w:bottom w:type="dxa" w:w="60"/>
              <w:right w:type="dxa" w:w="100"/>
            </w:tcMar>
            <w:vAlign w:val="center"/>
          </w:tcPr>
          <w:p>
            <w:r>
              <w:rPr>
                <w:sz w:val="19"/>
                <w:szCs w:val="19"/>
              </w:rPr>
              <w:t xml:space="preserve">Onboarding verification plus annual re-verification via Balady/Wathq</w:t>
            </w:r>
          </w:p>
        </w:tc>
      </w:tr>
    </w:tbl>
    <w:p>
      <w:pPr>
        <w:pStyle w:val="Heading2"/>
        <w:spacing w:after="120" w:before="260"/>
      </w:pPr>
      <w:r>
        <w:t xml:space="preserve">Demand-side, competitive, financial, regulatory &amp; operational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86"/>
        <w:gridCol w:w="1394"/>
        <w:gridCol w:w="4580"/>
      </w:tblGrid>
      <w:tr>
        <w:trPr>
          <w:tblHeader/>
        </w:trPr>
        <w:tc>
          <w:tcPr>
            <w:tcW w:type="dxa" w:w="3386"/>
            <w:shd w:fill="1F3864" w:color="auto" w:val="clear"/>
            <w:tcMar>
              <w:top w:type="dxa" w:w="80"/>
              <w:left w:type="dxa" w:w="100"/>
              <w:bottom w:type="dxa" w:w="80"/>
              <w:right w:type="dxa" w:w="100"/>
            </w:tcMar>
            <w:vAlign w:val="center"/>
          </w:tcPr>
          <w:p>
            <w:r>
              <w:rPr>
                <w:b/>
                <w:bCs/>
                <w:color w:val="FFFFFF"/>
                <w:sz w:val="20"/>
                <w:szCs w:val="20"/>
              </w:rPr>
              <w:t xml:space="preserve">Risk</w:t>
            </w:r>
          </w:p>
        </w:tc>
        <w:tc>
          <w:tcPr>
            <w:tcW w:type="dxa" w:w="1394"/>
            <w:shd w:fill="1F3864" w:color="auto" w:val="clear"/>
            <w:tcMar>
              <w:top w:type="dxa" w:w="80"/>
              <w:left w:type="dxa" w:w="100"/>
              <w:bottom w:type="dxa" w:w="80"/>
              <w:right w:type="dxa" w:w="100"/>
            </w:tcMar>
            <w:vAlign w:val="center"/>
          </w:tcPr>
          <w:p>
            <w:r>
              <w:rPr>
                <w:b/>
                <w:bCs/>
                <w:color w:val="FFFFFF"/>
                <w:sz w:val="20"/>
                <w:szCs w:val="20"/>
              </w:rPr>
              <w:t xml:space="preserve">L / I</w:t>
            </w:r>
          </w:p>
        </w:tc>
        <w:tc>
          <w:tcPr>
            <w:tcW w:type="dxa" w:w="4580"/>
            <w:shd w:fill="1F3864" w:color="auto" w:val="clear"/>
            <w:tcMar>
              <w:top w:type="dxa" w:w="80"/>
              <w:left w:type="dxa" w:w="100"/>
              <w:bottom w:type="dxa" w:w="80"/>
              <w:right w:type="dxa" w:w="100"/>
            </w:tcMar>
            <w:vAlign w:val="center"/>
          </w:tcPr>
          <w:p>
            <w:r>
              <w:rPr>
                <w:b/>
                <w:bCs/>
                <w:color w:val="FFFFFF"/>
                <w:sz w:val="20"/>
                <w:szCs w:val="20"/>
              </w:rPr>
              <w:t xml:space="preserve">Mitigation</w:t>
            </w:r>
          </w:p>
        </w:tc>
      </w:tr>
      <w:tr>
        <w:tc>
          <w:tcPr>
            <w:tcW w:type="dxa" w:w="3386"/>
            <w:shd w:fill="FFFFFF" w:color="auto" w:val="clear"/>
            <w:tcMar>
              <w:top w:type="dxa" w:w="60"/>
              <w:left w:type="dxa" w:w="100"/>
              <w:bottom w:type="dxa" w:w="60"/>
              <w:right w:type="dxa" w:w="100"/>
            </w:tcMar>
            <w:vAlign w:val="center"/>
          </w:tcPr>
          <w:p>
            <w:r>
              <w:rPr>
                <w:sz w:val="19"/>
                <w:szCs w:val="19"/>
              </w:rPr>
              <w:t xml:space="preserve">Customer acquisition cost higher than expected</w:t>
            </w:r>
          </w:p>
        </w:tc>
        <w:tc>
          <w:tcPr>
            <w:tcW w:type="dxa" w:w="1394"/>
            <w:shd w:fill="FFFFFF" w:color="auto" w:val="clear"/>
            <w:tcMar>
              <w:top w:type="dxa" w:w="60"/>
              <w:left w:type="dxa" w:w="100"/>
              <w:bottom w:type="dxa" w:w="60"/>
              <w:right w:type="dxa" w:w="100"/>
            </w:tcMar>
            <w:vAlign w:val="center"/>
          </w:tcPr>
          <w:p>
            <w:r>
              <w:rPr>
                <w:sz w:val="19"/>
                <w:szCs w:val="19"/>
              </w:rPr>
              <w:t xml:space="preserve">Med-High / High</w:t>
            </w:r>
          </w:p>
        </w:tc>
        <w:tc>
          <w:tcPr>
            <w:tcW w:type="dxa" w:w="4580"/>
            <w:shd w:fill="FFFFFF" w:color="auto" w:val="clear"/>
            <w:tcMar>
              <w:top w:type="dxa" w:w="60"/>
              <w:left w:type="dxa" w:w="100"/>
              <w:bottom w:type="dxa" w:w="60"/>
              <w:right w:type="dxa" w:w="100"/>
            </w:tcMar>
            <w:vAlign w:val="center"/>
          </w:tcPr>
          <w:p>
            <w:r>
              <w:rPr>
                <w:sz w:val="19"/>
                <w:szCs w:val="19"/>
              </w:rPr>
              <w:t xml:space="preserve">Lean Phase 0 (landing page + social ads) to measure real CAC before committing budget; lean on referral incentives</w:t>
            </w:r>
          </w:p>
        </w:tc>
      </w:tr>
      <w:tr>
        <w:tc>
          <w:tcPr>
            <w:tcW w:type="dxa" w:w="3386"/>
            <w:shd w:fill="DCE6F1" w:color="auto" w:val="clear"/>
            <w:tcMar>
              <w:top w:type="dxa" w:w="60"/>
              <w:left w:type="dxa" w:w="100"/>
              <w:bottom w:type="dxa" w:w="60"/>
              <w:right w:type="dxa" w:w="100"/>
            </w:tcMar>
            <w:vAlign w:val="center"/>
          </w:tcPr>
          <w:p>
            <w:r>
              <w:rPr>
                <w:sz w:val="19"/>
                <w:szCs w:val="19"/>
              </w:rPr>
              <w:t xml:space="preserve">Trust barrier (letting a stranger into the home)</w:t>
            </w:r>
          </w:p>
        </w:tc>
        <w:tc>
          <w:tcPr>
            <w:tcW w:type="dxa" w:w="1394"/>
            <w:shd w:fill="DCE6F1" w:color="auto" w:val="clear"/>
            <w:tcMar>
              <w:top w:type="dxa" w:w="60"/>
              <w:left w:type="dxa" w:w="100"/>
              <w:bottom w:type="dxa" w:w="60"/>
              <w:right w:type="dxa" w:w="100"/>
            </w:tcMar>
            <w:vAlign w:val="center"/>
          </w:tcPr>
          <w:p>
            <w:r>
              <w:rPr>
                <w:sz w:val="19"/>
                <w:szCs w:val="19"/>
              </w:rPr>
              <w:t xml:space="preserve">Med / Med</w:t>
            </w:r>
          </w:p>
        </w:tc>
        <w:tc>
          <w:tcPr>
            <w:tcW w:type="dxa" w:w="4580"/>
            <w:shd w:fill="DCE6F1" w:color="auto" w:val="clear"/>
            <w:tcMar>
              <w:top w:type="dxa" w:w="60"/>
              <w:left w:type="dxa" w:w="100"/>
              <w:bottom w:type="dxa" w:w="60"/>
              <w:right w:type="dxa" w:w="100"/>
            </w:tcMar>
            <w:vAlign w:val="center"/>
          </w:tcPr>
          <w:p>
            <w:r>
              <w:rPr>
                <w:sz w:val="19"/>
                <w:szCs w:val="19"/>
              </w:rPr>
              <w:t xml:space="preserve">ID verification shown in-app, live tracking, visible rating history, insurance-forward marketing</w:t>
            </w:r>
          </w:p>
        </w:tc>
      </w:tr>
      <w:tr>
        <w:tc>
          <w:tcPr>
            <w:tcW w:type="dxa" w:w="3386"/>
            <w:shd w:fill="FFFFFF" w:color="auto" w:val="clear"/>
            <w:tcMar>
              <w:top w:type="dxa" w:w="60"/>
              <w:left w:type="dxa" w:w="100"/>
              <w:bottom w:type="dxa" w:w="60"/>
              <w:right w:type="dxa" w:w="100"/>
            </w:tcMar>
            <w:vAlign w:val="center"/>
          </w:tcPr>
          <w:p>
            <w:r>
              <w:rPr>
                <w:sz w:val="19"/>
                <w:szCs w:val="19"/>
              </w:rPr>
              <w:t xml:space="preserve">Low repeat usage</w:t>
            </w:r>
          </w:p>
        </w:tc>
        <w:tc>
          <w:tcPr>
            <w:tcW w:type="dxa" w:w="1394"/>
            <w:shd w:fill="FFFFFF" w:color="auto" w:val="clear"/>
            <w:tcMar>
              <w:top w:type="dxa" w:w="60"/>
              <w:left w:type="dxa" w:w="100"/>
              <w:bottom w:type="dxa" w:w="60"/>
              <w:right w:type="dxa" w:w="100"/>
            </w:tcMar>
            <w:vAlign w:val="center"/>
          </w:tcPr>
          <w:p>
            <w:r>
              <w:rPr>
                <w:sz w:val="19"/>
                <w:szCs w:val="19"/>
              </w:rPr>
              <w:t xml:space="preserve">Med / Med</w:t>
            </w:r>
          </w:p>
        </w:tc>
        <w:tc>
          <w:tcPr>
            <w:tcW w:type="dxa" w:w="4580"/>
            <w:shd w:fill="FFFFFF" w:color="auto" w:val="clear"/>
            <w:tcMar>
              <w:top w:type="dxa" w:w="60"/>
              <w:left w:type="dxa" w:w="100"/>
              <w:bottom w:type="dxa" w:w="60"/>
              <w:right w:type="dxa" w:w="100"/>
            </w:tcMar>
            <w:vAlign w:val="center"/>
          </w:tcPr>
          <w:p>
            <w:r>
              <w:rPr>
                <w:sz w:val="19"/>
                <w:szCs w:val="19"/>
              </w:rPr>
              <w:t xml:space="preserve">The subscription/maintenance-plan revenue stream exists specifically to counter this</w:t>
            </w:r>
          </w:p>
        </w:tc>
      </w:tr>
      <w:tr>
        <w:tc>
          <w:tcPr>
            <w:tcW w:type="dxa" w:w="3386"/>
            <w:shd w:fill="DCE6F1" w:color="auto" w:val="clear"/>
            <w:tcMar>
              <w:top w:type="dxa" w:w="60"/>
              <w:left w:type="dxa" w:w="100"/>
              <w:bottom w:type="dxa" w:w="60"/>
              <w:right w:type="dxa" w:w="100"/>
            </w:tcMar>
            <w:vAlign w:val="center"/>
          </w:tcPr>
          <w:p>
            <w:r>
              <w:rPr>
                <w:sz w:val="19"/>
                <w:szCs w:val="19"/>
              </w:rPr>
              <w:t xml:space="preserve">Well-funded competitor out-spends us (Noon, Muheel/ALJ)</w:t>
            </w:r>
          </w:p>
        </w:tc>
        <w:tc>
          <w:tcPr>
            <w:tcW w:type="dxa" w:w="1394"/>
            <w:shd w:fill="DCE6F1" w:color="auto" w:val="clear"/>
            <w:tcMar>
              <w:top w:type="dxa" w:w="60"/>
              <w:left w:type="dxa" w:w="100"/>
              <w:bottom w:type="dxa" w:w="60"/>
              <w:right w:type="dxa" w:w="100"/>
            </w:tcMar>
            <w:vAlign w:val="center"/>
          </w:tcPr>
          <w:p>
            <w:r>
              <w:rPr>
                <w:sz w:val="19"/>
                <w:szCs w:val="19"/>
              </w:rPr>
              <w:t xml:space="preserve">High / High</w:t>
            </w:r>
          </w:p>
        </w:tc>
        <w:tc>
          <w:tcPr>
            <w:tcW w:type="dxa" w:w="4580"/>
            <w:shd w:fill="DCE6F1" w:color="auto" w:val="clear"/>
            <w:tcMar>
              <w:top w:type="dxa" w:w="60"/>
              <w:left w:type="dxa" w:w="100"/>
              <w:bottom w:type="dxa" w:w="60"/>
              <w:right w:type="dxa" w:w="100"/>
            </w:tcMar>
            <w:vAlign w:val="center"/>
          </w:tcPr>
          <w:p>
            <w:r>
              <w:rPr>
                <w:sz w:val="19"/>
                <w:szCs w:val="19"/>
              </w:rPr>
              <w:t xml:space="preserve">Compete on focus and execution — multi-trade breadth, SLA reliability, city-specific contractor quality — not ad budget</w:t>
            </w:r>
          </w:p>
        </w:tc>
      </w:tr>
      <w:tr>
        <w:tc>
          <w:tcPr>
            <w:tcW w:type="dxa" w:w="3386"/>
            <w:shd w:fill="FFFFFF" w:color="auto" w:val="clear"/>
            <w:tcMar>
              <w:top w:type="dxa" w:w="60"/>
              <w:left w:type="dxa" w:w="100"/>
              <w:bottom w:type="dxa" w:w="60"/>
              <w:right w:type="dxa" w:w="100"/>
            </w:tcMar>
            <w:vAlign w:val="center"/>
          </w:tcPr>
          <w:p>
            <w:r>
              <w:rPr>
                <w:sz w:val="19"/>
                <w:szCs w:val="19"/>
              </w:rPr>
              <w:t xml:space="preserve">Price war on commission/pricing</w:t>
            </w:r>
          </w:p>
        </w:tc>
        <w:tc>
          <w:tcPr>
            <w:tcW w:type="dxa" w:w="1394"/>
            <w:shd w:fill="FFFFFF" w:color="auto" w:val="clear"/>
            <w:tcMar>
              <w:top w:type="dxa" w:w="60"/>
              <w:left w:type="dxa" w:w="100"/>
              <w:bottom w:type="dxa" w:w="60"/>
              <w:right w:type="dxa" w:w="100"/>
            </w:tcMar>
            <w:vAlign w:val="center"/>
          </w:tcPr>
          <w:p>
            <w:r>
              <w:rPr>
                <w:sz w:val="19"/>
                <w:szCs w:val="19"/>
              </w:rPr>
              <w:t xml:space="preserve">Med / Med</w:t>
            </w:r>
          </w:p>
        </w:tc>
        <w:tc>
          <w:tcPr>
            <w:tcW w:type="dxa" w:w="4580"/>
            <w:shd w:fill="FFFFFF" w:color="auto" w:val="clear"/>
            <w:tcMar>
              <w:top w:type="dxa" w:w="60"/>
              <w:left w:type="dxa" w:w="100"/>
              <w:bottom w:type="dxa" w:w="60"/>
              <w:right w:type="dxa" w:w="100"/>
            </w:tcMar>
            <w:vAlign w:val="center"/>
          </w:tcPr>
          <w:p>
            <w:r>
              <w:rPr>
                <w:sz w:val="19"/>
                <w:szCs w:val="19"/>
              </w:rPr>
              <w:t xml:space="preserve">Compete on reliability and steady contractor income, not just lowest price</w:t>
            </w:r>
          </w:p>
        </w:tc>
      </w:tr>
      <w:tr>
        <w:tc>
          <w:tcPr>
            <w:tcW w:type="dxa" w:w="3386"/>
            <w:shd w:fill="DCE6F1" w:color="auto" w:val="clear"/>
            <w:tcMar>
              <w:top w:type="dxa" w:w="60"/>
              <w:left w:type="dxa" w:w="100"/>
              <w:bottom w:type="dxa" w:w="60"/>
              <w:right w:type="dxa" w:w="100"/>
            </w:tcMar>
            <w:vAlign w:val="center"/>
          </w:tcPr>
          <w:p>
            <w:r>
              <w:rPr>
                <w:sz w:val="19"/>
                <w:szCs w:val="19"/>
              </w:rPr>
              <w:t xml:space="preserve">Running out of cash before break-even</w:t>
            </w:r>
          </w:p>
        </w:tc>
        <w:tc>
          <w:tcPr>
            <w:tcW w:type="dxa" w:w="1394"/>
            <w:shd w:fill="DCE6F1" w:color="auto" w:val="clear"/>
            <w:tcMar>
              <w:top w:type="dxa" w:w="60"/>
              <w:left w:type="dxa" w:w="100"/>
              <w:bottom w:type="dxa" w:w="60"/>
              <w:right w:type="dxa" w:w="100"/>
            </w:tcMar>
            <w:vAlign w:val="center"/>
          </w:tcPr>
          <w:p>
            <w:r>
              <w:rPr>
                <w:sz w:val="19"/>
                <w:szCs w:val="19"/>
              </w:rPr>
              <w:t xml:space="preserve">Med-High / Very High</w:t>
            </w:r>
          </w:p>
        </w:tc>
        <w:tc>
          <w:tcPr>
            <w:tcW w:type="dxa" w:w="4580"/>
            <w:shd w:fill="DCE6F1" w:color="auto" w:val="clear"/>
            <w:tcMar>
              <w:top w:type="dxa" w:w="60"/>
              <w:left w:type="dxa" w:w="100"/>
              <w:bottom w:type="dxa" w:w="60"/>
              <w:right w:type="dxa" w:w="100"/>
            </w:tcMar>
            <w:vAlign w:val="center"/>
          </w:tcPr>
          <w:p>
            <w:r>
              <w:rPr>
                <w:sz w:val="19"/>
                <w:szCs w:val="19"/>
              </w:rPr>
              <w:t xml:space="preserve">Stage spending (Phase 0 → Phase 1); keep 6 months of runway as a hard rule; explore Kafalah SME financing</w:t>
            </w:r>
          </w:p>
        </w:tc>
      </w:tr>
      <w:tr>
        <w:tc>
          <w:tcPr>
            <w:tcW w:type="dxa" w:w="3386"/>
            <w:shd w:fill="FFFFFF" w:color="auto" w:val="clear"/>
            <w:tcMar>
              <w:top w:type="dxa" w:w="60"/>
              <w:left w:type="dxa" w:w="100"/>
              <w:bottom w:type="dxa" w:w="60"/>
              <w:right w:type="dxa" w:w="100"/>
            </w:tcMar>
            <w:vAlign w:val="center"/>
          </w:tcPr>
          <w:p>
            <w:r>
              <w:rPr>
                <w:sz w:val="19"/>
                <w:szCs w:val="19"/>
              </w:rPr>
              <w:t xml:space="preserve">Cash-flow mismatch (fast contractor payout vs. slower settlement)</w:t>
            </w:r>
          </w:p>
        </w:tc>
        <w:tc>
          <w:tcPr>
            <w:tcW w:type="dxa" w:w="1394"/>
            <w:shd w:fill="FFFFFF" w:color="auto" w:val="clear"/>
            <w:tcMar>
              <w:top w:type="dxa" w:w="60"/>
              <w:left w:type="dxa" w:w="100"/>
              <w:bottom w:type="dxa" w:w="60"/>
              <w:right w:type="dxa" w:w="100"/>
            </w:tcMar>
            <w:vAlign w:val="center"/>
          </w:tcPr>
          <w:p>
            <w:r>
              <w:rPr>
                <w:sz w:val="19"/>
                <w:szCs w:val="19"/>
              </w:rPr>
              <w:t xml:space="preserve">Med / Med</w:t>
            </w:r>
          </w:p>
        </w:tc>
        <w:tc>
          <w:tcPr>
            <w:tcW w:type="dxa" w:w="4580"/>
            <w:shd w:fill="FFFFFF" w:color="auto" w:val="clear"/>
            <w:tcMar>
              <w:top w:type="dxa" w:w="60"/>
              <w:left w:type="dxa" w:w="100"/>
              <w:bottom w:type="dxa" w:w="60"/>
              <w:right w:type="dxa" w:w="100"/>
            </w:tcMar>
            <w:vAlign w:val="center"/>
          </w:tcPr>
          <w:p>
            <w:r>
              <w:rPr>
                <w:sz w:val="19"/>
                <w:szCs w:val="19"/>
              </w:rPr>
              <w:t xml:space="preserve">Negotiate reasonable gateway settlement terms; keep a dedicated contractor-payout cash buffer</w:t>
            </w:r>
          </w:p>
        </w:tc>
      </w:tr>
      <w:tr>
        <w:tc>
          <w:tcPr>
            <w:tcW w:type="dxa" w:w="3386"/>
            <w:shd w:fill="DCE6F1" w:color="auto" w:val="clear"/>
            <w:tcMar>
              <w:top w:type="dxa" w:w="60"/>
              <w:left w:type="dxa" w:w="100"/>
              <w:bottom w:type="dxa" w:w="60"/>
              <w:right w:type="dxa" w:w="100"/>
            </w:tcMar>
            <w:vAlign w:val="center"/>
          </w:tcPr>
          <w:p>
            <w:r>
              <w:rPr>
                <w:sz w:val="19"/>
                <w:szCs w:val="19"/>
              </w:rPr>
              <w:t xml:space="preserve">Misclassifying licensing needs</w:t>
            </w:r>
          </w:p>
        </w:tc>
        <w:tc>
          <w:tcPr>
            <w:tcW w:type="dxa" w:w="1394"/>
            <w:shd w:fill="DCE6F1" w:color="auto" w:val="clear"/>
            <w:tcMar>
              <w:top w:type="dxa" w:w="60"/>
              <w:left w:type="dxa" w:w="100"/>
              <w:bottom w:type="dxa" w:w="60"/>
              <w:right w:type="dxa" w:w="100"/>
            </w:tcMar>
            <w:vAlign w:val="center"/>
          </w:tcPr>
          <w:p>
            <w:r>
              <w:rPr>
                <w:sz w:val="19"/>
                <w:szCs w:val="19"/>
              </w:rPr>
              <w:t xml:space="preserve">Low-Med / Very High</w:t>
            </w:r>
          </w:p>
        </w:tc>
        <w:tc>
          <w:tcPr>
            <w:tcW w:type="dxa" w:w="4580"/>
            <w:shd w:fill="DCE6F1" w:color="auto" w:val="clear"/>
            <w:tcMar>
              <w:top w:type="dxa" w:w="60"/>
              <w:left w:type="dxa" w:w="100"/>
              <w:bottom w:type="dxa" w:w="60"/>
              <w:right w:type="dxa" w:w="100"/>
            </w:tcMar>
            <w:vAlign w:val="center"/>
          </w:tcPr>
          <w:p>
            <w:r>
              <w:rPr>
                <w:sz w:val="19"/>
                <w:szCs w:val="19"/>
              </w:rPr>
              <w:t xml:space="preserve">Get written legal confirmation before launch, not after</w:t>
            </w:r>
          </w:p>
        </w:tc>
      </w:tr>
      <w:tr>
        <w:tc>
          <w:tcPr>
            <w:tcW w:type="dxa" w:w="3386"/>
            <w:shd w:fill="FFFFFF" w:color="auto" w:val="clear"/>
            <w:tcMar>
              <w:top w:type="dxa" w:w="60"/>
              <w:left w:type="dxa" w:w="100"/>
              <w:bottom w:type="dxa" w:w="60"/>
              <w:right w:type="dxa" w:w="100"/>
            </w:tcMar>
            <w:vAlign w:val="center"/>
          </w:tcPr>
          <w:p>
            <w:r>
              <w:rPr>
                <w:sz w:val="19"/>
                <w:szCs w:val="19"/>
              </w:rPr>
              <w:t xml:space="preserve">PDPL non-compliance</w:t>
            </w:r>
          </w:p>
        </w:tc>
        <w:tc>
          <w:tcPr>
            <w:tcW w:type="dxa" w:w="1394"/>
            <w:shd w:fill="FFFFFF" w:color="auto" w:val="clear"/>
            <w:tcMar>
              <w:top w:type="dxa" w:w="60"/>
              <w:left w:type="dxa" w:w="100"/>
              <w:bottom w:type="dxa" w:w="60"/>
              <w:right w:type="dxa" w:w="100"/>
            </w:tcMar>
            <w:vAlign w:val="center"/>
          </w:tcPr>
          <w:p>
            <w:r>
              <w:rPr>
                <w:sz w:val="19"/>
                <w:szCs w:val="19"/>
              </w:rPr>
              <w:t xml:space="preserve">Low-Med / High</w:t>
            </w:r>
          </w:p>
        </w:tc>
        <w:tc>
          <w:tcPr>
            <w:tcW w:type="dxa" w:w="4580"/>
            <w:shd w:fill="FFFFFF" w:color="auto" w:val="clear"/>
            <w:tcMar>
              <w:top w:type="dxa" w:w="60"/>
              <w:left w:type="dxa" w:w="100"/>
              <w:bottom w:type="dxa" w:w="60"/>
              <w:right w:type="dxa" w:w="100"/>
            </w:tcMar>
            <w:vAlign w:val="center"/>
          </w:tcPr>
          <w:p>
            <w:r>
              <w:rPr>
                <w:sz w:val="19"/>
                <w:szCs w:val="19"/>
              </w:rPr>
              <w:t xml:space="preserve">Build compliance in at the design stage with legal input</w:t>
            </w:r>
          </w:p>
        </w:tc>
      </w:tr>
      <w:tr>
        <w:tc>
          <w:tcPr>
            <w:tcW w:type="dxa" w:w="3386"/>
            <w:shd w:fill="DCE6F1" w:color="auto" w:val="clear"/>
            <w:tcMar>
              <w:top w:type="dxa" w:w="60"/>
              <w:left w:type="dxa" w:w="100"/>
              <w:bottom w:type="dxa" w:w="60"/>
              <w:right w:type="dxa" w:w="100"/>
            </w:tcMar>
            <w:vAlign w:val="center"/>
          </w:tcPr>
          <w:p>
            <w:r>
              <w:rPr>
                <w:sz w:val="19"/>
                <w:szCs w:val="19"/>
              </w:rPr>
              <w:t xml:space="preserve">Seasonal demand spikes overwhelm capacity</w:t>
            </w:r>
          </w:p>
        </w:tc>
        <w:tc>
          <w:tcPr>
            <w:tcW w:type="dxa" w:w="1394"/>
            <w:shd w:fill="DCE6F1" w:color="auto" w:val="clear"/>
            <w:tcMar>
              <w:top w:type="dxa" w:w="60"/>
              <w:left w:type="dxa" w:w="100"/>
              <w:bottom w:type="dxa" w:w="60"/>
              <w:right w:type="dxa" w:w="100"/>
            </w:tcMar>
            <w:vAlign w:val="center"/>
          </w:tcPr>
          <w:p>
            <w:r>
              <w:rPr>
                <w:sz w:val="19"/>
                <w:szCs w:val="19"/>
              </w:rPr>
              <w:t xml:space="preserve">High / Med</w:t>
            </w:r>
          </w:p>
        </w:tc>
        <w:tc>
          <w:tcPr>
            <w:tcW w:type="dxa" w:w="4580"/>
            <w:shd w:fill="DCE6F1" w:color="auto" w:val="clear"/>
            <w:tcMar>
              <w:top w:type="dxa" w:w="60"/>
              <w:left w:type="dxa" w:w="100"/>
              <w:bottom w:type="dxa" w:w="60"/>
              <w:right w:type="dxa" w:w="100"/>
            </w:tcMar>
            <w:vAlign w:val="center"/>
          </w:tcPr>
          <w:p>
            <w:r>
              <w:rPr>
                <w:sz w:val="19"/>
                <w:szCs w:val="19"/>
              </w:rPr>
              <w:t xml:space="preserve">Recruit contractor capacity ahead of summer; consider transparent surge/priority mechanics</w:t>
            </w:r>
          </w:p>
        </w:tc>
      </w:tr>
      <w:tr>
        <w:tc>
          <w:tcPr>
            <w:tcW w:type="dxa" w:w="3386"/>
            <w:shd w:fill="FFFFFF" w:color="auto" w:val="clear"/>
            <w:tcMar>
              <w:top w:type="dxa" w:w="60"/>
              <w:left w:type="dxa" w:w="100"/>
              <w:bottom w:type="dxa" w:w="60"/>
              <w:right w:type="dxa" w:w="100"/>
            </w:tcMar>
            <w:vAlign w:val="center"/>
          </w:tcPr>
          <w:p>
            <w:r>
              <w:rPr>
                <w:sz w:val="19"/>
                <w:szCs w:val="19"/>
              </w:rPr>
              <w:t xml:space="preserve">Key-person dependency</w:t>
            </w:r>
          </w:p>
        </w:tc>
        <w:tc>
          <w:tcPr>
            <w:tcW w:type="dxa" w:w="1394"/>
            <w:shd w:fill="FFFFFF" w:color="auto" w:val="clear"/>
            <w:tcMar>
              <w:top w:type="dxa" w:w="60"/>
              <w:left w:type="dxa" w:w="100"/>
              <w:bottom w:type="dxa" w:w="60"/>
              <w:right w:type="dxa" w:w="100"/>
            </w:tcMar>
            <w:vAlign w:val="center"/>
          </w:tcPr>
          <w:p>
            <w:r>
              <w:rPr>
                <w:sz w:val="19"/>
                <w:szCs w:val="19"/>
              </w:rPr>
              <w:t xml:space="preserve">Med / Med</w:t>
            </w:r>
          </w:p>
        </w:tc>
        <w:tc>
          <w:tcPr>
            <w:tcW w:type="dxa" w:w="4580"/>
            <w:shd w:fill="FFFFFF" w:color="auto" w:val="clear"/>
            <w:tcMar>
              <w:top w:type="dxa" w:w="60"/>
              <w:left w:type="dxa" w:w="100"/>
              <w:bottom w:type="dxa" w:w="60"/>
              <w:right w:type="dxa" w:w="100"/>
            </w:tcMar>
            <w:vAlign w:val="center"/>
          </w:tcPr>
          <w:p>
            <w:r>
              <w:rPr>
                <w:sz w:val="19"/>
                <w:szCs w:val="19"/>
              </w:rPr>
              <w:t xml:space="preserve">Document processes as they’re built; avoid single-person dependency early</w:t>
            </w:r>
          </w:p>
        </w:tc>
      </w:tr>
    </w:tbl>
    <w:p>
      <w:pPr>
        <w:pStyle w:val="Heading2"/>
        <w:spacing w:after="120" w:before="260"/>
      </w:pPr>
      <w:r>
        <w:t xml:space="preserve">The three risks worth losing sleep over</w:t>
      </w:r>
    </w:p>
    <w:p>
      <w:pPr>
        <w:pStyle w:val="ListParagraph"/>
        <w:numPr>
          <w:ilvl w:val="0"/>
          <w:numId w:val="2"/>
        </w:numPr>
        <w:spacing w:after="80"/>
      </w:pPr>
      <w:r>
        <w:t xml:space="preserve">Supply-side density — not having enough good, reliable contractors per city/trade at launch.</w:t>
      </w:r>
    </w:p>
    <w:p>
      <w:pPr>
        <w:pStyle w:val="ListParagraph"/>
        <w:numPr>
          <w:ilvl w:val="0"/>
          <w:numId w:val="2"/>
        </w:numPr>
        <w:spacing w:after="80"/>
      </w:pPr>
      <w:r>
        <w:t xml:space="preserve">Cash runway — underestimating time to break-even and running out of money first.</w:t>
      </w:r>
    </w:p>
    <w:p>
      <w:pPr>
        <w:pStyle w:val="ListParagraph"/>
        <w:numPr>
          <w:ilvl w:val="0"/>
          <w:numId w:val="2"/>
        </w:numPr>
        <w:spacing w:after="80"/>
      </w:pPr>
      <w:r>
        <w:t xml:space="preserve">The licensing question — proceeding on an unconfirmed assumption about trade-license requirements.</w:t>
      </w:r>
    </w:p>
    <w:p>
      <w:pPr>
        <w:pStyle w:val="Heading1"/>
        <w:pageBreakBefore/>
        <w:spacing w:after="200" w:before="400"/>
      </w:pPr>
      <w:r>
        <w:t xml:space="preserve">6. Financial Plan</w:t>
      </w:r>
    </w:p>
    <w:p>
      <w:pPr>
        <w:pBdr>
          <w:left w:val="single" w:color="9DC3E6" w:sz="12" w:space="8"/>
        </w:pBdr>
        <w:spacing w:after="200" w:before="100"/>
        <w:ind w:left="200"/>
      </w:pPr>
      <w:r>
        <w:rPr>
          <w:i/>
          <w:iCs/>
          <w:color w:val="595959"/>
          <w:sz w:val="20"/>
          <w:szCs w:val="20"/>
        </w:rPr>
        <w:t xml:space="preserve">All figures are planning-grade estimates built from comparable-business logic and current KSA market data, not vendor quotes. All figures in SAR (1 USD ≈ 3.75 SAR).</w:t>
      </w:r>
    </w:p>
    <w:p>
      <w:pPr>
        <w:pStyle w:val="Heading2"/>
        <w:spacing w:after="120" w:before="260"/>
      </w:pPr>
      <w:r>
        <w:t xml:space="preserve">A two-stage funding approach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118"/>
        <w:gridCol w:w="1685"/>
        <w:gridCol w:w="1498"/>
      </w:tblGrid>
      <w:tr>
        <w:trPr>
          <w:tblHeader/>
        </w:trPr>
        <w:tc>
          <w:tcPr>
            <w:tcW w:type="dxa" w:w="2059"/>
            <w:shd w:fill="1F3864" w:color="auto" w:val="clear"/>
            <w:tcMar>
              <w:top w:type="dxa" w:w="80"/>
              <w:left w:type="dxa" w:w="100"/>
              <w:bottom w:type="dxa" w:w="80"/>
              <w:right w:type="dxa" w:w="100"/>
            </w:tcMar>
            <w:vAlign w:val="center"/>
          </w:tcPr>
          <w:p>
            <w:r>
              <w:rPr>
                <w:b/>
                <w:bCs/>
                <w:color w:val="FFFFFF"/>
                <w:sz w:val="20"/>
                <w:szCs w:val="20"/>
              </w:rPr>
              <w:t xml:space="preserve">Stage</w:t>
            </w:r>
          </w:p>
        </w:tc>
        <w:tc>
          <w:tcPr>
            <w:tcW w:type="dxa" w:w="4118"/>
            <w:shd w:fill="1F3864" w:color="auto" w:val="clear"/>
            <w:tcMar>
              <w:top w:type="dxa" w:w="80"/>
              <w:left w:type="dxa" w:w="100"/>
              <w:bottom w:type="dxa" w:w="80"/>
              <w:right w:type="dxa" w:w="100"/>
            </w:tcMar>
            <w:vAlign w:val="center"/>
          </w:tcPr>
          <w:p>
            <w:r>
              <w:rPr>
                <w:b/>
                <w:bCs/>
                <w:color w:val="FFFFFF"/>
                <w:sz w:val="20"/>
                <w:szCs w:val="20"/>
              </w:rPr>
              <w:t xml:space="preserve">Purpose</w:t>
            </w:r>
          </w:p>
        </w:tc>
        <w:tc>
          <w:tcPr>
            <w:tcW w:type="dxa" w:w="1685"/>
            <w:shd w:fill="1F3864" w:color="auto" w:val="clear"/>
            <w:tcMar>
              <w:top w:type="dxa" w:w="80"/>
              <w:left w:type="dxa" w:w="100"/>
              <w:bottom w:type="dxa" w:w="80"/>
              <w:right w:type="dxa" w:w="100"/>
            </w:tcMar>
            <w:vAlign w:val="center"/>
          </w:tcPr>
          <w:p>
            <w:r>
              <w:rPr>
                <w:b/>
                <w:bCs/>
                <w:color w:val="FFFFFF"/>
                <w:sz w:val="20"/>
                <w:szCs w:val="20"/>
              </w:rPr>
              <w:t xml:space="preserve">Capital</w:t>
            </w:r>
          </w:p>
        </w:tc>
        <w:tc>
          <w:tcPr>
            <w:tcW w:type="dxa" w:w="1498"/>
            <w:shd w:fill="1F3864" w:color="auto" w:val="clear"/>
            <w:tcMar>
              <w:top w:type="dxa" w:w="80"/>
              <w:left w:type="dxa" w:w="100"/>
              <w:bottom w:type="dxa" w:w="80"/>
              <w:right w:type="dxa" w:w="100"/>
            </w:tcMar>
            <w:vAlign w:val="center"/>
          </w:tcPr>
          <w:p>
            <w:r>
              <w:rPr>
                <w:b/>
                <w:bCs/>
                <w:color w:val="FFFFFF"/>
                <w:sz w:val="20"/>
                <w:szCs w:val="20"/>
              </w:rPr>
              <w:t xml:space="preserve">Duration</w:t>
            </w:r>
          </w:p>
        </w:tc>
      </w:tr>
      <w:tr>
        <w:tc>
          <w:tcPr>
            <w:tcW w:type="dxa" w:w="2059"/>
            <w:shd w:fill="FFFFFF" w:color="auto" w:val="clear"/>
            <w:tcMar>
              <w:top w:type="dxa" w:w="60"/>
              <w:left w:type="dxa" w:w="100"/>
              <w:bottom w:type="dxa" w:w="60"/>
              <w:right w:type="dxa" w:w="100"/>
            </w:tcMar>
            <w:vAlign w:val="center"/>
          </w:tcPr>
          <w:p>
            <w:r>
              <w:rPr>
                <w:sz w:val="19"/>
                <w:szCs w:val="19"/>
              </w:rPr>
              <w:t xml:space="preserve">Stage 0 — Lean Validation</w:t>
            </w:r>
          </w:p>
        </w:tc>
        <w:tc>
          <w:tcPr>
            <w:tcW w:type="dxa" w:w="4118"/>
            <w:shd w:fill="FFFFFF" w:color="auto" w:val="clear"/>
            <w:tcMar>
              <w:top w:type="dxa" w:w="60"/>
              <w:left w:type="dxa" w:w="100"/>
              <w:bottom w:type="dxa" w:w="60"/>
              <w:right w:type="dxa" w:w="100"/>
            </w:tcMar>
            <w:vAlign w:val="center"/>
          </w:tcPr>
          <w:p>
            <w:r>
              <w:rPr>
                <w:sz w:val="19"/>
                <w:szCs w:val="19"/>
              </w:rPr>
              <w:t xml:space="preserve">Prove real demand via a simple landing page + WhatsApp Business booking + a 2–3 person manual dispatch team, Jeddah only</w:t>
            </w:r>
          </w:p>
        </w:tc>
        <w:tc>
          <w:tcPr>
            <w:tcW w:type="dxa" w:w="1685"/>
            <w:shd w:fill="FFFFFF" w:color="auto" w:val="clear"/>
            <w:tcMar>
              <w:top w:type="dxa" w:w="60"/>
              <w:left w:type="dxa" w:w="100"/>
              <w:bottom w:type="dxa" w:w="60"/>
              <w:right w:type="dxa" w:w="100"/>
            </w:tcMar>
            <w:vAlign w:val="center"/>
          </w:tcPr>
          <w:p>
            <w:r>
              <w:rPr>
                <w:sz w:val="19"/>
                <w:szCs w:val="19"/>
              </w:rPr>
              <w:t xml:space="preserve">SAR 80,000–120,000</w:t>
            </w:r>
          </w:p>
        </w:tc>
        <w:tc>
          <w:tcPr>
            <w:tcW w:type="dxa" w:w="1498"/>
            <w:shd w:fill="FFFFFF" w:color="auto" w:val="clear"/>
            <w:tcMar>
              <w:top w:type="dxa" w:w="60"/>
              <w:left w:type="dxa" w:w="100"/>
              <w:bottom w:type="dxa" w:w="60"/>
              <w:right w:type="dxa" w:w="100"/>
            </w:tcMar>
            <w:vAlign w:val="center"/>
          </w:tcPr>
          <w:p>
            <w:r>
              <w:rPr>
                <w:sz w:val="19"/>
                <w:szCs w:val="19"/>
              </w:rPr>
              <w:t xml:space="preserve">2–3 months</w:t>
            </w:r>
          </w:p>
        </w:tc>
      </w:tr>
      <w:tr>
        <w:tc>
          <w:tcPr>
            <w:tcW w:type="dxa" w:w="2059"/>
            <w:shd w:fill="DCE6F1" w:color="auto" w:val="clear"/>
            <w:tcMar>
              <w:top w:type="dxa" w:w="60"/>
              <w:left w:type="dxa" w:w="100"/>
              <w:bottom w:type="dxa" w:w="60"/>
              <w:right w:type="dxa" w:w="100"/>
            </w:tcMar>
            <w:vAlign w:val="center"/>
          </w:tcPr>
          <w:p>
            <w:r>
              <w:rPr>
                <w:sz w:val="19"/>
                <w:szCs w:val="19"/>
              </w:rPr>
              <w:t xml:space="preserve">Stage 1 — Full 3-City Buildout</w:t>
            </w:r>
          </w:p>
        </w:tc>
        <w:tc>
          <w:tcPr>
            <w:tcW w:type="dxa" w:w="4118"/>
            <w:shd w:fill="DCE6F1" w:color="auto" w:val="clear"/>
            <w:tcMar>
              <w:top w:type="dxa" w:w="60"/>
              <w:left w:type="dxa" w:w="100"/>
              <w:bottom w:type="dxa" w:w="60"/>
              <w:right w:type="dxa" w:w="100"/>
            </w:tcMar>
            <w:vAlign w:val="center"/>
          </w:tcPr>
          <w:p>
            <w:r>
              <w:rPr>
                <w:sz w:val="19"/>
                <w:szCs w:val="19"/>
              </w:rPr>
              <w:t xml:space="preserve">Full app, proper team, launch across Jeddah → Riyadh → Dammam, plus runway to break-even</w:t>
            </w:r>
          </w:p>
        </w:tc>
        <w:tc>
          <w:tcPr>
            <w:tcW w:type="dxa" w:w="1685"/>
            <w:shd w:fill="DCE6F1" w:color="auto" w:val="clear"/>
            <w:tcMar>
              <w:top w:type="dxa" w:w="60"/>
              <w:left w:type="dxa" w:w="100"/>
              <w:bottom w:type="dxa" w:w="60"/>
              <w:right w:type="dxa" w:w="100"/>
            </w:tcMar>
            <w:vAlign w:val="center"/>
          </w:tcPr>
          <w:p>
            <w:r>
              <w:rPr>
                <w:sz w:val="19"/>
                <w:szCs w:val="19"/>
              </w:rPr>
              <w:t xml:space="preserve">SAR 900,000–1,300,000</w:t>
            </w:r>
          </w:p>
        </w:tc>
        <w:tc>
          <w:tcPr>
            <w:tcW w:type="dxa" w:w="1498"/>
            <w:shd w:fill="DCE6F1" w:color="auto" w:val="clear"/>
            <w:tcMar>
              <w:top w:type="dxa" w:w="60"/>
              <w:left w:type="dxa" w:w="100"/>
              <w:bottom w:type="dxa" w:w="60"/>
              <w:right w:type="dxa" w:w="100"/>
            </w:tcMar>
            <w:vAlign w:val="center"/>
          </w:tcPr>
          <w:p>
            <w:r>
              <w:rPr>
                <w:sz w:val="19"/>
                <w:szCs w:val="19"/>
              </w:rPr>
              <w:t xml:space="preserve">Months 3–18</w:t>
            </w:r>
          </w:p>
        </w:tc>
      </w:tr>
    </w:tbl>
    <w:p>
      <w:pPr>
        <w:spacing w:after="160"/>
        <w:jc w:val="left"/>
      </w:pPr>
      <w:r>
        <w:t xml:space="preserve">Only commit to Stage 1 if Stage 0 shows real signal (landing-page conversion, contractor interest, completed jobs at acceptable quality).</w:t>
      </w:r>
    </w:p>
    <w:p>
      <w:pPr>
        <w:pStyle w:val="Heading2"/>
        <w:spacing w:after="120" w:before="260"/>
      </w:pPr>
      <w:r>
        <w:t xml:space="preserve">Stage 0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0"/>
        <w:gridCol w:w="3120"/>
      </w:tblGrid>
      <w:tr>
        <w:trPr>
          <w:tblHeader/>
        </w:trPr>
        <w:tc>
          <w:tcPr>
            <w:tcW w:type="dxa" w:w="6240"/>
            <w:shd w:fill="1F3864" w:color="auto" w:val="clear"/>
            <w:tcMar>
              <w:top w:type="dxa" w:w="80"/>
              <w:left w:type="dxa" w:w="100"/>
              <w:bottom w:type="dxa" w:w="80"/>
              <w:right w:type="dxa" w:w="100"/>
            </w:tcMar>
            <w:vAlign w:val="center"/>
          </w:tcPr>
          <w:p>
            <w:r>
              <w:rPr>
                <w:b/>
                <w:bCs/>
                <w:color w:val="FFFFFF"/>
                <w:sz w:val="20"/>
                <w:szCs w:val="20"/>
              </w:rPr>
              <w:t xml:space="preserve">Item</w:t>
            </w:r>
          </w:p>
        </w:tc>
        <w:tc>
          <w:tcPr>
            <w:tcW w:type="dxa" w:w="3120"/>
            <w:shd w:fill="1F3864" w:color="auto" w:val="clear"/>
            <w:tcMar>
              <w:top w:type="dxa" w:w="80"/>
              <w:left w:type="dxa" w:w="100"/>
              <w:bottom w:type="dxa" w:w="80"/>
              <w:right w:type="dxa" w:w="100"/>
            </w:tcMar>
            <w:vAlign w:val="center"/>
          </w:tcPr>
          <w:p>
            <w:r>
              <w:rPr>
                <w:b/>
                <w:bCs/>
                <w:color w:val="FFFFFF"/>
                <w:sz w:val="20"/>
                <w:szCs w:val="20"/>
              </w:rPr>
              <w:t xml:space="preserve">Estimated cost (SAR)</w:t>
            </w:r>
          </w:p>
        </w:tc>
      </w:tr>
      <w:tr>
        <w:tc>
          <w:tcPr>
            <w:tcW w:type="dxa" w:w="6240"/>
            <w:shd w:fill="FFFFFF" w:color="auto" w:val="clear"/>
            <w:tcMar>
              <w:top w:type="dxa" w:w="60"/>
              <w:left w:type="dxa" w:w="100"/>
              <w:bottom w:type="dxa" w:w="60"/>
              <w:right w:type="dxa" w:w="100"/>
            </w:tcMar>
            <w:vAlign w:val="center"/>
          </w:tcPr>
          <w:p>
            <w:r>
              <w:rPr>
                <w:sz w:val="19"/>
                <w:szCs w:val="19"/>
              </w:rPr>
              <w:t xml:space="preserve">Simple booking landing page / WhatsApp Business setup</w:t>
            </w:r>
          </w:p>
        </w:tc>
        <w:tc>
          <w:tcPr>
            <w:tcW w:type="dxa" w:w="3120"/>
            <w:shd w:fill="FFFFFF" w:color="auto" w:val="clear"/>
            <w:tcMar>
              <w:top w:type="dxa" w:w="60"/>
              <w:left w:type="dxa" w:w="100"/>
              <w:bottom w:type="dxa" w:w="60"/>
              <w:right w:type="dxa" w:w="100"/>
            </w:tcMar>
            <w:vAlign w:val="center"/>
          </w:tcPr>
          <w:p>
            <w:r>
              <w:rPr>
                <w:sz w:val="19"/>
                <w:szCs w:val="19"/>
              </w:rPr>
              <w:t xml:space="preserve">8,000</w:t>
            </w:r>
          </w:p>
        </w:tc>
      </w:tr>
      <w:tr>
        <w:tc>
          <w:tcPr>
            <w:tcW w:type="dxa" w:w="6240"/>
            <w:shd w:fill="DCE6F1" w:color="auto" w:val="clear"/>
            <w:tcMar>
              <w:top w:type="dxa" w:w="60"/>
              <w:left w:type="dxa" w:w="100"/>
              <w:bottom w:type="dxa" w:w="60"/>
              <w:right w:type="dxa" w:w="100"/>
            </w:tcMar>
            <w:vAlign w:val="center"/>
          </w:tcPr>
          <w:p>
            <w:r>
              <w:rPr>
                <w:sz w:val="19"/>
                <w:szCs w:val="19"/>
              </w:rPr>
              <w:t xml:space="preserve">Company formation groundwork (CR filing initiated, Maroof)</w:t>
            </w:r>
          </w:p>
        </w:tc>
        <w:tc>
          <w:tcPr>
            <w:tcW w:type="dxa" w:w="3120"/>
            <w:shd w:fill="DCE6F1" w:color="auto" w:val="clear"/>
            <w:tcMar>
              <w:top w:type="dxa" w:w="60"/>
              <w:left w:type="dxa" w:w="100"/>
              <w:bottom w:type="dxa" w:w="60"/>
              <w:right w:type="dxa" w:w="100"/>
            </w:tcMar>
            <w:vAlign w:val="center"/>
          </w:tcPr>
          <w:p>
            <w:r>
              <w:rPr>
                <w:sz w:val="19"/>
                <w:szCs w:val="19"/>
              </w:rPr>
              <w:t xml:space="preserve">25,000</w:t>
            </w:r>
          </w:p>
        </w:tc>
      </w:tr>
      <w:tr>
        <w:tc>
          <w:tcPr>
            <w:tcW w:type="dxa" w:w="6240"/>
            <w:shd w:fill="FFFFFF" w:color="auto" w:val="clear"/>
            <w:tcMar>
              <w:top w:type="dxa" w:w="60"/>
              <w:left w:type="dxa" w:w="100"/>
              <w:bottom w:type="dxa" w:w="60"/>
              <w:right w:type="dxa" w:w="100"/>
            </w:tcMar>
            <w:vAlign w:val="center"/>
          </w:tcPr>
          <w:p>
            <w:r>
              <w:rPr>
                <w:sz w:val="19"/>
                <w:szCs w:val="19"/>
              </w:rPr>
              <w:t xml:space="preserve">Initial contractor recruitment (first ~10 partner agreements)</w:t>
            </w:r>
          </w:p>
        </w:tc>
        <w:tc>
          <w:tcPr>
            <w:tcW w:type="dxa" w:w="3120"/>
            <w:shd w:fill="FFFFFF" w:color="auto" w:val="clear"/>
            <w:tcMar>
              <w:top w:type="dxa" w:w="60"/>
              <w:left w:type="dxa" w:w="100"/>
              <w:bottom w:type="dxa" w:w="60"/>
              <w:right w:type="dxa" w:w="100"/>
            </w:tcMar>
            <w:vAlign w:val="center"/>
          </w:tcPr>
          <w:p>
            <w:r>
              <w:rPr>
                <w:sz w:val="19"/>
                <w:szCs w:val="19"/>
              </w:rPr>
              <w:t xml:space="preserve">10,000</w:t>
            </w:r>
          </w:p>
        </w:tc>
      </w:tr>
      <w:tr>
        <w:tc>
          <w:tcPr>
            <w:tcW w:type="dxa" w:w="6240"/>
            <w:shd w:fill="DCE6F1" w:color="auto" w:val="clear"/>
            <w:tcMar>
              <w:top w:type="dxa" w:w="60"/>
              <w:left w:type="dxa" w:w="100"/>
              <w:bottom w:type="dxa" w:w="60"/>
              <w:right w:type="dxa" w:w="100"/>
            </w:tcMar>
            <w:vAlign w:val="center"/>
          </w:tcPr>
          <w:p>
            <w:r>
              <w:rPr>
                <w:sz w:val="19"/>
                <w:szCs w:val="19"/>
              </w:rPr>
              <w:t xml:space="preserve">Small test-marketing budget</w:t>
            </w:r>
          </w:p>
        </w:tc>
        <w:tc>
          <w:tcPr>
            <w:tcW w:type="dxa" w:w="3120"/>
            <w:shd w:fill="DCE6F1" w:color="auto" w:val="clear"/>
            <w:tcMar>
              <w:top w:type="dxa" w:w="60"/>
              <w:left w:type="dxa" w:w="100"/>
              <w:bottom w:type="dxa" w:w="60"/>
              <w:right w:type="dxa" w:w="100"/>
            </w:tcMar>
            <w:vAlign w:val="center"/>
          </w:tcPr>
          <w:p>
            <w:r>
              <w:rPr>
                <w:sz w:val="19"/>
                <w:szCs w:val="19"/>
              </w:rPr>
              <w:t xml:space="preserve">15,000</w:t>
            </w:r>
          </w:p>
        </w:tc>
      </w:tr>
      <w:tr>
        <w:tc>
          <w:tcPr>
            <w:tcW w:type="dxa" w:w="6240"/>
            <w:shd w:fill="FFFFFF" w:color="auto" w:val="clear"/>
            <w:tcMar>
              <w:top w:type="dxa" w:w="60"/>
              <w:left w:type="dxa" w:w="100"/>
              <w:bottom w:type="dxa" w:w="60"/>
              <w:right w:type="dxa" w:w="100"/>
            </w:tcMar>
            <w:vAlign w:val="center"/>
          </w:tcPr>
          <w:p>
            <w:r>
              <w:rPr>
                <w:sz w:val="19"/>
                <w:szCs w:val="19"/>
              </w:rPr>
              <w:t xml:space="preserve">Lean team (founder + 1–2 people), 2–3 months</w:t>
            </w:r>
          </w:p>
        </w:tc>
        <w:tc>
          <w:tcPr>
            <w:tcW w:type="dxa" w:w="3120"/>
            <w:shd w:fill="FFFFFF" w:color="auto" w:val="clear"/>
            <w:tcMar>
              <w:top w:type="dxa" w:w="60"/>
              <w:left w:type="dxa" w:w="100"/>
              <w:bottom w:type="dxa" w:w="60"/>
              <w:right w:type="dxa" w:w="100"/>
            </w:tcMar>
            <w:vAlign w:val="center"/>
          </w:tcPr>
          <w:p>
            <w:r>
              <w:rPr>
                <w:sz w:val="19"/>
                <w:szCs w:val="19"/>
              </w:rPr>
              <w:t xml:space="preserve">25,000–40,000</w:t>
            </w:r>
          </w:p>
        </w:tc>
      </w:tr>
      <w:tr>
        <w:tc>
          <w:tcPr>
            <w:tcW w:type="dxa" w:w="6240"/>
            <w:shd w:fill="DCE6F1" w:color="auto" w:val="clear"/>
            <w:tcMar>
              <w:top w:type="dxa" w:w="60"/>
              <w:left w:type="dxa" w:w="100"/>
              <w:bottom w:type="dxa" w:w="60"/>
              <w:right w:type="dxa" w:w="100"/>
            </w:tcMar>
            <w:vAlign w:val="center"/>
          </w:tcPr>
          <w:p>
            <w:r>
              <w:rPr>
                <w:sz w:val="19"/>
                <w:szCs w:val="19"/>
              </w:rPr>
              <w:t xml:space="preserve">Contingency</w:t>
            </w:r>
          </w:p>
        </w:tc>
        <w:tc>
          <w:tcPr>
            <w:tcW w:type="dxa" w:w="3120"/>
            <w:shd w:fill="DCE6F1" w:color="auto" w:val="clear"/>
            <w:tcMar>
              <w:top w:type="dxa" w:w="60"/>
              <w:left w:type="dxa" w:w="100"/>
              <w:bottom w:type="dxa" w:w="60"/>
              <w:right w:type="dxa" w:w="100"/>
            </w:tcMar>
            <w:vAlign w:val="center"/>
          </w:tcPr>
          <w:p>
            <w:r>
              <w:rPr>
                <w:sz w:val="19"/>
                <w:szCs w:val="19"/>
              </w:rPr>
              <w:t xml:space="preserve">~10,000</w:t>
            </w:r>
          </w:p>
        </w:tc>
      </w:tr>
    </w:tbl>
    <w:p>
      <w:pPr>
        <w:pStyle w:val="Heading2"/>
        <w:spacing w:after="120" w:before="260"/>
      </w:pPr>
      <w:r>
        <w:t xml:space="preserve">Stage 1 — one-time (startup)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2059"/>
        <w:gridCol w:w="2153"/>
      </w:tblGrid>
      <w:tr>
        <w:trPr>
          <w:tblHeader/>
        </w:trPr>
        <w:tc>
          <w:tcPr>
            <w:tcW w:type="dxa" w:w="5148"/>
            <w:shd w:fill="1F3864" w:color="auto" w:val="clear"/>
            <w:tcMar>
              <w:top w:type="dxa" w:w="80"/>
              <w:left w:type="dxa" w:w="100"/>
              <w:bottom w:type="dxa" w:w="80"/>
              <w:right w:type="dxa" w:w="100"/>
            </w:tcMar>
            <w:vAlign w:val="center"/>
          </w:tcPr>
          <w:p>
            <w:r>
              <w:rPr>
                <w:b/>
                <w:bCs/>
                <w:color w:val="FFFFFF"/>
                <w:sz w:val="20"/>
                <w:szCs w:val="20"/>
              </w:rPr>
              <w:t xml:space="preserve">Item</w:t>
            </w:r>
          </w:p>
        </w:tc>
        <w:tc>
          <w:tcPr>
            <w:tcW w:type="dxa" w:w="2059"/>
            <w:shd w:fill="1F3864" w:color="auto" w:val="clear"/>
            <w:tcMar>
              <w:top w:type="dxa" w:w="80"/>
              <w:left w:type="dxa" w:w="100"/>
              <w:bottom w:type="dxa" w:w="80"/>
              <w:right w:type="dxa" w:w="100"/>
            </w:tcMar>
            <w:vAlign w:val="center"/>
          </w:tcPr>
          <w:p>
            <w:r>
              <w:rPr>
                <w:b/>
                <w:bCs/>
                <w:color w:val="FFFFFF"/>
                <w:sz w:val="20"/>
                <w:szCs w:val="20"/>
              </w:rPr>
              <w:t xml:space="preserve">Estimated cost (SAR)</w:t>
            </w:r>
          </w:p>
        </w:tc>
        <w:tc>
          <w:tcPr>
            <w:tcW w:type="dxa" w:w="2153"/>
            <w:shd w:fill="1F3864" w:color="auto" w:val="clear"/>
            <w:tcMar>
              <w:top w:type="dxa" w:w="80"/>
              <w:left w:type="dxa" w:w="100"/>
              <w:bottom w:type="dxa" w:w="80"/>
              <w:right w:type="dxa" w:w="100"/>
            </w:tcMar>
            <w:vAlign w:val="center"/>
          </w:tcPr>
          <w:p>
            <w:r>
              <w:rPr>
                <w:b/>
                <w:bCs/>
                <w:color w:val="FFFFFF"/>
                <w:sz w:val="20"/>
                <w:szCs w:val="20"/>
              </w:rPr>
              <w:t xml:space="preserve">Notes</w:t>
            </w:r>
          </w:p>
        </w:tc>
      </w:tr>
      <w:tr>
        <w:tc>
          <w:tcPr>
            <w:tcW w:type="dxa" w:w="5148"/>
            <w:shd w:fill="FFFFFF" w:color="auto" w:val="clear"/>
            <w:tcMar>
              <w:top w:type="dxa" w:w="60"/>
              <w:left w:type="dxa" w:w="100"/>
              <w:bottom w:type="dxa" w:w="60"/>
              <w:right w:type="dxa" w:w="100"/>
            </w:tcMar>
            <w:vAlign w:val="center"/>
          </w:tcPr>
          <w:p>
            <w:r>
              <w:rPr>
                <w:sz w:val="19"/>
                <w:szCs w:val="19"/>
              </w:rPr>
              <w:t xml:space="preserve">App development (customer app + contractor app + admin dashboard)</w:t>
            </w:r>
          </w:p>
        </w:tc>
        <w:tc>
          <w:tcPr>
            <w:tcW w:type="dxa" w:w="2059"/>
            <w:shd w:fill="FFFFFF" w:color="auto" w:val="clear"/>
            <w:tcMar>
              <w:top w:type="dxa" w:w="60"/>
              <w:left w:type="dxa" w:w="100"/>
              <w:bottom w:type="dxa" w:w="60"/>
              <w:right w:type="dxa" w:w="100"/>
            </w:tcMar>
            <w:vAlign w:val="center"/>
          </w:tcPr>
          <w:p>
            <w:r>
              <w:rPr>
                <w:sz w:val="19"/>
                <w:szCs w:val="19"/>
              </w:rPr>
              <w:t xml:space="preserve">250,000–350,000</w:t>
            </w:r>
          </w:p>
        </w:tc>
        <w:tc>
          <w:tcPr>
            <w:tcW w:type="dxa" w:w="2153"/>
            <w:shd w:fill="FFFFFF" w:color="auto" w:val="clear"/>
            <w:tcMar>
              <w:top w:type="dxa" w:w="60"/>
              <w:left w:type="dxa" w:w="100"/>
              <w:bottom w:type="dxa" w:w="60"/>
              <w:right w:type="dxa" w:w="100"/>
            </w:tcMar>
            <w:vAlign w:val="center"/>
          </w:tcPr>
          <w:p>
            <w:r>
              <w:rPr>
                <w:sz w:val="19"/>
                <w:szCs w:val="19"/>
              </w:rPr>
              <w:t xml:space="preserve">Get 3+ competing agency quotes</w:t>
            </w:r>
          </w:p>
        </w:tc>
      </w:tr>
      <w:tr>
        <w:tc>
          <w:tcPr>
            <w:tcW w:type="dxa" w:w="5148"/>
            <w:shd w:fill="DCE6F1" w:color="auto" w:val="clear"/>
            <w:tcMar>
              <w:top w:type="dxa" w:w="60"/>
              <w:left w:type="dxa" w:w="100"/>
              <w:bottom w:type="dxa" w:w="60"/>
              <w:right w:type="dxa" w:w="100"/>
            </w:tcMar>
            <w:vAlign w:val="center"/>
          </w:tcPr>
          <w:p>
            <w:r>
              <w:rPr>
                <w:sz w:val="19"/>
                <w:szCs w:val="19"/>
              </w:rPr>
              <w:t xml:space="preserve">Payment gateway integration &amp; setup</w:t>
            </w:r>
          </w:p>
        </w:tc>
        <w:tc>
          <w:tcPr>
            <w:tcW w:type="dxa" w:w="2059"/>
            <w:shd w:fill="DCE6F1" w:color="auto" w:val="clear"/>
            <w:tcMar>
              <w:top w:type="dxa" w:w="60"/>
              <w:left w:type="dxa" w:w="100"/>
              <w:bottom w:type="dxa" w:w="60"/>
              <w:right w:type="dxa" w:w="100"/>
            </w:tcMar>
            <w:vAlign w:val="center"/>
          </w:tcPr>
          <w:p>
            <w:r>
              <w:rPr>
                <w:sz w:val="19"/>
                <w:szCs w:val="19"/>
              </w:rPr>
              <w:t xml:space="preserve">10,000–20,000</w:t>
            </w:r>
          </w:p>
        </w:tc>
        <w:tc>
          <w:tcPr>
            <w:tcW w:type="dxa" w:w="2153"/>
            <w:shd w:fill="DCE6F1" w:color="auto" w:val="clear"/>
            <w:tcMar>
              <w:top w:type="dxa" w:w="60"/>
              <w:left w:type="dxa" w:w="100"/>
              <w:bottom w:type="dxa" w:w="60"/>
              <w:right w:type="dxa" w:w="100"/>
            </w:tcMar>
            <w:vAlign w:val="center"/>
          </w:tcPr>
          <w:p>
            <w:r>
              <w:rPr>
                <w:sz w:val="19"/>
                <w:szCs w:val="19"/>
              </w:rPr>
              <w:t xml:space="preserve">Via a SAMA-licensed KSA gateway</w:t>
            </w:r>
          </w:p>
        </w:tc>
      </w:tr>
      <w:tr>
        <w:tc>
          <w:tcPr>
            <w:tcW w:type="dxa" w:w="5148"/>
            <w:shd w:fill="FFFFFF" w:color="auto" w:val="clear"/>
            <w:tcMar>
              <w:top w:type="dxa" w:w="60"/>
              <w:left w:type="dxa" w:w="100"/>
              <w:bottom w:type="dxa" w:w="60"/>
              <w:right w:type="dxa" w:w="100"/>
            </w:tcMar>
            <w:vAlign w:val="center"/>
          </w:tcPr>
          <w:p>
            <w:r>
              <w:rPr>
                <w:sz w:val="19"/>
                <w:szCs w:val="19"/>
              </w:rPr>
              <w:t xml:space="preserve">Legal (CR completion, agreement templates, SLA, ToS, Privacy Policy)</w:t>
            </w:r>
          </w:p>
        </w:tc>
        <w:tc>
          <w:tcPr>
            <w:tcW w:type="dxa" w:w="2059"/>
            <w:shd w:fill="FFFFFF" w:color="auto" w:val="clear"/>
            <w:tcMar>
              <w:top w:type="dxa" w:w="60"/>
              <w:left w:type="dxa" w:w="100"/>
              <w:bottom w:type="dxa" w:w="60"/>
              <w:right w:type="dxa" w:w="100"/>
            </w:tcMar>
            <w:vAlign w:val="center"/>
          </w:tcPr>
          <w:p>
            <w:r>
              <w:rPr>
                <w:sz w:val="19"/>
                <w:szCs w:val="19"/>
              </w:rPr>
              <w:t xml:space="preserve">20,000–40,000</w:t>
            </w:r>
          </w:p>
        </w:tc>
        <w:tc>
          <w:tcPr>
            <w:tcW w:type="dxa" w:w="2153"/>
            <w:shd w:fill="FFFFFF" w:color="auto" w:val="clear"/>
            <w:tcMar>
              <w:top w:type="dxa" w:w="60"/>
              <w:left w:type="dxa" w:w="100"/>
              <w:bottom w:type="dxa" w:w="60"/>
              <w:right w:type="dxa" w:w="100"/>
            </w:tcMar>
            <w:vAlign w:val="center"/>
          </w:tcPr>
          <w:p>
            <w:r>
              <w:rPr>
                <w:sz w:val="19"/>
                <w:szCs w:val="19"/>
              </w:rPr>
              <w:t xml:space="preserve">Saudi corporate lawyer</w:t>
            </w:r>
          </w:p>
        </w:tc>
      </w:tr>
      <w:tr>
        <w:tc>
          <w:tcPr>
            <w:tcW w:type="dxa" w:w="5148"/>
            <w:shd w:fill="DCE6F1" w:color="auto" w:val="clear"/>
            <w:tcMar>
              <w:top w:type="dxa" w:w="60"/>
              <w:left w:type="dxa" w:w="100"/>
              <w:bottom w:type="dxa" w:w="60"/>
              <w:right w:type="dxa" w:w="100"/>
            </w:tcMar>
            <w:vAlign w:val="center"/>
          </w:tcPr>
          <w:p>
            <w:r>
              <w:rPr>
                <w:sz w:val="19"/>
                <w:szCs w:val="19"/>
              </w:rPr>
              <w:t xml:space="preserve">Branding &amp; website</w:t>
            </w:r>
          </w:p>
        </w:tc>
        <w:tc>
          <w:tcPr>
            <w:tcW w:type="dxa" w:w="2059"/>
            <w:shd w:fill="DCE6F1" w:color="auto" w:val="clear"/>
            <w:tcMar>
              <w:top w:type="dxa" w:w="60"/>
              <w:left w:type="dxa" w:w="100"/>
              <w:bottom w:type="dxa" w:w="60"/>
              <w:right w:type="dxa" w:w="100"/>
            </w:tcMar>
            <w:vAlign w:val="center"/>
          </w:tcPr>
          <w:p>
            <w:r>
              <w:rPr>
                <w:sz w:val="19"/>
                <w:szCs w:val="19"/>
              </w:rPr>
              <w:t xml:space="preserve">20,000–30,000</w:t>
            </w:r>
          </w:p>
        </w:tc>
        <w:tc>
          <w:tcPr>
            <w:tcW w:type="dxa" w:w="2153"/>
            <w:shd w:fill="DCE6F1" w:color="auto" w:val="clear"/>
            <w:tcMar>
              <w:top w:type="dxa" w:w="60"/>
              <w:left w:type="dxa" w:w="100"/>
              <w:bottom w:type="dxa" w:w="60"/>
              <w:right w:type="dxa" w:w="100"/>
            </w:tcMar>
            <w:vAlign w:val="center"/>
          </w:tcPr>
          <w:p>
            <w:r>
              <w:rPr>
                <w:sz w:val="19"/>
                <w:szCs w:val="19"/>
              </w:rPr>
              <w:t xml:space="preserve"/>
            </w:r>
          </w:p>
        </w:tc>
      </w:tr>
      <w:tr>
        <w:tc>
          <w:tcPr>
            <w:tcW w:type="dxa" w:w="5148"/>
            <w:shd w:fill="FFFFFF" w:color="auto" w:val="clear"/>
            <w:tcMar>
              <w:top w:type="dxa" w:w="60"/>
              <w:left w:type="dxa" w:w="100"/>
              <w:bottom w:type="dxa" w:w="60"/>
              <w:right w:type="dxa" w:w="100"/>
            </w:tcMar>
            <w:vAlign w:val="center"/>
          </w:tcPr>
          <w:p>
            <w:r>
              <w:rPr>
                <w:sz w:val="19"/>
                <w:szCs w:val="19"/>
              </w:rPr>
              <w:t xml:space="preserve">Office setup (space, laptops, dispatch software licenses)</w:t>
            </w:r>
          </w:p>
        </w:tc>
        <w:tc>
          <w:tcPr>
            <w:tcW w:type="dxa" w:w="2059"/>
            <w:shd w:fill="FFFFFF" w:color="auto" w:val="clear"/>
            <w:tcMar>
              <w:top w:type="dxa" w:w="60"/>
              <w:left w:type="dxa" w:w="100"/>
              <w:bottom w:type="dxa" w:w="60"/>
              <w:right w:type="dxa" w:w="100"/>
            </w:tcMar>
            <w:vAlign w:val="center"/>
          </w:tcPr>
          <w:p>
            <w:r>
              <w:rPr>
                <w:sz w:val="19"/>
                <w:szCs w:val="19"/>
              </w:rPr>
              <w:t xml:space="preserve">30,000–40,000</w:t>
            </w:r>
          </w:p>
        </w:tc>
        <w:tc>
          <w:tcPr>
            <w:tcW w:type="dxa" w:w="2153"/>
            <w:shd w:fill="FFFFFF" w:color="auto" w:val="clear"/>
            <w:tcMar>
              <w:top w:type="dxa" w:w="60"/>
              <w:left w:type="dxa" w:w="100"/>
              <w:bottom w:type="dxa" w:w="60"/>
              <w:right w:type="dxa" w:w="100"/>
            </w:tcMar>
            <w:vAlign w:val="center"/>
          </w:tcPr>
          <w:p>
            <w:r>
              <w:rPr>
                <w:sz w:val="19"/>
                <w:szCs w:val="19"/>
              </w:rPr>
              <w:t xml:space="preserve"/>
            </w:r>
          </w:p>
        </w:tc>
      </w:tr>
      <w:tr>
        <w:tc>
          <w:tcPr>
            <w:tcW w:type="dxa" w:w="5148"/>
            <w:shd w:fill="DCE6F1" w:color="auto" w:val="clear"/>
            <w:tcMar>
              <w:top w:type="dxa" w:w="60"/>
              <w:left w:type="dxa" w:w="100"/>
              <w:bottom w:type="dxa" w:w="60"/>
              <w:right w:type="dxa" w:w="100"/>
            </w:tcMar>
            <w:vAlign w:val="center"/>
          </w:tcPr>
          <w:p>
            <w:r>
              <w:rPr>
                <w:sz w:val="19"/>
                <w:szCs w:val="19"/>
              </w:rPr>
              <w:t xml:space="preserve">Insurance (first-year platform liability premium)</w:t>
            </w:r>
          </w:p>
        </w:tc>
        <w:tc>
          <w:tcPr>
            <w:tcW w:type="dxa" w:w="2059"/>
            <w:shd w:fill="DCE6F1" w:color="auto" w:val="clear"/>
            <w:tcMar>
              <w:top w:type="dxa" w:w="60"/>
              <w:left w:type="dxa" w:w="100"/>
              <w:bottom w:type="dxa" w:w="60"/>
              <w:right w:type="dxa" w:w="100"/>
            </w:tcMar>
            <w:vAlign w:val="center"/>
          </w:tcPr>
          <w:p>
            <w:r>
              <w:rPr>
                <w:sz w:val="19"/>
                <w:szCs w:val="19"/>
              </w:rPr>
              <w:t xml:space="preserve">12,000–18,000</w:t>
            </w:r>
          </w:p>
        </w:tc>
        <w:tc>
          <w:tcPr>
            <w:tcW w:type="dxa" w:w="2153"/>
            <w:shd w:fill="DCE6F1" w:color="auto" w:val="clear"/>
            <w:tcMar>
              <w:top w:type="dxa" w:w="60"/>
              <w:left w:type="dxa" w:w="100"/>
              <w:bottom w:type="dxa" w:w="60"/>
              <w:right w:type="dxa" w:w="100"/>
            </w:tcMar>
            <w:vAlign w:val="center"/>
          </w:tcPr>
          <w:p>
            <w:r>
              <w:rPr>
                <w:sz w:val="19"/>
                <w:szCs w:val="19"/>
              </w:rPr>
              <w:t xml:space="preserve"/>
            </w:r>
          </w:p>
        </w:tc>
      </w:tr>
      <w:tr>
        <w:tc>
          <w:tcPr>
            <w:tcW w:type="dxa" w:w="5148"/>
            <w:shd w:fill="FFFFFF" w:color="auto" w:val="clear"/>
            <w:tcMar>
              <w:top w:type="dxa" w:w="60"/>
              <w:left w:type="dxa" w:w="100"/>
              <w:bottom w:type="dxa" w:w="60"/>
              <w:right w:type="dxa" w:w="100"/>
            </w:tcMar>
            <w:vAlign w:val="center"/>
          </w:tcPr>
          <w:p>
            <w:r>
              <w:rPr>
                <w:sz w:val="19"/>
                <w:szCs w:val="19"/>
              </w:rPr>
              <w:t xml:space="preserve">Launch marketing campaign (Jeddah-focused)</w:t>
            </w:r>
          </w:p>
        </w:tc>
        <w:tc>
          <w:tcPr>
            <w:tcW w:type="dxa" w:w="2059"/>
            <w:shd w:fill="FFFFFF" w:color="auto" w:val="clear"/>
            <w:tcMar>
              <w:top w:type="dxa" w:w="60"/>
              <w:left w:type="dxa" w:w="100"/>
              <w:bottom w:type="dxa" w:w="60"/>
              <w:right w:type="dxa" w:w="100"/>
            </w:tcMar>
            <w:vAlign w:val="center"/>
          </w:tcPr>
          <w:p>
            <w:r>
              <w:rPr>
                <w:sz w:val="19"/>
                <w:szCs w:val="19"/>
              </w:rPr>
              <w:t xml:space="preserve">50,000–70,000</w:t>
            </w:r>
          </w:p>
        </w:tc>
        <w:tc>
          <w:tcPr>
            <w:tcW w:type="dxa" w:w="2153"/>
            <w:shd w:fill="FFFFFF" w:color="auto" w:val="clear"/>
            <w:tcMar>
              <w:top w:type="dxa" w:w="60"/>
              <w:left w:type="dxa" w:w="100"/>
              <w:bottom w:type="dxa" w:w="60"/>
              <w:right w:type="dxa" w:w="100"/>
            </w:tcMar>
            <w:vAlign w:val="center"/>
          </w:tcPr>
          <w:p>
            <w:r>
              <w:rPr>
                <w:sz w:val="19"/>
                <w:szCs w:val="19"/>
              </w:rPr>
              <w:t xml:space="preserve"/>
            </w:r>
          </w:p>
        </w:tc>
      </w:tr>
      <w:tr>
        <w:tc>
          <w:tcPr>
            <w:tcW w:type="dxa" w:w="5148"/>
            <w:shd w:fill="DCE6F1" w:color="auto" w:val="clear"/>
            <w:tcMar>
              <w:top w:type="dxa" w:w="60"/>
              <w:left w:type="dxa" w:w="100"/>
              <w:bottom w:type="dxa" w:w="60"/>
              <w:right w:type="dxa" w:w="100"/>
            </w:tcMar>
            <w:vAlign w:val="center"/>
          </w:tcPr>
          <w:p>
            <w:r>
              <w:rPr>
                <w:sz w:val="19"/>
                <w:szCs w:val="19"/>
              </w:rPr>
              <w:t xml:space="preserve">Contingency (10%)</w:t>
            </w:r>
          </w:p>
        </w:tc>
        <w:tc>
          <w:tcPr>
            <w:tcW w:type="dxa" w:w="2059"/>
            <w:shd w:fill="DCE6F1" w:color="auto" w:val="clear"/>
            <w:tcMar>
              <w:top w:type="dxa" w:w="60"/>
              <w:left w:type="dxa" w:w="100"/>
              <w:bottom w:type="dxa" w:w="60"/>
              <w:right w:type="dxa" w:w="100"/>
            </w:tcMar>
            <w:vAlign w:val="center"/>
          </w:tcPr>
          <w:p>
            <w:r>
              <w:rPr>
                <w:sz w:val="19"/>
                <w:szCs w:val="19"/>
              </w:rPr>
              <w:t xml:space="preserve">~45,000</w:t>
            </w:r>
          </w:p>
        </w:tc>
        <w:tc>
          <w:tcPr>
            <w:tcW w:type="dxa" w:w="2153"/>
            <w:shd w:fill="DCE6F1" w:color="auto" w:val="clear"/>
            <w:tcMar>
              <w:top w:type="dxa" w:w="60"/>
              <w:left w:type="dxa" w:w="100"/>
              <w:bottom w:type="dxa" w:w="60"/>
              <w:right w:type="dxa" w:w="100"/>
            </w:tcMar>
            <w:vAlign w:val="center"/>
          </w:tcPr>
          <w:p>
            <w:r>
              <w:rPr>
                <w:sz w:val="19"/>
                <w:szCs w:val="19"/>
              </w:rPr>
              <w:t xml:space="preserve"/>
            </w:r>
          </w:p>
        </w:tc>
      </w:tr>
    </w:tbl>
    <w:p>
      <w:pPr>
        <w:spacing w:after="160"/>
        <w:jc w:val="left"/>
      </w:pPr>
      <w:r>
        <w:rPr>
          <w:b/>
          <w:bCs/>
        </w:rPr>
        <w:t xml:space="preserve">Subtotal (one-time): </w:t>
      </w:r>
      <w:r>
        <w:t xml:space="preserve">~SAR 550,000–650,000</w:t>
      </w:r>
    </w:p>
    <w:p>
      <w:pPr>
        <w:pStyle w:val="Heading2"/>
        <w:spacing w:after="120" w:before="260"/>
      </w:pPr>
      <w:r>
        <w:t xml:space="preserve">Stage 1 — monthly running costs (ramping with rollout)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924"/>
        <w:gridCol w:w="1225"/>
        <w:gridCol w:w="1137"/>
        <w:gridCol w:w="1137"/>
        <w:gridCol w:w="962"/>
        <w:gridCol w:w="1225"/>
      </w:tblGrid>
      <w:tr>
        <w:trPr>
          <w:tblHeader/>
        </w:trPr>
        <w:tc>
          <w:tcPr>
            <w:tcW w:type="dxa" w:w="1750"/>
            <w:shd w:fill="1F3864" w:color="auto" w:val="clear"/>
            <w:tcMar>
              <w:top w:type="dxa" w:w="80"/>
              <w:left w:type="dxa" w:w="100"/>
              <w:bottom w:type="dxa" w:w="80"/>
              <w:right w:type="dxa" w:w="100"/>
            </w:tcMar>
            <w:vAlign w:val="center"/>
          </w:tcPr>
          <w:p>
            <w:r>
              <w:rPr>
                <w:b/>
                <w:bCs/>
                <w:color w:val="FFFFFF"/>
                <w:sz w:val="20"/>
                <w:szCs w:val="20"/>
              </w:rPr>
              <w:t xml:space="preserve">Period</w:t>
            </w:r>
          </w:p>
        </w:tc>
        <w:tc>
          <w:tcPr>
            <w:tcW w:type="dxa" w:w="1924"/>
            <w:shd w:fill="1F3864" w:color="auto" w:val="clear"/>
            <w:tcMar>
              <w:top w:type="dxa" w:w="80"/>
              <w:left w:type="dxa" w:w="100"/>
              <w:bottom w:type="dxa" w:w="80"/>
              <w:right w:type="dxa" w:w="100"/>
            </w:tcMar>
            <w:vAlign w:val="center"/>
          </w:tcPr>
          <w:p>
            <w:r>
              <w:rPr>
                <w:b/>
                <w:bCs/>
                <w:color w:val="FFFFFF"/>
                <w:sz w:val="20"/>
                <w:szCs w:val="20"/>
              </w:rPr>
              <w:t xml:space="preserve">Milestone</w:t>
            </w:r>
          </w:p>
        </w:tc>
        <w:tc>
          <w:tcPr>
            <w:tcW w:type="dxa" w:w="1225"/>
            <w:shd w:fill="1F3864" w:color="auto" w:val="clear"/>
            <w:tcMar>
              <w:top w:type="dxa" w:w="80"/>
              <w:left w:type="dxa" w:w="100"/>
              <w:bottom w:type="dxa" w:w="80"/>
              <w:right w:type="dxa" w:w="100"/>
            </w:tcMar>
            <w:vAlign w:val="center"/>
          </w:tcPr>
          <w:p>
            <w:r>
              <w:rPr>
                <w:b/>
                <w:bCs/>
                <w:color w:val="FFFFFF"/>
                <w:sz w:val="20"/>
                <w:szCs w:val="20"/>
              </w:rPr>
              <w:t xml:space="preserve">Staff</w:t>
            </w:r>
          </w:p>
        </w:tc>
        <w:tc>
          <w:tcPr>
            <w:tcW w:type="dxa" w:w="1137"/>
            <w:shd w:fill="1F3864" w:color="auto" w:val="clear"/>
            <w:tcMar>
              <w:top w:type="dxa" w:w="80"/>
              <w:left w:type="dxa" w:w="100"/>
              <w:bottom w:type="dxa" w:w="80"/>
              <w:right w:type="dxa" w:w="100"/>
            </w:tcMar>
            <w:vAlign w:val="center"/>
          </w:tcPr>
          <w:p>
            <w:r>
              <w:rPr>
                <w:b/>
                <w:bCs/>
                <w:color w:val="FFFFFF"/>
                <w:sz w:val="20"/>
                <w:szCs w:val="20"/>
              </w:rPr>
              <w:t xml:space="preserve">Overhead</w:t>
            </w:r>
          </w:p>
        </w:tc>
        <w:tc>
          <w:tcPr>
            <w:tcW w:type="dxa" w:w="1137"/>
            <w:shd w:fill="1F3864" w:color="auto" w:val="clear"/>
            <w:tcMar>
              <w:top w:type="dxa" w:w="80"/>
              <w:left w:type="dxa" w:w="100"/>
              <w:bottom w:type="dxa" w:w="80"/>
              <w:right w:type="dxa" w:w="100"/>
            </w:tcMar>
            <w:vAlign w:val="center"/>
          </w:tcPr>
          <w:p>
            <w:r>
              <w:rPr>
                <w:b/>
                <w:bCs/>
                <w:color w:val="FFFFFF"/>
                <w:sz w:val="20"/>
                <w:szCs w:val="20"/>
              </w:rPr>
              <w:t xml:space="preserve">Marketing</w:t>
            </w:r>
          </w:p>
        </w:tc>
        <w:tc>
          <w:tcPr>
            <w:tcW w:type="dxa" w:w="962"/>
            <w:shd w:fill="1F3864" w:color="auto" w:val="clear"/>
            <w:tcMar>
              <w:top w:type="dxa" w:w="80"/>
              <w:left w:type="dxa" w:w="100"/>
              <w:bottom w:type="dxa" w:w="80"/>
              <w:right w:type="dxa" w:w="100"/>
            </w:tcMar>
            <w:vAlign w:val="center"/>
          </w:tcPr>
          <w:p>
            <w:r>
              <w:rPr>
                <w:b/>
                <w:bCs/>
                <w:color w:val="FFFFFF"/>
                <w:sz w:val="20"/>
                <w:szCs w:val="20"/>
              </w:rPr>
              <w:t xml:space="preserve">Tech</w:t>
            </w:r>
          </w:p>
        </w:tc>
        <w:tc>
          <w:tcPr>
            <w:tcW w:type="dxa" w:w="1225"/>
            <w:shd w:fill="1F3864" w:color="auto" w:val="clear"/>
            <w:tcMar>
              <w:top w:type="dxa" w:w="80"/>
              <w:left w:type="dxa" w:w="100"/>
              <w:bottom w:type="dxa" w:w="80"/>
              <w:right w:type="dxa" w:w="100"/>
            </w:tcMar>
            <w:vAlign w:val="center"/>
          </w:tcPr>
          <w:p>
            <w:r>
              <w:rPr>
                <w:b/>
                <w:bCs/>
                <w:color w:val="FFFFFF"/>
                <w:sz w:val="20"/>
                <w:szCs w:val="20"/>
              </w:rPr>
              <w:t xml:space="preserve">Total/mo</w:t>
            </w:r>
          </w:p>
        </w:tc>
      </w:tr>
      <w:tr>
        <w:tc>
          <w:tcPr>
            <w:tcW w:type="dxa" w:w="1750"/>
            <w:shd w:fill="FFFFFF" w:color="auto" w:val="clear"/>
            <w:tcMar>
              <w:top w:type="dxa" w:w="60"/>
              <w:left w:type="dxa" w:w="100"/>
              <w:bottom w:type="dxa" w:w="60"/>
              <w:right w:type="dxa" w:w="100"/>
            </w:tcMar>
            <w:vAlign w:val="center"/>
          </w:tcPr>
          <w:p>
            <w:r>
              <w:rPr>
                <w:sz w:val="19"/>
                <w:szCs w:val="19"/>
              </w:rPr>
              <w:t xml:space="preserve">M3–4</w:t>
            </w:r>
          </w:p>
        </w:tc>
        <w:tc>
          <w:tcPr>
            <w:tcW w:type="dxa" w:w="1924"/>
            <w:shd w:fill="FFFFFF" w:color="auto" w:val="clear"/>
            <w:tcMar>
              <w:top w:type="dxa" w:w="60"/>
              <w:left w:type="dxa" w:w="100"/>
              <w:bottom w:type="dxa" w:w="60"/>
              <w:right w:type="dxa" w:w="100"/>
            </w:tcMar>
            <w:vAlign w:val="center"/>
          </w:tcPr>
          <w:p>
            <w:r>
              <w:rPr>
                <w:sz w:val="19"/>
                <w:szCs w:val="19"/>
              </w:rPr>
              <w:t xml:space="preserve">Jeddah pre-launch/launch</w:t>
            </w:r>
          </w:p>
        </w:tc>
        <w:tc>
          <w:tcPr>
            <w:tcW w:type="dxa" w:w="1225"/>
            <w:shd w:fill="FFFFFF" w:color="auto" w:val="clear"/>
            <w:tcMar>
              <w:top w:type="dxa" w:w="60"/>
              <w:left w:type="dxa" w:w="100"/>
              <w:bottom w:type="dxa" w:w="60"/>
              <w:right w:type="dxa" w:w="100"/>
            </w:tcMar>
            <w:vAlign w:val="center"/>
          </w:tcPr>
          <w:p>
            <w:r>
              <w:rPr>
                <w:sz w:val="19"/>
                <w:szCs w:val="19"/>
              </w:rPr>
              <w:t xml:space="preserve">45,000</w:t>
            </w:r>
          </w:p>
        </w:tc>
        <w:tc>
          <w:tcPr>
            <w:tcW w:type="dxa" w:w="1137"/>
            <w:shd w:fill="FFFFFF" w:color="auto" w:val="clear"/>
            <w:tcMar>
              <w:top w:type="dxa" w:w="60"/>
              <w:left w:type="dxa" w:w="100"/>
              <w:bottom w:type="dxa" w:w="60"/>
              <w:right w:type="dxa" w:w="100"/>
            </w:tcMar>
            <w:vAlign w:val="center"/>
          </w:tcPr>
          <w:p>
            <w:r>
              <w:rPr>
                <w:sz w:val="19"/>
                <w:szCs w:val="19"/>
              </w:rPr>
              <w:t xml:space="preserve">12,000</w:t>
            </w:r>
          </w:p>
        </w:tc>
        <w:tc>
          <w:tcPr>
            <w:tcW w:type="dxa" w:w="1137"/>
            <w:shd w:fill="FFFFFF" w:color="auto" w:val="clear"/>
            <w:tcMar>
              <w:top w:type="dxa" w:w="60"/>
              <w:left w:type="dxa" w:w="100"/>
              <w:bottom w:type="dxa" w:w="60"/>
              <w:right w:type="dxa" w:w="100"/>
            </w:tcMar>
            <w:vAlign w:val="center"/>
          </w:tcPr>
          <w:p>
            <w:r>
              <w:rPr>
                <w:sz w:val="19"/>
                <w:szCs w:val="19"/>
              </w:rPr>
              <w:t xml:space="preserve">10,000</w:t>
            </w:r>
          </w:p>
        </w:tc>
        <w:tc>
          <w:tcPr>
            <w:tcW w:type="dxa" w:w="962"/>
            <w:shd w:fill="FFFFFF" w:color="auto" w:val="clear"/>
            <w:tcMar>
              <w:top w:type="dxa" w:w="60"/>
              <w:left w:type="dxa" w:w="100"/>
              <w:bottom w:type="dxa" w:w="60"/>
              <w:right w:type="dxa" w:w="100"/>
            </w:tcMar>
            <w:vAlign w:val="center"/>
          </w:tcPr>
          <w:p>
            <w:r>
              <w:rPr>
                <w:sz w:val="19"/>
                <w:szCs w:val="19"/>
              </w:rPr>
              <w:t xml:space="preserve">5,000</w:t>
            </w:r>
          </w:p>
        </w:tc>
        <w:tc>
          <w:tcPr>
            <w:tcW w:type="dxa" w:w="1225"/>
            <w:shd w:fill="FFFFFF" w:color="auto" w:val="clear"/>
            <w:tcMar>
              <w:top w:type="dxa" w:w="60"/>
              <w:left w:type="dxa" w:w="100"/>
              <w:bottom w:type="dxa" w:w="60"/>
              <w:right w:type="dxa" w:w="100"/>
            </w:tcMar>
            <w:vAlign w:val="center"/>
          </w:tcPr>
          <w:p>
            <w:r>
              <w:rPr>
                <w:sz w:val="19"/>
                <w:szCs w:val="19"/>
              </w:rPr>
              <w:t xml:space="preserve">~72,000</w:t>
            </w:r>
          </w:p>
        </w:tc>
      </w:tr>
      <w:tr>
        <w:tc>
          <w:tcPr>
            <w:tcW w:type="dxa" w:w="1750"/>
            <w:shd w:fill="DCE6F1" w:color="auto" w:val="clear"/>
            <w:tcMar>
              <w:top w:type="dxa" w:w="60"/>
              <w:left w:type="dxa" w:w="100"/>
              <w:bottom w:type="dxa" w:w="60"/>
              <w:right w:type="dxa" w:w="100"/>
            </w:tcMar>
            <w:vAlign w:val="center"/>
          </w:tcPr>
          <w:p>
            <w:r>
              <w:rPr>
                <w:sz w:val="19"/>
                <w:szCs w:val="19"/>
              </w:rPr>
              <w:t xml:space="preserve">M5–6</w:t>
            </w:r>
          </w:p>
        </w:tc>
        <w:tc>
          <w:tcPr>
            <w:tcW w:type="dxa" w:w="1924"/>
            <w:shd w:fill="DCE6F1" w:color="auto" w:val="clear"/>
            <w:tcMar>
              <w:top w:type="dxa" w:w="60"/>
              <w:left w:type="dxa" w:w="100"/>
              <w:bottom w:type="dxa" w:w="60"/>
              <w:right w:type="dxa" w:w="100"/>
            </w:tcMar>
            <w:vAlign w:val="center"/>
          </w:tcPr>
          <w:p>
            <w:r>
              <w:rPr>
                <w:sz w:val="19"/>
                <w:szCs w:val="19"/>
              </w:rPr>
              <w:t xml:space="preserve">Jeddah ramping</w:t>
            </w:r>
          </w:p>
        </w:tc>
        <w:tc>
          <w:tcPr>
            <w:tcW w:type="dxa" w:w="1225"/>
            <w:shd w:fill="DCE6F1" w:color="auto" w:val="clear"/>
            <w:tcMar>
              <w:top w:type="dxa" w:w="60"/>
              <w:left w:type="dxa" w:w="100"/>
              <w:bottom w:type="dxa" w:w="60"/>
              <w:right w:type="dxa" w:w="100"/>
            </w:tcMar>
            <w:vAlign w:val="center"/>
          </w:tcPr>
          <w:p>
            <w:r>
              <w:rPr>
                <w:sz w:val="19"/>
                <w:szCs w:val="19"/>
              </w:rPr>
              <w:t xml:space="preserve">60,000</w:t>
            </w:r>
          </w:p>
        </w:tc>
        <w:tc>
          <w:tcPr>
            <w:tcW w:type="dxa" w:w="1137"/>
            <w:shd w:fill="DCE6F1" w:color="auto" w:val="clear"/>
            <w:tcMar>
              <w:top w:type="dxa" w:w="60"/>
              <w:left w:type="dxa" w:w="100"/>
              <w:bottom w:type="dxa" w:w="60"/>
              <w:right w:type="dxa" w:w="100"/>
            </w:tcMar>
            <w:vAlign w:val="center"/>
          </w:tcPr>
          <w:p>
            <w:r>
              <w:rPr>
                <w:sz w:val="19"/>
                <w:szCs w:val="19"/>
              </w:rPr>
              <w:t xml:space="preserve">12,000</w:t>
            </w:r>
          </w:p>
        </w:tc>
        <w:tc>
          <w:tcPr>
            <w:tcW w:type="dxa" w:w="1137"/>
            <w:shd w:fill="DCE6F1" w:color="auto" w:val="clear"/>
            <w:tcMar>
              <w:top w:type="dxa" w:w="60"/>
              <w:left w:type="dxa" w:w="100"/>
              <w:bottom w:type="dxa" w:w="60"/>
              <w:right w:type="dxa" w:w="100"/>
            </w:tcMar>
            <w:vAlign w:val="center"/>
          </w:tcPr>
          <w:p>
            <w:r>
              <w:rPr>
                <w:sz w:val="19"/>
                <w:szCs w:val="19"/>
              </w:rPr>
              <w:t xml:space="preserve">20,000</w:t>
            </w:r>
          </w:p>
        </w:tc>
        <w:tc>
          <w:tcPr>
            <w:tcW w:type="dxa" w:w="962"/>
            <w:shd w:fill="DCE6F1" w:color="auto" w:val="clear"/>
            <w:tcMar>
              <w:top w:type="dxa" w:w="60"/>
              <w:left w:type="dxa" w:w="100"/>
              <w:bottom w:type="dxa" w:w="60"/>
              <w:right w:type="dxa" w:w="100"/>
            </w:tcMar>
            <w:vAlign w:val="center"/>
          </w:tcPr>
          <w:p>
            <w:r>
              <w:rPr>
                <w:sz w:val="19"/>
                <w:szCs w:val="19"/>
              </w:rPr>
              <w:t xml:space="preserve">6,000</w:t>
            </w:r>
          </w:p>
        </w:tc>
        <w:tc>
          <w:tcPr>
            <w:tcW w:type="dxa" w:w="1225"/>
            <w:shd w:fill="DCE6F1" w:color="auto" w:val="clear"/>
            <w:tcMar>
              <w:top w:type="dxa" w:w="60"/>
              <w:left w:type="dxa" w:w="100"/>
              <w:bottom w:type="dxa" w:w="60"/>
              <w:right w:type="dxa" w:w="100"/>
            </w:tcMar>
            <w:vAlign w:val="center"/>
          </w:tcPr>
          <w:p>
            <w:r>
              <w:rPr>
                <w:sz w:val="19"/>
                <w:szCs w:val="19"/>
              </w:rPr>
              <w:t xml:space="preserve">~98,000</w:t>
            </w:r>
          </w:p>
        </w:tc>
      </w:tr>
      <w:tr>
        <w:tc>
          <w:tcPr>
            <w:tcW w:type="dxa" w:w="1750"/>
            <w:shd w:fill="FFFFFF" w:color="auto" w:val="clear"/>
            <w:tcMar>
              <w:top w:type="dxa" w:w="60"/>
              <w:left w:type="dxa" w:w="100"/>
              <w:bottom w:type="dxa" w:w="60"/>
              <w:right w:type="dxa" w:w="100"/>
            </w:tcMar>
            <w:vAlign w:val="center"/>
          </w:tcPr>
          <w:p>
            <w:r>
              <w:rPr>
                <w:sz w:val="19"/>
                <w:szCs w:val="19"/>
              </w:rPr>
              <w:t xml:space="preserve">M7–9</w:t>
            </w:r>
          </w:p>
        </w:tc>
        <w:tc>
          <w:tcPr>
            <w:tcW w:type="dxa" w:w="1924"/>
            <w:shd w:fill="FFFFFF" w:color="auto" w:val="clear"/>
            <w:tcMar>
              <w:top w:type="dxa" w:w="60"/>
              <w:left w:type="dxa" w:w="100"/>
              <w:bottom w:type="dxa" w:w="60"/>
              <w:right w:type="dxa" w:w="100"/>
            </w:tcMar>
            <w:vAlign w:val="center"/>
          </w:tcPr>
          <w:p>
            <w:r>
              <w:rPr>
                <w:sz w:val="19"/>
                <w:szCs w:val="19"/>
              </w:rPr>
              <w:t xml:space="preserve">Riyadh added</w:t>
            </w:r>
          </w:p>
        </w:tc>
        <w:tc>
          <w:tcPr>
            <w:tcW w:type="dxa" w:w="1225"/>
            <w:shd w:fill="FFFFFF" w:color="auto" w:val="clear"/>
            <w:tcMar>
              <w:top w:type="dxa" w:w="60"/>
              <w:left w:type="dxa" w:w="100"/>
              <w:bottom w:type="dxa" w:w="60"/>
              <w:right w:type="dxa" w:w="100"/>
            </w:tcMar>
            <w:vAlign w:val="center"/>
          </w:tcPr>
          <w:p>
            <w:r>
              <w:rPr>
                <w:sz w:val="19"/>
                <w:szCs w:val="19"/>
              </w:rPr>
              <w:t xml:space="preserve">90,000</w:t>
            </w:r>
          </w:p>
        </w:tc>
        <w:tc>
          <w:tcPr>
            <w:tcW w:type="dxa" w:w="1137"/>
            <w:shd w:fill="FFFFFF" w:color="auto" w:val="clear"/>
            <w:tcMar>
              <w:top w:type="dxa" w:w="60"/>
              <w:left w:type="dxa" w:w="100"/>
              <w:bottom w:type="dxa" w:w="60"/>
              <w:right w:type="dxa" w:w="100"/>
            </w:tcMar>
            <w:vAlign w:val="center"/>
          </w:tcPr>
          <w:p>
            <w:r>
              <w:rPr>
                <w:sz w:val="19"/>
                <w:szCs w:val="19"/>
              </w:rPr>
              <w:t xml:space="preserve">15,000</w:t>
            </w:r>
          </w:p>
        </w:tc>
        <w:tc>
          <w:tcPr>
            <w:tcW w:type="dxa" w:w="1137"/>
            <w:shd w:fill="FFFFFF" w:color="auto" w:val="clear"/>
            <w:tcMar>
              <w:top w:type="dxa" w:w="60"/>
              <w:left w:type="dxa" w:w="100"/>
              <w:bottom w:type="dxa" w:w="60"/>
              <w:right w:type="dxa" w:w="100"/>
            </w:tcMar>
            <w:vAlign w:val="center"/>
          </w:tcPr>
          <w:p>
            <w:r>
              <w:rPr>
                <w:sz w:val="19"/>
                <w:szCs w:val="19"/>
              </w:rPr>
              <w:t xml:space="preserve">25,000</w:t>
            </w:r>
          </w:p>
        </w:tc>
        <w:tc>
          <w:tcPr>
            <w:tcW w:type="dxa" w:w="962"/>
            <w:shd w:fill="FFFFFF" w:color="auto" w:val="clear"/>
            <w:tcMar>
              <w:top w:type="dxa" w:w="60"/>
              <w:left w:type="dxa" w:w="100"/>
              <w:bottom w:type="dxa" w:w="60"/>
              <w:right w:type="dxa" w:w="100"/>
            </w:tcMar>
            <w:vAlign w:val="center"/>
          </w:tcPr>
          <w:p>
            <w:r>
              <w:rPr>
                <w:sz w:val="19"/>
                <w:szCs w:val="19"/>
              </w:rPr>
              <w:t xml:space="preserve">7,000</w:t>
            </w:r>
          </w:p>
        </w:tc>
        <w:tc>
          <w:tcPr>
            <w:tcW w:type="dxa" w:w="1225"/>
            <w:shd w:fill="FFFFFF" w:color="auto" w:val="clear"/>
            <w:tcMar>
              <w:top w:type="dxa" w:w="60"/>
              <w:left w:type="dxa" w:w="100"/>
              <w:bottom w:type="dxa" w:w="60"/>
              <w:right w:type="dxa" w:w="100"/>
            </w:tcMar>
            <w:vAlign w:val="center"/>
          </w:tcPr>
          <w:p>
            <w:r>
              <w:rPr>
                <w:sz w:val="19"/>
                <w:szCs w:val="19"/>
              </w:rPr>
              <w:t xml:space="preserve">~137,000</w:t>
            </w:r>
          </w:p>
        </w:tc>
      </w:tr>
      <w:tr>
        <w:tc>
          <w:tcPr>
            <w:tcW w:type="dxa" w:w="1750"/>
            <w:shd w:fill="DCE6F1" w:color="auto" w:val="clear"/>
            <w:tcMar>
              <w:top w:type="dxa" w:w="60"/>
              <w:left w:type="dxa" w:w="100"/>
              <w:bottom w:type="dxa" w:w="60"/>
              <w:right w:type="dxa" w:w="100"/>
            </w:tcMar>
            <w:vAlign w:val="center"/>
          </w:tcPr>
          <w:p>
            <w:r>
              <w:rPr>
                <w:sz w:val="19"/>
                <w:szCs w:val="19"/>
              </w:rPr>
              <w:t xml:space="preserve">M10–12</w:t>
            </w:r>
          </w:p>
        </w:tc>
        <w:tc>
          <w:tcPr>
            <w:tcW w:type="dxa" w:w="1924"/>
            <w:shd w:fill="DCE6F1" w:color="auto" w:val="clear"/>
            <w:tcMar>
              <w:top w:type="dxa" w:w="60"/>
              <w:left w:type="dxa" w:w="100"/>
              <w:bottom w:type="dxa" w:w="60"/>
              <w:right w:type="dxa" w:w="100"/>
            </w:tcMar>
            <w:vAlign w:val="center"/>
          </w:tcPr>
          <w:p>
            <w:r>
              <w:rPr>
                <w:sz w:val="19"/>
                <w:szCs w:val="19"/>
              </w:rPr>
              <w:t xml:space="preserve">Dammam added (full 3-city)</w:t>
            </w:r>
          </w:p>
        </w:tc>
        <w:tc>
          <w:tcPr>
            <w:tcW w:type="dxa" w:w="1225"/>
            <w:shd w:fill="DCE6F1" w:color="auto" w:val="clear"/>
            <w:tcMar>
              <w:top w:type="dxa" w:w="60"/>
              <w:left w:type="dxa" w:w="100"/>
              <w:bottom w:type="dxa" w:w="60"/>
              <w:right w:type="dxa" w:w="100"/>
            </w:tcMar>
            <w:vAlign w:val="center"/>
          </w:tcPr>
          <w:p>
            <w:r>
              <w:rPr>
                <w:sz w:val="19"/>
                <w:szCs w:val="19"/>
              </w:rPr>
              <w:t xml:space="preserve">115,000</w:t>
            </w:r>
          </w:p>
        </w:tc>
        <w:tc>
          <w:tcPr>
            <w:tcW w:type="dxa" w:w="1137"/>
            <w:shd w:fill="DCE6F1" w:color="auto" w:val="clear"/>
            <w:tcMar>
              <w:top w:type="dxa" w:w="60"/>
              <w:left w:type="dxa" w:w="100"/>
              <w:bottom w:type="dxa" w:w="60"/>
              <w:right w:type="dxa" w:w="100"/>
            </w:tcMar>
            <w:vAlign w:val="center"/>
          </w:tcPr>
          <w:p>
            <w:r>
              <w:rPr>
                <w:sz w:val="19"/>
                <w:szCs w:val="19"/>
              </w:rPr>
              <w:t xml:space="preserve">18,000</w:t>
            </w:r>
          </w:p>
        </w:tc>
        <w:tc>
          <w:tcPr>
            <w:tcW w:type="dxa" w:w="1137"/>
            <w:shd w:fill="DCE6F1" w:color="auto" w:val="clear"/>
            <w:tcMar>
              <w:top w:type="dxa" w:w="60"/>
              <w:left w:type="dxa" w:w="100"/>
              <w:bottom w:type="dxa" w:w="60"/>
              <w:right w:type="dxa" w:w="100"/>
            </w:tcMar>
            <w:vAlign w:val="center"/>
          </w:tcPr>
          <w:p>
            <w:r>
              <w:rPr>
                <w:sz w:val="19"/>
                <w:szCs w:val="19"/>
              </w:rPr>
              <w:t xml:space="preserve">30,000</w:t>
            </w:r>
          </w:p>
        </w:tc>
        <w:tc>
          <w:tcPr>
            <w:tcW w:type="dxa" w:w="962"/>
            <w:shd w:fill="DCE6F1" w:color="auto" w:val="clear"/>
            <w:tcMar>
              <w:top w:type="dxa" w:w="60"/>
              <w:left w:type="dxa" w:w="100"/>
              <w:bottom w:type="dxa" w:w="60"/>
              <w:right w:type="dxa" w:w="100"/>
            </w:tcMar>
            <w:vAlign w:val="center"/>
          </w:tcPr>
          <w:p>
            <w:r>
              <w:rPr>
                <w:sz w:val="19"/>
                <w:szCs w:val="19"/>
              </w:rPr>
              <w:t xml:space="preserve">8,000</w:t>
            </w:r>
          </w:p>
        </w:tc>
        <w:tc>
          <w:tcPr>
            <w:tcW w:type="dxa" w:w="1225"/>
            <w:shd w:fill="DCE6F1" w:color="auto" w:val="clear"/>
            <w:tcMar>
              <w:top w:type="dxa" w:w="60"/>
              <w:left w:type="dxa" w:w="100"/>
              <w:bottom w:type="dxa" w:w="60"/>
              <w:right w:type="dxa" w:w="100"/>
            </w:tcMar>
            <w:vAlign w:val="center"/>
          </w:tcPr>
          <w:p>
            <w:r>
              <w:rPr>
                <w:sz w:val="19"/>
                <w:szCs w:val="19"/>
              </w:rPr>
              <w:t xml:space="preserve">~171,000</w:t>
            </w:r>
          </w:p>
        </w:tc>
      </w:tr>
      <w:tr>
        <w:tc>
          <w:tcPr>
            <w:tcW w:type="dxa" w:w="1750"/>
            <w:shd w:fill="FFFFFF" w:color="auto" w:val="clear"/>
            <w:tcMar>
              <w:top w:type="dxa" w:w="60"/>
              <w:left w:type="dxa" w:w="100"/>
              <w:bottom w:type="dxa" w:w="60"/>
              <w:right w:type="dxa" w:w="100"/>
            </w:tcMar>
            <w:vAlign w:val="center"/>
          </w:tcPr>
          <w:p>
            <w:r>
              <w:rPr>
                <w:sz w:val="19"/>
                <w:szCs w:val="19"/>
              </w:rPr>
              <w:t xml:space="preserve">M13–18</w:t>
            </w:r>
          </w:p>
        </w:tc>
        <w:tc>
          <w:tcPr>
            <w:tcW w:type="dxa" w:w="1924"/>
            <w:shd w:fill="FFFFFF" w:color="auto" w:val="clear"/>
            <w:tcMar>
              <w:top w:type="dxa" w:w="60"/>
              <w:left w:type="dxa" w:w="100"/>
              <w:bottom w:type="dxa" w:w="60"/>
              <w:right w:type="dxa" w:w="100"/>
            </w:tcMar>
            <w:vAlign w:val="center"/>
          </w:tcPr>
          <w:p>
            <w:r>
              <w:rPr>
                <w:sz w:val="19"/>
                <w:szCs w:val="19"/>
              </w:rPr>
              <w:t xml:space="preserve">Steady 3-city, marketing scaling</w:t>
            </w:r>
          </w:p>
        </w:tc>
        <w:tc>
          <w:tcPr>
            <w:tcW w:type="dxa" w:w="1225"/>
            <w:shd w:fill="FFFFFF" w:color="auto" w:val="clear"/>
            <w:tcMar>
              <w:top w:type="dxa" w:w="60"/>
              <w:left w:type="dxa" w:w="100"/>
              <w:bottom w:type="dxa" w:w="60"/>
              <w:right w:type="dxa" w:w="100"/>
            </w:tcMar>
            <w:vAlign w:val="center"/>
          </w:tcPr>
          <w:p>
            <w:r>
              <w:rPr>
                <w:sz w:val="19"/>
                <w:szCs w:val="19"/>
              </w:rPr>
              <w:t xml:space="preserve">125,000</w:t>
            </w:r>
          </w:p>
        </w:tc>
        <w:tc>
          <w:tcPr>
            <w:tcW w:type="dxa" w:w="1137"/>
            <w:shd w:fill="FFFFFF" w:color="auto" w:val="clear"/>
            <w:tcMar>
              <w:top w:type="dxa" w:w="60"/>
              <w:left w:type="dxa" w:w="100"/>
              <w:bottom w:type="dxa" w:w="60"/>
              <w:right w:type="dxa" w:w="100"/>
            </w:tcMar>
            <w:vAlign w:val="center"/>
          </w:tcPr>
          <w:p>
            <w:r>
              <w:rPr>
                <w:sz w:val="19"/>
                <w:szCs w:val="19"/>
              </w:rPr>
              <w:t xml:space="preserve">20,000</w:t>
            </w:r>
          </w:p>
        </w:tc>
        <w:tc>
          <w:tcPr>
            <w:tcW w:type="dxa" w:w="1137"/>
            <w:shd w:fill="FFFFFF" w:color="auto" w:val="clear"/>
            <w:tcMar>
              <w:top w:type="dxa" w:w="60"/>
              <w:left w:type="dxa" w:w="100"/>
              <w:bottom w:type="dxa" w:w="60"/>
              <w:right w:type="dxa" w:w="100"/>
            </w:tcMar>
            <w:vAlign w:val="center"/>
          </w:tcPr>
          <w:p>
            <w:r>
              <w:rPr>
                <w:sz w:val="19"/>
                <w:szCs w:val="19"/>
              </w:rPr>
              <w:t xml:space="preserve">35,000</w:t>
            </w:r>
          </w:p>
        </w:tc>
        <w:tc>
          <w:tcPr>
            <w:tcW w:type="dxa" w:w="962"/>
            <w:shd w:fill="FFFFFF" w:color="auto" w:val="clear"/>
            <w:tcMar>
              <w:top w:type="dxa" w:w="60"/>
              <w:left w:type="dxa" w:w="100"/>
              <w:bottom w:type="dxa" w:w="60"/>
              <w:right w:type="dxa" w:w="100"/>
            </w:tcMar>
            <w:vAlign w:val="center"/>
          </w:tcPr>
          <w:p>
            <w:r>
              <w:rPr>
                <w:sz w:val="19"/>
                <w:szCs w:val="19"/>
              </w:rPr>
              <w:t xml:space="preserve">8,000</w:t>
            </w:r>
          </w:p>
        </w:tc>
        <w:tc>
          <w:tcPr>
            <w:tcW w:type="dxa" w:w="1225"/>
            <w:shd w:fill="FFFFFF" w:color="auto" w:val="clear"/>
            <w:tcMar>
              <w:top w:type="dxa" w:w="60"/>
              <w:left w:type="dxa" w:w="100"/>
              <w:bottom w:type="dxa" w:w="60"/>
              <w:right w:type="dxa" w:w="100"/>
            </w:tcMar>
            <w:vAlign w:val="center"/>
          </w:tcPr>
          <w:p>
            <w:r>
              <w:rPr>
                <w:sz w:val="19"/>
                <w:szCs w:val="19"/>
              </w:rPr>
              <w:t xml:space="preserve">~188,000</w:t>
            </w:r>
          </w:p>
        </w:tc>
      </w:tr>
    </w:tbl>
    <w:p>
      <w:pPr>
        <w:pBdr>
          <w:left w:val="single" w:color="9DC3E6" w:sz="12" w:space="8"/>
        </w:pBdr>
        <w:spacing w:after="200" w:before="100"/>
        <w:ind w:left="200"/>
      </w:pPr>
      <w:r>
        <w:rPr>
          <w:i/>
          <w:iCs/>
          <w:color w:val="595959"/>
          <w:sz w:val="20"/>
          <w:szCs w:val="20"/>
        </w:rPr>
        <w:t xml:space="preserve">Staff figures include an approximate +10% employer on-cost for GOSI (Saudi social insurance) contributions.</w:t>
      </w:r>
    </w:p>
    <w:p>
      <w:pPr>
        <w:pStyle w:val="Heading2"/>
        <w:spacing w:after="120" w:before="260"/>
      </w:pPr>
      <w:r>
        <w:t xml:space="preserve">Pricing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2808"/>
        <w:gridCol w:w="3557"/>
      </w:tblGrid>
      <w:tr>
        <w:trPr>
          <w:tblHeader/>
        </w:trPr>
        <w:tc>
          <w:tcPr>
            <w:tcW w:type="dxa" w:w="2995"/>
            <w:shd w:fill="1F3864" w:color="auto" w:val="clear"/>
            <w:tcMar>
              <w:top w:type="dxa" w:w="80"/>
              <w:left w:type="dxa" w:w="100"/>
              <w:bottom w:type="dxa" w:w="80"/>
              <w:right w:type="dxa" w:w="100"/>
            </w:tcMar>
            <w:vAlign w:val="center"/>
          </w:tcPr>
          <w:p>
            <w:r>
              <w:rPr>
                <w:b/>
                <w:bCs/>
                <w:color w:val="FFFFFF"/>
                <w:sz w:val="20"/>
                <w:szCs w:val="20"/>
              </w:rPr>
              <w:t xml:space="preserve">Stream</w:t>
            </w:r>
          </w:p>
        </w:tc>
        <w:tc>
          <w:tcPr>
            <w:tcW w:type="dxa" w:w="2808"/>
            <w:shd w:fill="1F3864" w:color="auto" w:val="clear"/>
            <w:tcMar>
              <w:top w:type="dxa" w:w="80"/>
              <w:left w:type="dxa" w:w="100"/>
              <w:bottom w:type="dxa" w:w="80"/>
              <w:right w:type="dxa" w:w="100"/>
            </w:tcMar>
            <w:vAlign w:val="center"/>
          </w:tcPr>
          <w:p>
            <w:r>
              <w:rPr>
                <w:b/>
                <w:bCs/>
                <w:color w:val="FFFFFF"/>
                <w:sz w:val="20"/>
                <w:szCs w:val="20"/>
              </w:rPr>
              <w:t xml:space="preserve">Suggested starting rate</w:t>
            </w:r>
          </w:p>
        </w:tc>
        <w:tc>
          <w:tcPr>
            <w:tcW w:type="dxa" w:w="3557"/>
            <w:shd w:fill="1F3864" w:color="auto" w:val="clear"/>
            <w:tcMar>
              <w:top w:type="dxa" w:w="80"/>
              <w:left w:type="dxa" w:w="100"/>
              <w:bottom w:type="dxa" w:w="80"/>
              <w:right w:type="dxa" w:w="100"/>
            </w:tcMar>
            <w:vAlign w:val="center"/>
          </w:tcPr>
          <w:p>
            <w:r>
              <w:rPr>
                <w:b/>
                <w:bCs/>
                <w:color w:val="FFFFFF"/>
                <w:sz w:val="20"/>
                <w:szCs w:val="20"/>
              </w:rPr>
              <w:t xml:space="preserve">Notes</w:t>
            </w:r>
          </w:p>
        </w:tc>
      </w:tr>
      <w:tr>
        <w:tc>
          <w:tcPr>
            <w:tcW w:type="dxa" w:w="2995"/>
            <w:shd w:fill="FFFFFF" w:color="auto" w:val="clear"/>
            <w:tcMar>
              <w:top w:type="dxa" w:w="60"/>
              <w:left w:type="dxa" w:w="100"/>
              <w:bottom w:type="dxa" w:w="60"/>
              <w:right w:type="dxa" w:w="100"/>
            </w:tcMar>
            <w:vAlign w:val="center"/>
          </w:tcPr>
          <w:p>
            <w:r>
              <w:rPr>
                <w:sz w:val="19"/>
                <w:szCs w:val="19"/>
              </w:rPr>
              <w:t xml:space="preserve">Commission on completed job</w:t>
            </w:r>
          </w:p>
        </w:tc>
        <w:tc>
          <w:tcPr>
            <w:tcW w:type="dxa" w:w="2808"/>
            <w:shd w:fill="FFFFFF" w:color="auto" w:val="clear"/>
            <w:tcMar>
              <w:top w:type="dxa" w:w="60"/>
              <w:left w:type="dxa" w:w="100"/>
              <w:bottom w:type="dxa" w:w="60"/>
              <w:right w:type="dxa" w:w="100"/>
            </w:tcMar>
            <w:vAlign w:val="center"/>
          </w:tcPr>
          <w:p>
            <w:r>
              <w:rPr>
                <w:sz w:val="19"/>
                <w:szCs w:val="19"/>
              </w:rPr>
              <w:t xml:space="preserve">18% (range 15–25% by job size)</w:t>
            </w:r>
          </w:p>
        </w:tc>
        <w:tc>
          <w:tcPr>
            <w:tcW w:type="dxa" w:w="3557"/>
            <w:shd w:fill="FFFFFF" w:color="auto" w:val="clear"/>
            <w:tcMar>
              <w:top w:type="dxa" w:w="60"/>
              <w:left w:type="dxa" w:w="100"/>
              <w:bottom w:type="dxa" w:w="60"/>
              <w:right w:type="dxa" w:w="100"/>
            </w:tcMar>
            <w:vAlign w:val="center"/>
          </w:tcPr>
          <w:p>
            <w:r>
              <w:rPr>
                <w:sz w:val="19"/>
                <w:szCs w:val="19"/>
              </w:rPr>
              <w:t xml:space="preserve">Validate with real contractor conversations — no competitor publishes their rate</w:t>
            </w:r>
          </w:p>
        </w:tc>
      </w:tr>
      <w:tr>
        <w:tc>
          <w:tcPr>
            <w:tcW w:type="dxa" w:w="2995"/>
            <w:shd w:fill="DCE6F1" w:color="auto" w:val="clear"/>
            <w:tcMar>
              <w:top w:type="dxa" w:w="60"/>
              <w:left w:type="dxa" w:w="100"/>
              <w:bottom w:type="dxa" w:w="60"/>
              <w:right w:type="dxa" w:w="100"/>
            </w:tcMar>
            <w:vAlign w:val="center"/>
          </w:tcPr>
          <w:p>
            <w:r>
              <w:rPr>
                <w:sz w:val="19"/>
                <w:szCs w:val="19"/>
              </w:rPr>
              <w:t xml:space="preserve">Customer booking/dispatch fee</w:t>
            </w:r>
          </w:p>
        </w:tc>
        <w:tc>
          <w:tcPr>
            <w:tcW w:type="dxa" w:w="2808"/>
            <w:shd w:fill="DCE6F1" w:color="auto" w:val="clear"/>
            <w:tcMar>
              <w:top w:type="dxa" w:w="60"/>
              <w:left w:type="dxa" w:w="100"/>
              <w:bottom w:type="dxa" w:w="60"/>
              <w:right w:type="dxa" w:w="100"/>
            </w:tcMar>
            <w:vAlign w:val="center"/>
          </w:tcPr>
          <w:p>
            <w:r>
              <w:rPr>
                <w:sz w:val="19"/>
                <w:szCs w:val="19"/>
              </w:rPr>
              <w:t xml:space="preserve">SAR 20 flat</w:t>
            </w:r>
          </w:p>
        </w:tc>
        <w:tc>
          <w:tcPr>
            <w:tcW w:type="dxa" w:w="3557"/>
            <w:shd w:fill="DCE6F1" w:color="auto" w:val="clear"/>
            <w:tcMar>
              <w:top w:type="dxa" w:w="60"/>
              <w:left w:type="dxa" w:w="100"/>
              <w:bottom w:type="dxa" w:w="60"/>
              <w:right w:type="dxa" w:w="100"/>
            </w:tcMar>
            <w:vAlign w:val="center"/>
          </w:tcPr>
          <w:p>
            <w:r>
              <w:rPr>
                <w:sz w:val="19"/>
                <w:szCs w:val="19"/>
              </w:rPr>
              <w:t xml:space="preserve">Waived/reduced for subscription members</w:t>
            </w:r>
          </w:p>
        </w:tc>
      </w:tr>
      <w:tr>
        <w:tc>
          <w:tcPr>
            <w:tcW w:type="dxa" w:w="2995"/>
            <w:shd w:fill="FFFFFF" w:color="auto" w:val="clear"/>
            <w:tcMar>
              <w:top w:type="dxa" w:w="60"/>
              <w:left w:type="dxa" w:w="100"/>
              <w:bottom w:type="dxa" w:w="60"/>
              <w:right w:type="dxa" w:w="100"/>
            </w:tcMar>
            <w:vAlign w:val="center"/>
          </w:tcPr>
          <w:p>
            <w:r>
              <w:rPr>
                <w:sz w:val="19"/>
                <w:szCs w:val="19"/>
              </w:rPr>
              <w:t xml:space="preserve">“Portal Care” subscription</w:t>
            </w:r>
          </w:p>
        </w:tc>
        <w:tc>
          <w:tcPr>
            <w:tcW w:type="dxa" w:w="2808"/>
            <w:shd w:fill="FFFFFF" w:color="auto" w:val="clear"/>
            <w:tcMar>
              <w:top w:type="dxa" w:w="60"/>
              <w:left w:type="dxa" w:w="100"/>
              <w:bottom w:type="dxa" w:w="60"/>
              <w:right w:type="dxa" w:w="100"/>
            </w:tcMar>
            <w:vAlign w:val="center"/>
          </w:tcPr>
          <w:p>
            <w:r>
              <w:rPr>
                <w:sz w:val="19"/>
                <w:szCs w:val="19"/>
              </w:rPr>
              <w:t xml:space="preserve">SAR 249/yr (AC-only) or SAR 599/yr (Complete Home)</w:t>
            </w:r>
          </w:p>
        </w:tc>
        <w:tc>
          <w:tcPr>
            <w:tcW w:type="dxa" w:w="3557"/>
            <w:shd w:fill="FFFFFF" w:color="auto" w:val="clear"/>
            <w:tcMar>
              <w:top w:type="dxa" w:w="60"/>
              <w:left w:type="dxa" w:w="100"/>
              <w:bottom w:type="dxa" w:w="60"/>
              <w:right w:type="dxa" w:w="100"/>
            </w:tcMar>
            <w:vAlign w:val="center"/>
          </w:tcPr>
          <w:p>
            <w:r>
              <w:rPr>
                <w:sz w:val="19"/>
                <w:szCs w:val="19"/>
              </w:rPr>
              <w:t xml:space="preserve">Highest-margin line once trust is established</w:t>
            </w:r>
          </w:p>
        </w:tc>
      </w:tr>
      <w:tr>
        <w:tc>
          <w:tcPr>
            <w:tcW w:type="dxa" w:w="2995"/>
            <w:shd w:fill="DCE6F1" w:color="auto" w:val="clear"/>
            <w:tcMar>
              <w:top w:type="dxa" w:w="60"/>
              <w:left w:type="dxa" w:w="100"/>
              <w:bottom w:type="dxa" w:w="60"/>
              <w:right w:type="dxa" w:w="100"/>
            </w:tcMar>
            <w:vAlign w:val="center"/>
          </w:tcPr>
          <w:p>
            <w:r>
              <w:rPr>
                <w:sz w:val="19"/>
                <w:szCs w:val="19"/>
              </w:rPr>
              <w:t xml:space="preserve">Contractor featured placement (Phase 2+)</w:t>
            </w:r>
          </w:p>
        </w:tc>
        <w:tc>
          <w:tcPr>
            <w:tcW w:type="dxa" w:w="2808"/>
            <w:shd w:fill="DCE6F1" w:color="auto" w:val="clear"/>
            <w:tcMar>
              <w:top w:type="dxa" w:w="60"/>
              <w:left w:type="dxa" w:w="100"/>
              <w:bottom w:type="dxa" w:w="60"/>
              <w:right w:type="dxa" w:w="100"/>
            </w:tcMar>
            <w:vAlign w:val="center"/>
          </w:tcPr>
          <w:p>
            <w:r>
              <w:rPr>
                <w:sz w:val="19"/>
                <w:szCs w:val="19"/>
              </w:rPr>
              <w:t xml:space="preserve">Optional</w:t>
            </w:r>
          </w:p>
        </w:tc>
        <w:tc>
          <w:tcPr>
            <w:tcW w:type="dxa" w:w="3557"/>
            <w:shd w:fill="DCE6F1" w:color="auto" w:val="clear"/>
            <w:tcMar>
              <w:top w:type="dxa" w:w="60"/>
              <w:left w:type="dxa" w:w="100"/>
              <w:bottom w:type="dxa" w:w="60"/>
              <w:right w:type="dxa" w:w="100"/>
            </w:tcMar>
            <w:vAlign w:val="center"/>
          </w:tcPr>
          <w:p>
            <w:r>
              <w:rPr>
                <w:sz w:val="19"/>
                <w:szCs w:val="19"/>
              </w:rPr>
              <w:t xml:space="preserve">Introduce only once demand exceeds supply in a city</w:t>
            </w:r>
          </w:p>
        </w:tc>
      </w:tr>
    </w:tbl>
    <w:p>
      <w:pPr>
        <w:pStyle w:val="Heading3"/>
        <w:spacing w:after="100" w:before="200"/>
      </w:pPr>
      <w:r>
        <w:t xml:space="preserve">Illustrative price bands shown to customers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8"/>
        <w:gridCol w:w="4576"/>
        <w:gridCol w:w="2496"/>
      </w:tblGrid>
      <w:tr>
        <w:trPr>
          <w:tblHeader/>
        </w:trPr>
        <w:tc>
          <w:tcPr>
            <w:tcW w:type="dxa" w:w="2288"/>
            <w:shd w:fill="1F3864" w:color="auto" w:val="clear"/>
            <w:tcMar>
              <w:top w:type="dxa" w:w="80"/>
              <w:left w:type="dxa" w:w="100"/>
              <w:bottom w:type="dxa" w:w="80"/>
              <w:right w:type="dxa" w:w="100"/>
            </w:tcMar>
            <w:vAlign w:val="center"/>
          </w:tcPr>
          <w:p>
            <w:r>
              <w:rPr>
                <w:b/>
                <w:bCs/>
                <w:color w:val="FFFFFF"/>
                <w:sz w:val="20"/>
                <w:szCs w:val="20"/>
              </w:rPr>
              <w:t xml:space="preserve">Trade</w:t>
            </w:r>
          </w:p>
        </w:tc>
        <w:tc>
          <w:tcPr>
            <w:tcW w:type="dxa" w:w="4576"/>
            <w:shd w:fill="1F3864" w:color="auto" w:val="clear"/>
            <w:tcMar>
              <w:top w:type="dxa" w:w="80"/>
              <w:left w:type="dxa" w:w="100"/>
              <w:bottom w:type="dxa" w:w="80"/>
              <w:right w:type="dxa" w:w="100"/>
            </w:tcMar>
            <w:vAlign w:val="center"/>
          </w:tcPr>
          <w:p>
            <w:r>
              <w:rPr>
                <w:b/>
                <w:bCs/>
                <w:color w:val="FFFFFF"/>
                <w:sz w:val="20"/>
                <w:szCs w:val="20"/>
              </w:rPr>
              <w:t xml:space="preserve">Job type</w:t>
            </w:r>
          </w:p>
        </w:tc>
        <w:tc>
          <w:tcPr>
            <w:tcW w:type="dxa" w:w="2496"/>
            <w:shd w:fill="1F3864" w:color="auto" w:val="clear"/>
            <w:tcMar>
              <w:top w:type="dxa" w:w="80"/>
              <w:left w:type="dxa" w:w="100"/>
              <w:bottom w:type="dxa" w:w="80"/>
              <w:right w:type="dxa" w:w="100"/>
            </w:tcMar>
            <w:vAlign w:val="center"/>
          </w:tcPr>
          <w:p>
            <w:r>
              <w:rPr>
                <w:b/>
                <w:bCs/>
                <w:color w:val="FFFFFF"/>
                <w:sz w:val="20"/>
                <w:szCs w:val="20"/>
              </w:rPr>
              <w:t xml:space="preserve">Typical band (SAR)</w:t>
            </w:r>
          </w:p>
        </w:tc>
      </w:tr>
      <w:tr>
        <w:tc>
          <w:tcPr>
            <w:tcW w:type="dxa" w:w="2288"/>
            <w:shd w:fill="FFFFFF" w:color="auto" w:val="clear"/>
            <w:tcMar>
              <w:top w:type="dxa" w:w="60"/>
              <w:left w:type="dxa" w:w="100"/>
              <w:bottom w:type="dxa" w:w="60"/>
              <w:right w:type="dxa" w:w="100"/>
            </w:tcMar>
            <w:vAlign w:val="center"/>
          </w:tcPr>
          <w:p>
            <w:r>
              <w:rPr>
                <w:sz w:val="19"/>
                <w:szCs w:val="19"/>
              </w:rPr>
              <w:t xml:space="preserve">Electrical</w:t>
            </w:r>
          </w:p>
        </w:tc>
        <w:tc>
          <w:tcPr>
            <w:tcW w:type="dxa" w:w="4576"/>
            <w:shd w:fill="FFFFFF" w:color="auto" w:val="clear"/>
            <w:tcMar>
              <w:top w:type="dxa" w:w="60"/>
              <w:left w:type="dxa" w:w="100"/>
              <w:bottom w:type="dxa" w:w="60"/>
              <w:right w:type="dxa" w:w="100"/>
            </w:tcMar>
            <w:vAlign w:val="center"/>
          </w:tcPr>
          <w:p>
            <w:r>
              <w:rPr>
                <w:sz w:val="19"/>
                <w:szCs w:val="19"/>
              </w:rPr>
              <w:t xml:space="preserve">Socket/switch/breaker repair or replacement</w:t>
            </w:r>
          </w:p>
        </w:tc>
        <w:tc>
          <w:tcPr>
            <w:tcW w:type="dxa" w:w="2496"/>
            <w:shd w:fill="FFFFFF" w:color="auto" w:val="clear"/>
            <w:tcMar>
              <w:top w:type="dxa" w:w="60"/>
              <w:left w:type="dxa" w:w="100"/>
              <w:bottom w:type="dxa" w:w="60"/>
              <w:right w:type="dxa" w:w="100"/>
            </w:tcMar>
            <w:vAlign w:val="center"/>
          </w:tcPr>
          <w:p>
            <w:r>
              <w:rPr>
                <w:sz w:val="19"/>
                <w:szCs w:val="19"/>
              </w:rPr>
              <w:t xml:space="preserve">150–350</w:t>
            </w:r>
          </w:p>
        </w:tc>
      </w:tr>
      <w:tr>
        <w:tc>
          <w:tcPr>
            <w:tcW w:type="dxa" w:w="2288"/>
            <w:shd w:fill="DCE6F1" w:color="auto" w:val="clear"/>
            <w:tcMar>
              <w:top w:type="dxa" w:w="60"/>
              <w:left w:type="dxa" w:w="100"/>
              <w:bottom w:type="dxa" w:w="60"/>
              <w:right w:type="dxa" w:w="100"/>
            </w:tcMar>
            <w:vAlign w:val="center"/>
          </w:tcPr>
          <w:p>
            <w:r>
              <w:rPr>
                <w:sz w:val="19"/>
                <w:szCs w:val="19"/>
              </w:rPr>
              <w:t xml:space="preserve">Electrical</w:t>
            </w:r>
          </w:p>
        </w:tc>
        <w:tc>
          <w:tcPr>
            <w:tcW w:type="dxa" w:w="4576"/>
            <w:shd w:fill="DCE6F1" w:color="auto" w:val="clear"/>
            <w:tcMar>
              <w:top w:type="dxa" w:w="60"/>
              <w:left w:type="dxa" w:w="100"/>
              <w:bottom w:type="dxa" w:w="60"/>
              <w:right w:type="dxa" w:w="100"/>
            </w:tcMar>
            <w:vAlign w:val="center"/>
          </w:tcPr>
          <w:p>
            <w:r>
              <w:rPr>
                <w:sz w:val="19"/>
                <w:szCs w:val="19"/>
              </w:rPr>
              <w:t xml:space="preserve">Lighting fixture install</w:t>
            </w:r>
          </w:p>
        </w:tc>
        <w:tc>
          <w:tcPr>
            <w:tcW w:type="dxa" w:w="2496"/>
            <w:shd w:fill="DCE6F1" w:color="auto" w:val="clear"/>
            <w:tcMar>
              <w:top w:type="dxa" w:w="60"/>
              <w:left w:type="dxa" w:w="100"/>
              <w:bottom w:type="dxa" w:w="60"/>
              <w:right w:type="dxa" w:w="100"/>
            </w:tcMar>
            <w:vAlign w:val="center"/>
          </w:tcPr>
          <w:p>
            <w:r>
              <w:rPr>
                <w:sz w:val="19"/>
                <w:szCs w:val="19"/>
              </w:rPr>
              <w:t xml:space="preserve">150–400</w:t>
            </w:r>
          </w:p>
        </w:tc>
      </w:tr>
      <w:tr>
        <w:tc>
          <w:tcPr>
            <w:tcW w:type="dxa" w:w="2288"/>
            <w:shd w:fill="FFFFFF" w:color="auto" w:val="clear"/>
            <w:tcMar>
              <w:top w:type="dxa" w:w="60"/>
              <w:left w:type="dxa" w:w="100"/>
              <w:bottom w:type="dxa" w:w="60"/>
              <w:right w:type="dxa" w:w="100"/>
            </w:tcMar>
            <w:vAlign w:val="center"/>
          </w:tcPr>
          <w:p>
            <w:r>
              <w:rPr>
                <w:sz w:val="19"/>
                <w:szCs w:val="19"/>
              </w:rPr>
              <w:t xml:space="preserve">Electrical</w:t>
            </w:r>
          </w:p>
        </w:tc>
        <w:tc>
          <w:tcPr>
            <w:tcW w:type="dxa" w:w="4576"/>
            <w:shd w:fill="FFFFFF" w:color="auto" w:val="clear"/>
            <w:tcMar>
              <w:top w:type="dxa" w:w="60"/>
              <w:left w:type="dxa" w:w="100"/>
              <w:bottom w:type="dxa" w:w="60"/>
              <w:right w:type="dxa" w:w="100"/>
            </w:tcMar>
            <w:vAlign w:val="center"/>
          </w:tcPr>
          <w:p>
            <w:r>
              <w:rPr>
                <w:sz w:val="19"/>
                <w:szCs w:val="19"/>
              </w:rPr>
              <w:t xml:space="preserve">Partial rewiring / panel upgrade</w:t>
            </w:r>
          </w:p>
        </w:tc>
        <w:tc>
          <w:tcPr>
            <w:tcW w:type="dxa" w:w="2496"/>
            <w:shd w:fill="FFFFFF" w:color="auto" w:val="clear"/>
            <w:tcMar>
              <w:top w:type="dxa" w:w="60"/>
              <w:left w:type="dxa" w:w="100"/>
              <w:bottom w:type="dxa" w:w="60"/>
              <w:right w:type="dxa" w:w="100"/>
            </w:tcMar>
            <w:vAlign w:val="center"/>
          </w:tcPr>
          <w:p>
            <w:r>
              <w:rPr>
                <w:sz w:val="19"/>
                <w:szCs w:val="19"/>
              </w:rPr>
              <w:t xml:space="preserve">500–2,000+</w:t>
            </w:r>
          </w:p>
        </w:tc>
      </w:tr>
      <w:tr>
        <w:tc>
          <w:tcPr>
            <w:tcW w:type="dxa" w:w="2288"/>
            <w:shd w:fill="DCE6F1" w:color="auto" w:val="clear"/>
            <w:tcMar>
              <w:top w:type="dxa" w:w="60"/>
              <w:left w:type="dxa" w:w="100"/>
              <w:bottom w:type="dxa" w:w="60"/>
              <w:right w:type="dxa" w:w="100"/>
            </w:tcMar>
            <w:vAlign w:val="center"/>
          </w:tcPr>
          <w:p>
            <w:r>
              <w:rPr>
                <w:sz w:val="19"/>
                <w:szCs w:val="19"/>
              </w:rPr>
              <w:t xml:space="preserve">Plumbing</w:t>
            </w:r>
          </w:p>
        </w:tc>
        <w:tc>
          <w:tcPr>
            <w:tcW w:type="dxa" w:w="4576"/>
            <w:shd w:fill="DCE6F1" w:color="auto" w:val="clear"/>
            <w:tcMar>
              <w:top w:type="dxa" w:w="60"/>
              <w:left w:type="dxa" w:w="100"/>
              <w:bottom w:type="dxa" w:w="60"/>
              <w:right w:type="dxa" w:w="100"/>
            </w:tcMar>
            <w:vAlign w:val="center"/>
          </w:tcPr>
          <w:p>
            <w:r>
              <w:rPr>
                <w:sz w:val="19"/>
                <w:szCs w:val="19"/>
              </w:rPr>
              <w:t xml:space="preserve">Fixture repair/replacement</w:t>
            </w:r>
          </w:p>
        </w:tc>
        <w:tc>
          <w:tcPr>
            <w:tcW w:type="dxa" w:w="2496"/>
            <w:shd w:fill="DCE6F1" w:color="auto" w:val="clear"/>
            <w:tcMar>
              <w:top w:type="dxa" w:w="60"/>
              <w:left w:type="dxa" w:w="100"/>
              <w:bottom w:type="dxa" w:w="60"/>
              <w:right w:type="dxa" w:w="100"/>
            </w:tcMar>
            <w:vAlign w:val="center"/>
          </w:tcPr>
          <w:p>
            <w:r>
              <w:rPr>
                <w:sz w:val="19"/>
                <w:szCs w:val="19"/>
              </w:rPr>
              <w:t xml:space="preserve">150–400</w:t>
            </w:r>
          </w:p>
        </w:tc>
      </w:tr>
      <w:tr>
        <w:tc>
          <w:tcPr>
            <w:tcW w:type="dxa" w:w="2288"/>
            <w:shd w:fill="FFFFFF" w:color="auto" w:val="clear"/>
            <w:tcMar>
              <w:top w:type="dxa" w:w="60"/>
              <w:left w:type="dxa" w:w="100"/>
              <w:bottom w:type="dxa" w:w="60"/>
              <w:right w:type="dxa" w:w="100"/>
            </w:tcMar>
            <w:vAlign w:val="center"/>
          </w:tcPr>
          <w:p>
            <w:r>
              <w:rPr>
                <w:sz w:val="19"/>
                <w:szCs w:val="19"/>
              </w:rPr>
              <w:t xml:space="preserve">Plumbing</w:t>
            </w:r>
          </w:p>
        </w:tc>
        <w:tc>
          <w:tcPr>
            <w:tcW w:type="dxa" w:w="4576"/>
            <w:shd w:fill="FFFFFF" w:color="auto" w:val="clear"/>
            <w:tcMar>
              <w:top w:type="dxa" w:w="60"/>
              <w:left w:type="dxa" w:w="100"/>
              <w:bottom w:type="dxa" w:w="60"/>
              <w:right w:type="dxa" w:w="100"/>
            </w:tcMar>
            <w:vAlign w:val="center"/>
          </w:tcPr>
          <w:p>
            <w:r>
              <w:rPr>
                <w:sz w:val="19"/>
                <w:szCs w:val="19"/>
              </w:rPr>
              <w:t xml:space="preserve">Water heater install/repair</w:t>
            </w:r>
          </w:p>
        </w:tc>
        <w:tc>
          <w:tcPr>
            <w:tcW w:type="dxa" w:w="2496"/>
            <w:shd w:fill="FFFFFF" w:color="auto" w:val="clear"/>
            <w:tcMar>
              <w:top w:type="dxa" w:w="60"/>
              <w:left w:type="dxa" w:w="100"/>
              <w:bottom w:type="dxa" w:w="60"/>
              <w:right w:type="dxa" w:w="100"/>
            </w:tcMar>
            <w:vAlign w:val="center"/>
          </w:tcPr>
          <w:p>
            <w:r>
              <w:rPr>
                <w:sz w:val="19"/>
                <w:szCs w:val="19"/>
              </w:rPr>
              <w:t xml:space="preserve">400–1,200</w:t>
            </w:r>
          </w:p>
        </w:tc>
      </w:tr>
      <w:tr>
        <w:tc>
          <w:tcPr>
            <w:tcW w:type="dxa" w:w="2288"/>
            <w:shd w:fill="DCE6F1" w:color="auto" w:val="clear"/>
            <w:tcMar>
              <w:top w:type="dxa" w:w="60"/>
              <w:left w:type="dxa" w:w="100"/>
              <w:bottom w:type="dxa" w:w="60"/>
              <w:right w:type="dxa" w:w="100"/>
            </w:tcMar>
            <w:vAlign w:val="center"/>
          </w:tcPr>
          <w:p>
            <w:r>
              <w:rPr>
                <w:sz w:val="19"/>
                <w:szCs w:val="19"/>
              </w:rPr>
              <w:t xml:space="preserve">Plumbing</w:t>
            </w:r>
          </w:p>
        </w:tc>
        <w:tc>
          <w:tcPr>
            <w:tcW w:type="dxa" w:w="4576"/>
            <w:shd w:fill="DCE6F1" w:color="auto" w:val="clear"/>
            <w:tcMar>
              <w:top w:type="dxa" w:w="60"/>
              <w:left w:type="dxa" w:w="100"/>
              <w:bottom w:type="dxa" w:w="60"/>
              <w:right w:type="dxa" w:w="100"/>
            </w:tcMar>
            <w:vAlign w:val="center"/>
          </w:tcPr>
          <w:p>
            <w:r>
              <w:rPr>
                <w:sz w:val="19"/>
                <w:szCs w:val="19"/>
              </w:rPr>
              <w:t xml:space="preserve">Drainage / major leak / supply line</w:t>
            </w:r>
          </w:p>
        </w:tc>
        <w:tc>
          <w:tcPr>
            <w:tcW w:type="dxa" w:w="2496"/>
            <w:shd w:fill="DCE6F1" w:color="auto" w:val="clear"/>
            <w:tcMar>
              <w:top w:type="dxa" w:w="60"/>
              <w:left w:type="dxa" w:w="100"/>
              <w:bottom w:type="dxa" w:w="60"/>
              <w:right w:type="dxa" w:w="100"/>
            </w:tcMar>
            <w:vAlign w:val="center"/>
          </w:tcPr>
          <w:p>
            <w:r>
              <w:rPr>
                <w:sz w:val="19"/>
                <w:szCs w:val="19"/>
              </w:rPr>
              <w:t xml:space="preserve">500–2,000</w:t>
            </w:r>
          </w:p>
        </w:tc>
      </w:tr>
      <w:tr>
        <w:tc>
          <w:tcPr>
            <w:tcW w:type="dxa" w:w="2288"/>
            <w:shd w:fill="FFFFFF" w:color="auto" w:val="clear"/>
            <w:tcMar>
              <w:top w:type="dxa" w:w="60"/>
              <w:left w:type="dxa" w:w="100"/>
              <w:bottom w:type="dxa" w:w="60"/>
              <w:right w:type="dxa" w:w="100"/>
            </w:tcMar>
            <w:vAlign w:val="center"/>
          </w:tcPr>
          <w:p>
            <w:r>
              <w:rPr>
                <w:sz w:val="19"/>
                <w:szCs w:val="19"/>
              </w:rPr>
              <w:t xml:space="preserve">HVAC</w:t>
            </w:r>
          </w:p>
        </w:tc>
        <w:tc>
          <w:tcPr>
            <w:tcW w:type="dxa" w:w="4576"/>
            <w:shd w:fill="FFFFFF" w:color="auto" w:val="clear"/>
            <w:tcMar>
              <w:top w:type="dxa" w:w="60"/>
              <w:left w:type="dxa" w:w="100"/>
              <w:bottom w:type="dxa" w:w="60"/>
              <w:right w:type="dxa" w:w="100"/>
            </w:tcMar>
            <w:vAlign w:val="center"/>
          </w:tcPr>
          <w:p>
            <w:r>
              <w:rPr>
                <w:sz w:val="19"/>
                <w:szCs w:val="19"/>
              </w:rPr>
              <w:t xml:space="preserve">Window AC service</w:t>
            </w:r>
          </w:p>
        </w:tc>
        <w:tc>
          <w:tcPr>
            <w:tcW w:type="dxa" w:w="2496"/>
            <w:shd w:fill="FFFFFF" w:color="auto" w:val="clear"/>
            <w:tcMar>
              <w:top w:type="dxa" w:w="60"/>
              <w:left w:type="dxa" w:w="100"/>
              <w:bottom w:type="dxa" w:w="60"/>
              <w:right w:type="dxa" w:w="100"/>
            </w:tcMar>
            <w:vAlign w:val="center"/>
          </w:tcPr>
          <w:p>
            <w:r>
              <w:rPr>
                <w:sz w:val="19"/>
                <w:szCs w:val="19"/>
              </w:rPr>
              <w:t xml:space="preserve">150–250</w:t>
            </w:r>
          </w:p>
        </w:tc>
      </w:tr>
      <w:tr>
        <w:tc>
          <w:tcPr>
            <w:tcW w:type="dxa" w:w="2288"/>
            <w:shd w:fill="DCE6F1" w:color="auto" w:val="clear"/>
            <w:tcMar>
              <w:top w:type="dxa" w:w="60"/>
              <w:left w:type="dxa" w:w="100"/>
              <w:bottom w:type="dxa" w:w="60"/>
              <w:right w:type="dxa" w:w="100"/>
            </w:tcMar>
            <w:vAlign w:val="center"/>
          </w:tcPr>
          <w:p>
            <w:r>
              <w:rPr>
                <w:sz w:val="19"/>
                <w:szCs w:val="19"/>
              </w:rPr>
              <w:t xml:space="preserve">HVAC</w:t>
            </w:r>
          </w:p>
        </w:tc>
        <w:tc>
          <w:tcPr>
            <w:tcW w:type="dxa" w:w="4576"/>
            <w:shd w:fill="DCE6F1" w:color="auto" w:val="clear"/>
            <w:tcMar>
              <w:top w:type="dxa" w:w="60"/>
              <w:left w:type="dxa" w:w="100"/>
              <w:bottom w:type="dxa" w:w="60"/>
              <w:right w:type="dxa" w:w="100"/>
            </w:tcMar>
            <w:vAlign w:val="center"/>
          </w:tcPr>
          <w:p>
            <w:r>
              <w:rPr>
                <w:sz w:val="19"/>
                <w:szCs w:val="19"/>
              </w:rPr>
              <w:t xml:space="preserve">Window AC replace/install</w:t>
            </w:r>
          </w:p>
        </w:tc>
        <w:tc>
          <w:tcPr>
            <w:tcW w:type="dxa" w:w="2496"/>
            <w:shd w:fill="DCE6F1" w:color="auto" w:val="clear"/>
            <w:tcMar>
              <w:top w:type="dxa" w:w="60"/>
              <w:left w:type="dxa" w:w="100"/>
              <w:bottom w:type="dxa" w:w="60"/>
              <w:right w:type="dxa" w:w="100"/>
            </w:tcMar>
            <w:vAlign w:val="center"/>
          </w:tcPr>
          <w:p>
            <w:r>
              <w:rPr>
                <w:sz w:val="19"/>
                <w:szCs w:val="19"/>
              </w:rPr>
              <w:t xml:space="preserve">800–1,800</w:t>
            </w:r>
          </w:p>
        </w:tc>
      </w:tr>
      <w:tr>
        <w:tc>
          <w:tcPr>
            <w:tcW w:type="dxa" w:w="2288"/>
            <w:shd w:fill="FFFFFF" w:color="auto" w:val="clear"/>
            <w:tcMar>
              <w:top w:type="dxa" w:w="60"/>
              <w:left w:type="dxa" w:w="100"/>
              <w:bottom w:type="dxa" w:w="60"/>
              <w:right w:type="dxa" w:w="100"/>
            </w:tcMar>
            <w:vAlign w:val="center"/>
          </w:tcPr>
          <w:p>
            <w:r>
              <w:rPr>
                <w:sz w:val="19"/>
                <w:szCs w:val="19"/>
              </w:rPr>
              <w:t xml:space="preserve">HVAC</w:t>
            </w:r>
          </w:p>
        </w:tc>
        <w:tc>
          <w:tcPr>
            <w:tcW w:type="dxa" w:w="4576"/>
            <w:shd w:fill="FFFFFF" w:color="auto" w:val="clear"/>
            <w:tcMar>
              <w:top w:type="dxa" w:w="60"/>
              <w:left w:type="dxa" w:w="100"/>
              <w:bottom w:type="dxa" w:w="60"/>
              <w:right w:type="dxa" w:w="100"/>
            </w:tcMar>
            <w:vAlign w:val="center"/>
          </w:tcPr>
          <w:p>
            <w:r>
              <w:rPr>
                <w:sz w:val="19"/>
                <w:szCs w:val="19"/>
              </w:rPr>
              <w:t xml:space="preserve">Split AC service (per unit)</w:t>
            </w:r>
          </w:p>
        </w:tc>
        <w:tc>
          <w:tcPr>
            <w:tcW w:type="dxa" w:w="2496"/>
            <w:shd w:fill="FFFFFF" w:color="auto" w:val="clear"/>
            <w:tcMar>
              <w:top w:type="dxa" w:w="60"/>
              <w:left w:type="dxa" w:w="100"/>
              <w:bottom w:type="dxa" w:w="60"/>
              <w:right w:type="dxa" w:w="100"/>
            </w:tcMar>
            <w:vAlign w:val="center"/>
          </w:tcPr>
          <w:p>
            <w:r>
              <w:rPr>
                <w:sz w:val="19"/>
                <w:szCs w:val="19"/>
              </w:rPr>
              <w:t xml:space="preserve">150–300</w:t>
            </w:r>
          </w:p>
        </w:tc>
      </w:tr>
      <w:tr>
        <w:tc>
          <w:tcPr>
            <w:tcW w:type="dxa" w:w="2288"/>
            <w:shd w:fill="DCE6F1" w:color="auto" w:val="clear"/>
            <w:tcMar>
              <w:top w:type="dxa" w:w="60"/>
              <w:left w:type="dxa" w:w="100"/>
              <w:bottom w:type="dxa" w:w="60"/>
              <w:right w:type="dxa" w:w="100"/>
            </w:tcMar>
            <w:vAlign w:val="center"/>
          </w:tcPr>
          <w:p>
            <w:r>
              <w:rPr>
                <w:sz w:val="19"/>
                <w:szCs w:val="19"/>
              </w:rPr>
              <w:t xml:space="preserve">HVAC</w:t>
            </w:r>
          </w:p>
        </w:tc>
        <w:tc>
          <w:tcPr>
            <w:tcW w:type="dxa" w:w="4576"/>
            <w:shd w:fill="DCE6F1" w:color="auto" w:val="clear"/>
            <w:tcMar>
              <w:top w:type="dxa" w:w="60"/>
              <w:left w:type="dxa" w:w="100"/>
              <w:bottom w:type="dxa" w:w="60"/>
              <w:right w:type="dxa" w:w="100"/>
            </w:tcMar>
            <w:vAlign w:val="center"/>
          </w:tcPr>
          <w:p>
            <w:r>
              <w:rPr>
                <w:sz w:val="19"/>
                <w:szCs w:val="19"/>
              </w:rPr>
              <w:t xml:space="preserve">Split AC install (labor only)</w:t>
            </w:r>
          </w:p>
        </w:tc>
        <w:tc>
          <w:tcPr>
            <w:tcW w:type="dxa" w:w="2496"/>
            <w:shd w:fill="DCE6F1" w:color="auto" w:val="clear"/>
            <w:tcMar>
              <w:top w:type="dxa" w:w="60"/>
              <w:left w:type="dxa" w:w="100"/>
              <w:bottom w:type="dxa" w:w="60"/>
              <w:right w:type="dxa" w:w="100"/>
            </w:tcMar>
            <w:vAlign w:val="center"/>
          </w:tcPr>
          <w:p>
            <w:r>
              <w:rPr>
                <w:sz w:val="19"/>
                <w:szCs w:val="19"/>
              </w:rPr>
              <w:t xml:space="preserve">600–1,500</w:t>
            </w:r>
          </w:p>
        </w:tc>
      </w:tr>
      <w:tr>
        <w:tc>
          <w:tcPr>
            <w:tcW w:type="dxa" w:w="2288"/>
            <w:shd w:fill="FFFFFF" w:color="auto" w:val="clear"/>
            <w:tcMar>
              <w:top w:type="dxa" w:w="60"/>
              <w:left w:type="dxa" w:w="100"/>
              <w:bottom w:type="dxa" w:w="60"/>
              <w:right w:type="dxa" w:w="100"/>
            </w:tcMar>
            <w:vAlign w:val="center"/>
          </w:tcPr>
          <w:p>
            <w:r>
              <w:rPr>
                <w:sz w:val="19"/>
                <w:szCs w:val="19"/>
              </w:rPr>
              <w:t xml:space="preserve">HVAC</w:t>
            </w:r>
          </w:p>
        </w:tc>
        <w:tc>
          <w:tcPr>
            <w:tcW w:type="dxa" w:w="4576"/>
            <w:shd w:fill="FFFFFF" w:color="auto" w:val="clear"/>
            <w:tcMar>
              <w:top w:type="dxa" w:w="60"/>
              <w:left w:type="dxa" w:w="100"/>
              <w:bottom w:type="dxa" w:w="60"/>
              <w:right w:type="dxa" w:w="100"/>
            </w:tcMar>
            <w:vAlign w:val="center"/>
          </w:tcPr>
          <w:p>
            <w:r>
              <w:rPr>
                <w:sz w:val="19"/>
                <w:szCs w:val="19"/>
              </w:rPr>
              <w:t xml:space="preserve">Package unit service</w:t>
            </w:r>
          </w:p>
        </w:tc>
        <w:tc>
          <w:tcPr>
            <w:tcW w:type="dxa" w:w="2496"/>
            <w:shd w:fill="FFFFFF" w:color="auto" w:val="clear"/>
            <w:tcMar>
              <w:top w:type="dxa" w:w="60"/>
              <w:left w:type="dxa" w:w="100"/>
              <w:bottom w:type="dxa" w:w="60"/>
              <w:right w:type="dxa" w:w="100"/>
            </w:tcMar>
            <w:vAlign w:val="center"/>
          </w:tcPr>
          <w:p>
            <w:r>
              <w:rPr>
                <w:sz w:val="19"/>
                <w:szCs w:val="19"/>
              </w:rPr>
              <w:t xml:space="preserve">400–900</w:t>
            </w:r>
          </w:p>
        </w:tc>
      </w:tr>
      <w:tr>
        <w:tc>
          <w:tcPr>
            <w:tcW w:type="dxa" w:w="2288"/>
            <w:shd w:fill="DCE6F1" w:color="auto" w:val="clear"/>
            <w:tcMar>
              <w:top w:type="dxa" w:w="60"/>
              <w:left w:type="dxa" w:w="100"/>
              <w:bottom w:type="dxa" w:w="60"/>
              <w:right w:type="dxa" w:w="100"/>
            </w:tcMar>
            <w:vAlign w:val="center"/>
          </w:tcPr>
          <w:p>
            <w:r>
              <w:rPr>
                <w:sz w:val="19"/>
                <w:szCs w:val="19"/>
              </w:rPr>
              <w:t xml:space="preserve">Civil finishes</w:t>
            </w:r>
          </w:p>
        </w:tc>
        <w:tc>
          <w:tcPr>
            <w:tcW w:type="dxa" w:w="4576"/>
            <w:shd w:fill="DCE6F1" w:color="auto" w:val="clear"/>
            <w:tcMar>
              <w:top w:type="dxa" w:w="60"/>
              <w:left w:type="dxa" w:w="100"/>
              <w:bottom w:type="dxa" w:w="60"/>
              <w:right w:type="dxa" w:w="100"/>
            </w:tcMar>
            <w:vAlign w:val="center"/>
          </w:tcPr>
          <w:p>
            <w:r>
              <w:rPr>
                <w:sz w:val="19"/>
                <w:szCs w:val="19"/>
              </w:rPr>
              <w:t xml:space="preserve">Painting (per room, materials incl.)</w:t>
            </w:r>
          </w:p>
        </w:tc>
        <w:tc>
          <w:tcPr>
            <w:tcW w:type="dxa" w:w="2496"/>
            <w:shd w:fill="DCE6F1" w:color="auto" w:val="clear"/>
            <w:tcMar>
              <w:top w:type="dxa" w:w="60"/>
              <w:left w:type="dxa" w:w="100"/>
              <w:bottom w:type="dxa" w:w="60"/>
              <w:right w:type="dxa" w:w="100"/>
            </w:tcMar>
            <w:vAlign w:val="center"/>
          </w:tcPr>
          <w:p>
            <w:r>
              <w:rPr>
                <w:sz w:val="19"/>
                <w:szCs w:val="19"/>
              </w:rPr>
              <w:t xml:space="preserve">400–1,200</w:t>
            </w:r>
          </w:p>
        </w:tc>
      </w:tr>
      <w:tr>
        <w:tc>
          <w:tcPr>
            <w:tcW w:type="dxa" w:w="2288"/>
            <w:shd w:fill="FFFFFF" w:color="auto" w:val="clear"/>
            <w:tcMar>
              <w:top w:type="dxa" w:w="60"/>
              <w:left w:type="dxa" w:w="100"/>
              <w:bottom w:type="dxa" w:w="60"/>
              <w:right w:type="dxa" w:w="100"/>
            </w:tcMar>
            <w:vAlign w:val="center"/>
          </w:tcPr>
          <w:p>
            <w:r>
              <w:rPr>
                <w:sz w:val="19"/>
                <w:szCs w:val="19"/>
              </w:rPr>
              <w:t xml:space="preserve">Civil finishes</w:t>
            </w:r>
          </w:p>
        </w:tc>
        <w:tc>
          <w:tcPr>
            <w:tcW w:type="dxa" w:w="4576"/>
            <w:shd w:fill="FFFFFF" w:color="auto" w:val="clear"/>
            <w:tcMar>
              <w:top w:type="dxa" w:w="60"/>
              <w:left w:type="dxa" w:w="100"/>
              <w:bottom w:type="dxa" w:w="60"/>
              <w:right w:type="dxa" w:w="100"/>
            </w:tcMar>
            <w:vAlign w:val="center"/>
          </w:tcPr>
          <w:p>
            <w:r>
              <w:rPr>
                <w:sz w:val="19"/>
                <w:szCs w:val="19"/>
              </w:rPr>
              <w:t xml:space="preserve">Tiling (per m², labor only)</w:t>
            </w:r>
          </w:p>
        </w:tc>
        <w:tc>
          <w:tcPr>
            <w:tcW w:type="dxa" w:w="2496"/>
            <w:shd w:fill="FFFFFF" w:color="auto" w:val="clear"/>
            <w:tcMar>
              <w:top w:type="dxa" w:w="60"/>
              <w:left w:type="dxa" w:w="100"/>
              <w:bottom w:type="dxa" w:w="60"/>
              <w:right w:type="dxa" w:w="100"/>
            </w:tcMar>
            <w:vAlign w:val="center"/>
          </w:tcPr>
          <w:p>
            <w:r>
              <w:rPr>
                <w:sz w:val="19"/>
                <w:szCs w:val="19"/>
              </w:rPr>
              <w:t xml:space="preserve">40–90</w:t>
            </w:r>
          </w:p>
        </w:tc>
      </w:tr>
    </w:tbl>
    <w:p>
      <w:pPr>
        <w:pBdr>
          <w:left w:val="single" w:color="9DC3E6" w:sz="12" w:space="8"/>
        </w:pBdr>
        <w:spacing w:after="200" w:before="100"/>
        <w:ind w:left="200"/>
      </w:pPr>
      <w:r>
        <w:rPr>
          <w:i/>
          <w:iCs/>
          <w:color w:val="595959"/>
          <w:sz w:val="20"/>
          <w:szCs w:val="20"/>
        </w:rPr>
        <w:t xml:space="preserve">Indicative Saudi market ranges for budgeting purposes only — validate with real contractor quotes before publishing any price list to customers.</w:t>
      </w:r>
    </w:p>
    <w:p>
      <w:pPr>
        <w:spacing w:after="160"/>
        <w:jc w:val="left"/>
      </w:pPr>
      <w:r>
        <w:rPr>
          <w:b/>
          <w:bCs/>
        </w:rPr>
        <w:t xml:space="preserve">Worked example: </w:t>
      </w:r>
      <w:r>
        <w:t xml:space="preserve">a SAR 350 socket-and-breaker job: customer pays SAR 370 (350 + SAR 20 booking fee). We keep SAR 63 commission (18%) + the SAR 20 fee = SAR 83; the contractor receives SAR 287.</w:t>
      </w:r>
    </w:p>
    <w:p>
      <w:pPr>
        <w:pStyle w:val="Heading2"/>
        <w:spacing w:after="120" w:before="260"/>
      </w:pPr>
      <w:r>
        <w:t xml:space="preserve">Illustrative path to break-even (Year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1"/>
        <w:gridCol w:w="2042"/>
        <w:gridCol w:w="1361"/>
        <w:gridCol w:w="1702"/>
        <w:gridCol w:w="1702"/>
        <w:gridCol w:w="1702"/>
      </w:tblGrid>
      <w:tr>
        <w:trPr>
          <w:tblHeader/>
        </w:trPr>
        <w:tc>
          <w:tcPr>
            <w:tcW w:type="dxa" w:w="851"/>
            <w:shd w:fill="1F3864" w:color="auto" w:val="clear"/>
            <w:tcMar>
              <w:top w:type="dxa" w:w="80"/>
              <w:left w:type="dxa" w:w="100"/>
              <w:bottom w:type="dxa" w:w="80"/>
              <w:right w:type="dxa" w:w="100"/>
            </w:tcMar>
            <w:vAlign w:val="center"/>
          </w:tcPr>
          <w:p>
            <w:r>
              <w:rPr>
                <w:b/>
                <w:bCs/>
                <w:color w:val="FFFFFF"/>
                <w:sz w:val="20"/>
                <w:szCs w:val="20"/>
              </w:rPr>
              <w:t xml:space="preserve">Month</w:t>
            </w:r>
          </w:p>
        </w:tc>
        <w:tc>
          <w:tcPr>
            <w:tcW w:type="dxa" w:w="2042"/>
            <w:shd w:fill="1F3864" w:color="auto" w:val="clear"/>
            <w:tcMar>
              <w:top w:type="dxa" w:w="80"/>
              <w:left w:type="dxa" w:w="100"/>
              <w:bottom w:type="dxa" w:w="80"/>
              <w:right w:type="dxa" w:w="100"/>
            </w:tcMar>
            <w:vAlign w:val="center"/>
          </w:tcPr>
          <w:p>
            <w:r>
              <w:rPr>
                <w:b/>
                <w:bCs/>
                <w:color w:val="FFFFFF"/>
                <w:sz w:val="20"/>
                <w:szCs w:val="20"/>
              </w:rPr>
              <w:t xml:space="preserve">City coverage</w:t>
            </w:r>
          </w:p>
        </w:tc>
        <w:tc>
          <w:tcPr>
            <w:tcW w:type="dxa" w:w="1361"/>
            <w:shd w:fill="1F3864" w:color="auto" w:val="clear"/>
            <w:tcMar>
              <w:top w:type="dxa" w:w="80"/>
              <w:left w:type="dxa" w:w="100"/>
              <w:bottom w:type="dxa" w:w="80"/>
              <w:right w:type="dxa" w:w="100"/>
            </w:tcMar>
            <w:vAlign w:val="center"/>
          </w:tcPr>
          <w:p>
            <w:r>
              <w:rPr>
                <w:b/>
                <w:bCs/>
                <w:color w:val="FFFFFF"/>
                <w:sz w:val="20"/>
                <w:szCs w:val="20"/>
              </w:rPr>
              <w:t xml:space="preserve">Est. jobs/mo</w:t>
            </w:r>
          </w:p>
        </w:tc>
        <w:tc>
          <w:tcPr>
            <w:tcW w:type="dxa" w:w="1702"/>
            <w:shd w:fill="1F3864" w:color="auto" w:val="clear"/>
            <w:tcMar>
              <w:top w:type="dxa" w:w="80"/>
              <w:left w:type="dxa" w:w="100"/>
              <w:bottom w:type="dxa" w:w="80"/>
              <w:right w:type="dxa" w:w="100"/>
            </w:tcMar>
            <w:vAlign w:val="center"/>
          </w:tcPr>
          <w:p>
            <w:r>
              <w:rPr>
                <w:b/>
                <w:bCs/>
                <w:color w:val="FFFFFF"/>
                <w:sz w:val="20"/>
                <w:szCs w:val="20"/>
              </w:rPr>
              <w:t xml:space="preserve">Net revenue (SAR)</w:t>
            </w:r>
          </w:p>
        </w:tc>
        <w:tc>
          <w:tcPr>
            <w:tcW w:type="dxa" w:w="1702"/>
            <w:shd w:fill="1F3864" w:color="auto" w:val="clear"/>
            <w:tcMar>
              <w:top w:type="dxa" w:w="80"/>
              <w:left w:type="dxa" w:w="100"/>
              <w:bottom w:type="dxa" w:w="80"/>
              <w:right w:type="dxa" w:w="100"/>
            </w:tcMar>
            <w:vAlign w:val="center"/>
          </w:tcPr>
          <w:p>
            <w:r>
              <w:rPr>
                <w:b/>
                <w:bCs/>
                <w:color w:val="FFFFFF"/>
                <w:sz w:val="20"/>
                <w:szCs w:val="20"/>
              </w:rPr>
              <w:t xml:space="preserve">Running cost (SAR)</w:t>
            </w:r>
          </w:p>
        </w:tc>
        <w:tc>
          <w:tcPr>
            <w:tcW w:type="dxa" w:w="1702"/>
            <w:shd w:fill="1F3864" w:color="auto" w:val="clear"/>
            <w:tcMar>
              <w:top w:type="dxa" w:w="80"/>
              <w:left w:type="dxa" w:w="100"/>
              <w:bottom w:type="dxa" w:w="80"/>
              <w:right w:type="dxa" w:w="100"/>
            </w:tcMar>
            <w:vAlign w:val="center"/>
          </w:tcPr>
          <w:p>
            <w:r>
              <w:rPr>
                <w:b/>
                <w:bCs/>
                <w:color w:val="FFFFFF"/>
                <w:sz w:val="20"/>
                <w:szCs w:val="20"/>
              </w:rPr>
              <w:t xml:space="preserve">Gap (SAR)</w:t>
            </w:r>
          </w:p>
        </w:tc>
      </w:tr>
      <w:tr>
        <w:tc>
          <w:tcPr>
            <w:tcW w:type="dxa" w:w="851"/>
            <w:shd w:fill="FFFFFF" w:color="auto" w:val="clear"/>
            <w:tcMar>
              <w:top w:type="dxa" w:w="60"/>
              <w:left w:type="dxa" w:w="100"/>
              <w:bottom w:type="dxa" w:w="60"/>
              <w:right w:type="dxa" w:w="100"/>
            </w:tcMar>
            <w:vAlign w:val="center"/>
          </w:tcPr>
          <w:p>
            <w:r>
              <w:rPr>
                <w:sz w:val="19"/>
                <w:szCs w:val="19"/>
              </w:rPr>
              <w:t xml:space="preserve">3</w:t>
            </w:r>
          </w:p>
        </w:tc>
        <w:tc>
          <w:tcPr>
            <w:tcW w:type="dxa" w:w="2042"/>
            <w:shd w:fill="FFFFFF" w:color="auto" w:val="clear"/>
            <w:tcMar>
              <w:top w:type="dxa" w:w="60"/>
              <w:left w:type="dxa" w:w="100"/>
              <w:bottom w:type="dxa" w:w="60"/>
              <w:right w:type="dxa" w:w="100"/>
            </w:tcMar>
            <w:vAlign w:val="center"/>
          </w:tcPr>
          <w:p>
            <w:r>
              <w:rPr>
                <w:sz w:val="19"/>
                <w:szCs w:val="19"/>
              </w:rPr>
              <w:t xml:space="preserve">Jeddah soft launch</w:t>
            </w:r>
          </w:p>
        </w:tc>
        <w:tc>
          <w:tcPr>
            <w:tcW w:type="dxa" w:w="1361"/>
            <w:shd w:fill="FFFFFF" w:color="auto" w:val="clear"/>
            <w:tcMar>
              <w:top w:type="dxa" w:w="60"/>
              <w:left w:type="dxa" w:w="100"/>
              <w:bottom w:type="dxa" w:w="60"/>
              <w:right w:type="dxa" w:w="100"/>
            </w:tcMar>
            <w:vAlign w:val="center"/>
          </w:tcPr>
          <w:p>
            <w:r>
              <w:rPr>
                <w:sz w:val="19"/>
                <w:szCs w:val="19"/>
              </w:rPr>
              <w:t xml:space="preserve">50</w:t>
            </w:r>
          </w:p>
        </w:tc>
        <w:tc>
          <w:tcPr>
            <w:tcW w:type="dxa" w:w="1702"/>
            <w:shd w:fill="FFFFFF" w:color="auto" w:val="clear"/>
            <w:tcMar>
              <w:top w:type="dxa" w:w="60"/>
              <w:left w:type="dxa" w:w="100"/>
              <w:bottom w:type="dxa" w:w="60"/>
              <w:right w:type="dxa" w:w="100"/>
            </w:tcMar>
            <w:vAlign w:val="center"/>
          </w:tcPr>
          <w:p>
            <w:r>
              <w:rPr>
                <w:sz w:val="19"/>
                <w:szCs w:val="19"/>
              </w:rPr>
              <w:t xml:space="preserve">~4,150</w:t>
            </w:r>
          </w:p>
        </w:tc>
        <w:tc>
          <w:tcPr>
            <w:tcW w:type="dxa" w:w="1702"/>
            <w:shd w:fill="FFFFFF" w:color="auto" w:val="clear"/>
            <w:tcMar>
              <w:top w:type="dxa" w:w="60"/>
              <w:left w:type="dxa" w:w="100"/>
              <w:bottom w:type="dxa" w:w="60"/>
              <w:right w:type="dxa" w:w="100"/>
            </w:tcMar>
            <w:vAlign w:val="center"/>
          </w:tcPr>
          <w:p>
            <w:r>
              <w:rPr>
                <w:sz w:val="19"/>
                <w:szCs w:val="19"/>
              </w:rPr>
              <w:t xml:space="preserve">72,000</w:t>
            </w:r>
          </w:p>
        </w:tc>
        <w:tc>
          <w:tcPr>
            <w:tcW w:type="dxa" w:w="1702"/>
            <w:shd w:fill="FFFFFF" w:color="auto" w:val="clear"/>
            <w:tcMar>
              <w:top w:type="dxa" w:w="60"/>
              <w:left w:type="dxa" w:w="100"/>
              <w:bottom w:type="dxa" w:w="60"/>
              <w:right w:type="dxa" w:w="100"/>
            </w:tcMar>
            <w:vAlign w:val="center"/>
          </w:tcPr>
          <w:p>
            <w:r>
              <w:rPr>
                <w:sz w:val="19"/>
                <w:szCs w:val="19"/>
              </w:rPr>
              <w:t xml:space="preserve">-67,850</w:t>
            </w:r>
          </w:p>
        </w:tc>
      </w:tr>
      <w:tr>
        <w:tc>
          <w:tcPr>
            <w:tcW w:type="dxa" w:w="851"/>
            <w:shd w:fill="DCE6F1" w:color="auto" w:val="clear"/>
            <w:tcMar>
              <w:top w:type="dxa" w:w="60"/>
              <w:left w:type="dxa" w:w="100"/>
              <w:bottom w:type="dxa" w:w="60"/>
              <w:right w:type="dxa" w:w="100"/>
            </w:tcMar>
            <w:vAlign w:val="center"/>
          </w:tcPr>
          <w:p>
            <w:r>
              <w:rPr>
                <w:sz w:val="19"/>
                <w:szCs w:val="19"/>
              </w:rPr>
              <w:t xml:space="preserve">6</w:t>
            </w:r>
          </w:p>
        </w:tc>
        <w:tc>
          <w:tcPr>
            <w:tcW w:type="dxa" w:w="2042"/>
            <w:shd w:fill="DCE6F1" w:color="auto" w:val="clear"/>
            <w:tcMar>
              <w:top w:type="dxa" w:w="60"/>
              <w:left w:type="dxa" w:w="100"/>
              <w:bottom w:type="dxa" w:w="60"/>
              <w:right w:type="dxa" w:w="100"/>
            </w:tcMar>
            <w:vAlign w:val="center"/>
          </w:tcPr>
          <w:p>
            <w:r>
              <w:rPr>
                <w:sz w:val="19"/>
                <w:szCs w:val="19"/>
              </w:rPr>
              <w:t xml:space="preserve">Jeddah ramping</w:t>
            </w:r>
          </w:p>
        </w:tc>
        <w:tc>
          <w:tcPr>
            <w:tcW w:type="dxa" w:w="1361"/>
            <w:shd w:fill="DCE6F1" w:color="auto" w:val="clear"/>
            <w:tcMar>
              <w:top w:type="dxa" w:w="60"/>
              <w:left w:type="dxa" w:w="100"/>
              <w:bottom w:type="dxa" w:w="60"/>
              <w:right w:type="dxa" w:w="100"/>
            </w:tcMar>
            <w:vAlign w:val="center"/>
          </w:tcPr>
          <w:p>
            <w:r>
              <w:rPr>
                <w:sz w:val="19"/>
                <w:szCs w:val="19"/>
              </w:rPr>
              <w:t xml:space="preserve">500</w:t>
            </w:r>
          </w:p>
        </w:tc>
        <w:tc>
          <w:tcPr>
            <w:tcW w:type="dxa" w:w="1702"/>
            <w:shd w:fill="DCE6F1" w:color="auto" w:val="clear"/>
            <w:tcMar>
              <w:top w:type="dxa" w:w="60"/>
              <w:left w:type="dxa" w:w="100"/>
              <w:bottom w:type="dxa" w:w="60"/>
              <w:right w:type="dxa" w:w="100"/>
            </w:tcMar>
            <w:vAlign w:val="center"/>
          </w:tcPr>
          <w:p>
            <w:r>
              <w:rPr>
                <w:sz w:val="19"/>
                <w:szCs w:val="19"/>
              </w:rPr>
              <w:t xml:space="preserve">~41,500</w:t>
            </w:r>
          </w:p>
        </w:tc>
        <w:tc>
          <w:tcPr>
            <w:tcW w:type="dxa" w:w="1702"/>
            <w:shd w:fill="DCE6F1" w:color="auto" w:val="clear"/>
            <w:tcMar>
              <w:top w:type="dxa" w:w="60"/>
              <w:left w:type="dxa" w:w="100"/>
              <w:bottom w:type="dxa" w:w="60"/>
              <w:right w:type="dxa" w:w="100"/>
            </w:tcMar>
            <w:vAlign w:val="center"/>
          </w:tcPr>
          <w:p>
            <w:r>
              <w:rPr>
                <w:sz w:val="19"/>
                <w:szCs w:val="19"/>
              </w:rPr>
              <w:t xml:space="preserve">98,000</w:t>
            </w:r>
          </w:p>
        </w:tc>
        <w:tc>
          <w:tcPr>
            <w:tcW w:type="dxa" w:w="1702"/>
            <w:shd w:fill="DCE6F1" w:color="auto" w:val="clear"/>
            <w:tcMar>
              <w:top w:type="dxa" w:w="60"/>
              <w:left w:type="dxa" w:w="100"/>
              <w:bottom w:type="dxa" w:w="60"/>
              <w:right w:type="dxa" w:w="100"/>
            </w:tcMar>
            <w:vAlign w:val="center"/>
          </w:tcPr>
          <w:p>
            <w:r>
              <w:rPr>
                <w:sz w:val="19"/>
                <w:szCs w:val="19"/>
              </w:rPr>
              <w:t xml:space="preserve">-56,500</w:t>
            </w:r>
          </w:p>
        </w:tc>
      </w:tr>
      <w:tr>
        <w:tc>
          <w:tcPr>
            <w:tcW w:type="dxa" w:w="851"/>
            <w:shd w:fill="FFFFFF" w:color="auto" w:val="clear"/>
            <w:tcMar>
              <w:top w:type="dxa" w:w="60"/>
              <w:left w:type="dxa" w:w="100"/>
              <w:bottom w:type="dxa" w:w="60"/>
              <w:right w:type="dxa" w:w="100"/>
            </w:tcMar>
            <w:vAlign w:val="center"/>
          </w:tcPr>
          <w:p>
            <w:r>
              <w:rPr>
                <w:sz w:val="19"/>
                <w:szCs w:val="19"/>
              </w:rPr>
              <w:t xml:space="preserve">9</w:t>
            </w:r>
          </w:p>
        </w:tc>
        <w:tc>
          <w:tcPr>
            <w:tcW w:type="dxa" w:w="2042"/>
            <w:shd w:fill="FFFFFF" w:color="auto" w:val="clear"/>
            <w:tcMar>
              <w:top w:type="dxa" w:w="60"/>
              <w:left w:type="dxa" w:w="100"/>
              <w:bottom w:type="dxa" w:w="60"/>
              <w:right w:type="dxa" w:w="100"/>
            </w:tcMar>
            <w:vAlign w:val="center"/>
          </w:tcPr>
          <w:p>
            <w:r>
              <w:rPr>
                <w:sz w:val="19"/>
                <w:szCs w:val="19"/>
              </w:rPr>
              <w:t xml:space="preserve">+ Riyadh</w:t>
            </w:r>
          </w:p>
        </w:tc>
        <w:tc>
          <w:tcPr>
            <w:tcW w:type="dxa" w:w="1361"/>
            <w:shd w:fill="FFFFFF" w:color="auto" w:val="clear"/>
            <w:tcMar>
              <w:top w:type="dxa" w:w="60"/>
              <w:left w:type="dxa" w:w="100"/>
              <w:bottom w:type="dxa" w:w="60"/>
              <w:right w:type="dxa" w:w="100"/>
            </w:tcMar>
            <w:vAlign w:val="center"/>
          </w:tcPr>
          <w:p>
            <w:r>
              <w:rPr>
                <w:sz w:val="19"/>
                <w:szCs w:val="19"/>
              </w:rPr>
              <w:t xml:space="preserve">1,400</w:t>
            </w:r>
          </w:p>
        </w:tc>
        <w:tc>
          <w:tcPr>
            <w:tcW w:type="dxa" w:w="1702"/>
            <w:shd w:fill="FFFFFF" w:color="auto" w:val="clear"/>
            <w:tcMar>
              <w:top w:type="dxa" w:w="60"/>
              <w:left w:type="dxa" w:w="100"/>
              <w:bottom w:type="dxa" w:w="60"/>
              <w:right w:type="dxa" w:w="100"/>
            </w:tcMar>
            <w:vAlign w:val="center"/>
          </w:tcPr>
          <w:p>
            <w:r>
              <w:rPr>
                <w:sz w:val="19"/>
                <w:szCs w:val="19"/>
              </w:rPr>
              <w:t xml:space="preserve">~116,200</w:t>
            </w:r>
          </w:p>
        </w:tc>
        <w:tc>
          <w:tcPr>
            <w:tcW w:type="dxa" w:w="1702"/>
            <w:shd w:fill="FFFFFF" w:color="auto" w:val="clear"/>
            <w:tcMar>
              <w:top w:type="dxa" w:w="60"/>
              <w:left w:type="dxa" w:w="100"/>
              <w:bottom w:type="dxa" w:w="60"/>
              <w:right w:type="dxa" w:w="100"/>
            </w:tcMar>
            <w:vAlign w:val="center"/>
          </w:tcPr>
          <w:p>
            <w:r>
              <w:rPr>
                <w:sz w:val="19"/>
                <w:szCs w:val="19"/>
              </w:rPr>
              <w:t xml:space="preserve">137,000</w:t>
            </w:r>
          </w:p>
        </w:tc>
        <w:tc>
          <w:tcPr>
            <w:tcW w:type="dxa" w:w="1702"/>
            <w:shd w:fill="FFFFFF" w:color="auto" w:val="clear"/>
            <w:tcMar>
              <w:top w:type="dxa" w:w="60"/>
              <w:left w:type="dxa" w:w="100"/>
              <w:bottom w:type="dxa" w:w="60"/>
              <w:right w:type="dxa" w:w="100"/>
            </w:tcMar>
            <w:vAlign w:val="center"/>
          </w:tcPr>
          <w:p>
            <w:r>
              <w:rPr>
                <w:sz w:val="19"/>
                <w:szCs w:val="19"/>
              </w:rPr>
              <w:t xml:space="preserve">-20,800</w:t>
            </w:r>
          </w:p>
        </w:tc>
      </w:tr>
      <w:tr>
        <w:tc>
          <w:tcPr>
            <w:tcW w:type="dxa" w:w="851"/>
            <w:shd w:fill="DCE6F1" w:color="auto" w:val="clear"/>
            <w:tcMar>
              <w:top w:type="dxa" w:w="60"/>
              <w:left w:type="dxa" w:w="100"/>
              <w:bottom w:type="dxa" w:w="60"/>
              <w:right w:type="dxa" w:w="100"/>
            </w:tcMar>
            <w:vAlign w:val="center"/>
          </w:tcPr>
          <w:p>
            <w:r>
              <w:rPr>
                <w:sz w:val="19"/>
                <w:szCs w:val="19"/>
              </w:rPr>
              <w:t xml:space="preserve">12</w:t>
            </w:r>
          </w:p>
        </w:tc>
        <w:tc>
          <w:tcPr>
            <w:tcW w:type="dxa" w:w="2042"/>
            <w:shd w:fill="DCE6F1" w:color="auto" w:val="clear"/>
            <w:tcMar>
              <w:top w:type="dxa" w:w="60"/>
              <w:left w:type="dxa" w:w="100"/>
              <w:bottom w:type="dxa" w:w="60"/>
              <w:right w:type="dxa" w:w="100"/>
            </w:tcMar>
            <w:vAlign w:val="center"/>
          </w:tcPr>
          <w:p>
            <w:r>
              <w:rPr>
                <w:sz w:val="19"/>
                <w:szCs w:val="19"/>
              </w:rPr>
              <w:t xml:space="preserve">+ Dammam</w:t>
            </w:r>
          </w:p>
        </w:tc>
        <w:tc>
          <w:tcPr>
            <w:tcW w:type="dxa" w:w="1361"/>
            <w:shd w:fill="DCE6F1" w:color="auto" w:val="clear"/>
            <w:tcMar>
              <w:top w:type="dxa" w:w="60"/>
              <w:left w:type="dxa" w:w="100"/>
              <w:bottom w:type="dxa" w:w="60"/>
              <w:right w:type="dxa" w:w="100"/>
            </w:tcMar>
            <w:vAlign w:val="center"/>
          </w:tcPr>
          <w:p>
            <w:r>
              <w:rPr>
                <w:sz w:val="19"/>
                <w:szCs w:val="19"/>
              </w:rPr>
              <w:t xml:space="preserve">2,800</w:t>
            </w:r>
          </w:p>
        </w:tc>
        <w:tc>
          <w:tcPr>
            <w:tcW w:type="dxa" w:w="1702"/>
            <w:shd w:fill="DCE6F1" w:color="auto" w:val="clear"/>
            <w:tcMar>
              <w:top w:type="dxa" w:w="60"/>
              <w:left w:type="dxa" w:w="100"/>
              <w:bottom w:type="dxa" w:w="60"/>
              <w:right w:type="dxa" w:w="100"/>
            </w:tcMar>
            <w:vAlign w:val="center"/>
          </w:tcPr>
          <w:p>
            <w:r>
              <w:rPr>
                <w:sz w:val="19"/>
                <w:szCs w:val="19"/>
              </w:rPr>
              <w:t xml:space="preserve">~232,400</w:t>
            </w:r>
          </w:p>
        </w:tc>
        <w:tc>
          <w:tcPr>
            <w:tcW w:type="dxa" w:w="1702"/>
            <w:shd w:fill="DCE6F1" w:color="auto" w:val="clear"/>
            <w:tcMar>
              <w:top w:type="dxa" w:w="60"/>
              <w:left w:type="dxa" w:w="100"/>
              <w:bottom w:type="dxa" w:w="60"/>
              <w:right w:type="dxa" w:w="100"/>
            </w:tcMar>
            <w:vAlign w:val="center"/>
          </w:tcPr>
          <w:p>
            <w:r>
              <w:rPr>
                <w:sz w:val="19"/>
                <w:szCs w:val="19"/>
              </w:rPr>
              <w:t xml:space="preserve">171,000</w:t>
            </w:r>
          </w:p>
        </w:tc>
        <w:tc>
          <w:tcPr>
            <w:tcW w:type="dxa" w:w="1702"/>
            <w:shd w:fill="DCE6F1" w:color="auto" w:val="clear"/>
            <w:tcMar>
              <w:top w:type="dxa" w:w="60"/>
              <w:left w:type="dxa" w:w="100"/>
              <w:bottom w:type="dxa" w:w="60"/>
              <w:right w:type="dxa" w:w="100"/>
            </w:tcMar>
            <w:vAlign w:val="center"/>
          </w:tcPr>
          <w:p>
            <w:r>
              <w:rPr>
                <w:sz w:val="19"/>
                <w:szCs w:val="19"/>
              </w:rPr>
              <w:t xml:space="preserve">+61,400</w:t>
            </w:r>
          </w:p>
        </w:tc>
      </w:tr>
    </w:tbl>
    <w:p>
      <w:pPr>
        <w:spacing w:after="160"/>
        <w:jc w:val="left"/>
      </w:pPr>
      <w:r>
        <w:t xml:space="preserve">Monthly operating break-even lands around month 10–12 on this illustrative model, with subscription revenue (not modeled above) providing further upside. Full payback of the initial capital — recovering the ~SAR 550,000–650,000 one-time build cost plus the operating losses incurred while ramping — realistically lands around month 18–24.</w:t>
      </w:r>
    </w:p>
    <w:p>
      <w:pPr>
        <w:pStyle w:val="Heading2"/>
        <w:spacing w:after="120" w:before="260"/>
      </w:pPr>
      <w:r>
        <w:t xml:space="preserve">Financing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5"/>
        <w:gridCol w:w="3866"/>
        <w:gridCol w:w="2849"/>
      </w:tblGrid>
      <w:tr>
        <w:trPr>
          <w:tblHeader/>
        </w:trPr>
        <w:tc>
          <w:tcPr>
            <w:tcW w:type="dxa" w:w="2645"/>
            <w:shd w:fill="1F3864" w:color="auto" w:val="clear"/>
            <w:tcMar>
              <w:top w:type="dxa" w:w="80"/>
              <w:left w:type="dxa" w:w="100"/>
              <w:bottom w:type="dxa" w:w="80"/>
              <w:right w:type="dxa" w:w="100"/>
            </w:tcMar>
            <w:vAlign w:val="center"/>
          </w:tcPr>
          <w:p>
            <w:r>
              <w:rPr>
                <w:b/>
                <w:bCs/>
                <w:color w:val="FFFFFF"/>
                <w:sz w:val="20"/>
                <w:szCs w:val="20"/>
              </w:rPr>
              <w:t xml:space="preserve">Option</w:t>
            </w:r>
          </w:p>
        </w:tc>
        <w:tc>
          <w:tcPr>
            <w:tcW w:type="dxa" w:w="3866"/>
            <w:shd w:fill="1F3864" w:color="auto" w:val="clear"/>
            <w:tcMar>
              <w:top w:type="dxa" w:w="80"/>
              <w:left w:type="dxa" w:w="100"/>
              <w:bottom w:type="dxa" w:w="80"/>
              <w:right w:type="dxa" w:w="100"/>
            </w:tcMar>
            <w:vAlign w:val="center"/>
          </w:tcPr>
          <w:p>
            <w:r>
              <w:rPr>
                <w:b/>
                <w:bCs/>
                <w:color w:val="FFFFFF"/>
                <w:sz w:val="20"/>
                <w:szCs w:val="20"/>
              </w:rPr>
              <w:t xml:space="preserve">What it is</w:t>
            </w:r>
          </w:p>
        </w:tc>
        <w:tc>
          <w:tcPr>
            <w:tcW w:type="dxa" w:w="2849"/>
            <w:shd w:fill="1F3864" w:color="auto" w:val="clear"/>
            <w:tcMar>
              <w:top w:type="dxa" w:w="80"/>
              <w:left w:type="dxa" w:w="100"/>
              <w:bottom w:type="dxa" w:w="80"/>
              <w:right w:type="dxa" w:w="100"/>
            </w:tcMar>
            <w:vAlign w:val="center"/>
          </w:tcPr>
          <w:p>
            <w:r>
              <w:rPr>
                <w:b/>
                <w:bCs/>
                <w:color w:val="FFFFFF"/>
                <w:sz w:val="20"/>
                <w:szCs w:val="20"/>
              </w:rPr>
              <w:t xml:space="preserve">Fit</w:t>
            </w:r>
          </w:p>
        </w:tc>
      </w:tr>
      <w:tr>
        <w:tc>
          <w:tcPr>
            <w:tcW w:type="dxa" w:w="2645"/>
            <w:shd w:fill="FFFFFF" w:color="auto" w:val="clear"/>
            <w:tcMar>
              <w:top w:type="dxa" w:w="60"/>
              <w:left w:type="dxa" w:w="100"/>
              <w:bottom w:type="dxa" w:w="60"/>
              <w:right w:type="dxa" w:w="100"/>
            </w:tcMar>
            <w:vAlign w:val="center"/>
          </w:tcPr>
          <w:p>
            <w:r>
              <w:rPr>
                <w:sz w:val="19"/>
                <w:szCs w:val="19"/>
              </w:rPr>
              <w:t xml:space="preserve">Self-funded</w:t>
            </w:r>
          </w:p>
        </w:tc>
        <w:tc>
          <w:tcPr>
            <w:tcW w:type="dxa" w:w="3866"/>
            <w:shd w:fill="FFFFFF" w:color="auto" w:val="clear"/>
            <w:tcMar>
              <w:top w:type="dxa" w:w="60"/>
              <w:left w:type="dxa" w:w="100"/>
              <w:bottom w:type="dxa" w:w="60"/>
              <w:right w:type="dxa" w:w="100"/>
            </w:tcMar>
            <w:vAlign w:val="center"/>
          </w:tcPr>
          <w:p>
            <w:r>
              <w:rPr>
                <w:sz w:val="19"/>
                <w:szCs w:val="19"/>
              </w:rPr>
              <w:t xml:space="preserve">Founder capital</w:t>
            </w:r>
          </w:p>
        </w:tc>
        <w:tc>
          <w:tcPr>
            <w:tcW w:type="dxa" w:w="2849"/>
            <w:shd w:fill="FFFFFF" w:color="auto" w:val="clear"/>
            <w:tcMar>
              <w:top w:type="dxa" w:w="60"/>
              <w:left w:type="dxa" w:w="100"/>
              <w:bottom w:type="dxa" w:w="60"/>
              <w:right w:type="dxa" w:w="100"/>
            </w:tcMar>
            <w:vAlign w:val="center"/>
          </w:tcPr>
          <w:p>
            <w:r>
              <w:rPr>
                <w:sz w:val="19"/>
                <w:szCs w:val="19"/>
              </w:rPr>
              <w:t xml:space="preserve">Best for Stage 0 specifically — keeps early equity clean</w:t>
            </w:r>
          </w:p>
        </w:tc>
      </w:tr>
      <w:tr>
        <w:tc>
          <w:tcPr>
            <w:tcW w:type="dxa" w:w="2645"/>
            <w:shd w:fill="DCE6F1" w:color="auto" w:val="clear"/>
            <w:tcMar>
              <w:top w:type="dxa" w:w="60"/>
              <w:left w:type="dxa" w:w="100"/>
              <w:bottom w:type="dxa" w:w="60"/>
              <w:right w:type="dxa" w:w="100"/>
            </w:tcMar>
            <w:vAlign w:val="center"/>
          </w:tcPr>
          <w:p>
            <w:r>
              <w:rPr>
                <w:sz w:val="19"/>
                <w:szCs w:val="19"/>
              </w:rPr>
              <w:t xml:space="preserve">Angel/seed investment</w:t>
            </w:r>
          </w:p>
        </w:tc>
        <w:tc>
          <w:tcPr>
            <w:tcW w:type="dxa" w:w="3866"/>
            <w:shd w:fill="DCE6F1" w:color="auto" w:val="clear"/>
            <w:tcMar>
              <w:top w:type="dxa" w:w="60"/>
              <w:left w:type="dxa" w:w="100"/>
              <w:bottom w:type="dxa" w:w="60"/>
              <w:right w:type="dxa" w:w="100"/>
            </w:tcMar>
            <w:vAlign w:val="center"/>
          </w:tcPr>
          <w:p>
            <w:r>
              <w:rPr>
                <w:sz w:val="19"/>
                <w:szCs w:val="19"/>
              </w:rPr>
              <w:t xml:space="preserve">External investors take equity</w:t>
            </w:r>
          </w:p>
        </w:tc>
        <w:tc>
          <w:tcPr>
            <w:tcW w:type="dxa" w:w="2849"/>
            <w:shd w:fill="DCE6F1" w:color="auto" w:val="clear"/>
            <w:tcMar>
              <w:top w:type="dxa" w:w="60"/>
              <w:left w:type="dxa" w:w="100"/>
              <w:bottom w:type="dxa" w:w="60"/>
              <w:right w:type="dxa" w:w="100"/>
            </w:tcMar>
            <w:vAlign w:val="center"/>
          </w:tcPr>
          <w:p>
            <w:r>
              <w:rPr>
                <w:sz w:val="19"/>
                <w:szCs w:val="19"/>
              </w:rPr>
              <w:t xml:space="preserve">Natural fit for Stage 1, once Stage 0 has validation data</w:t>
            </w:r>
          </w:p>
        </w:tc>
      </w:tr>
      <w:tr>
        <w:tc>
          <w:tcPr>
            <w:tcW w:type="dxa" w:w="2645"/>
            <w:shd w:fill="FFFFFF" w:color="auto" w:val="clear"/>
            <w:tcMar>
              <w:top w:type="dxa" w:w="60"/>
              <w:left w:type="dxa" w:w="100"/>
              <w:bottom w:type="dxa" w:w="60"/>
              <w:right w:type="dxa" w:w="100"/>
            </w:tcMar>
            <w:vAlign w:val="center"/>
          </w:tcPr>
          <w:p>
            <w:r>
              <w:rPr>
                <w:sz w:val="19"/>
                <w:szCs w:val="19"/>
              </w:rPr>
              <w:t xml:space="preserve">Kafalah SME Loan Guarantee</w:t>
            </w:r>
          </w:p>
        </w:tc>
        <w:tc>
          <w:tcPr>
            <w:tcW w:type="dxa" w:w="3866"/>
            <w:shd w:fill="FFFFFF" w:color="auto" w:val="clear"/>
            <w:tcMar>
              <w:top w:type="dxa" w:w="60"/>
              <w:left w:type="dxa" w:w="100"/>
              <w:bottom w:type="dxa" w:w="60"/>
              <w:right w:type="dxa" w:w="100"/>
            </w:tcMar>
            <w:vAlign w:val="center"/>
          </w:tcPr>
          <w:p>
            <w:r>
              <w:rPr>
                <w:sz w:val="19"/>
                <w:szCs w:val="19"/>
              </w:rPr>
              <w:t xml:space="preserve">A Saudi government program (via Monsha’at) guaranteeing a portion of an SME bank loan</w:t>
            </w:r>
          </w:p>
        </w:tc>
        <w:tc>
          <w:tcPr>
            <w:tcW w:type="dxa" w:w="2849"/>
            <w:shd w:fill="FFFFFF" w:color="auto" w:val="clear"/>
            <w:tcMar>
              <w:top w:type="dxa" w:w="60"/>
              <w:left w:type="dxa" w:w="100"/>
              <w:bottom w:type="dxa" w:w="60"/>
              <w:right w:type="dxa" w:w="100"/>
            </w:tcMar>
            <w:vAlign w:val="center"/>
          </w:tcPr>
          <w:p>
            <w:r>
              <w:rPr>
                <w:sz w:val="19"/>
                <w:szCs w:val="19"/>
              </w:rPr>
              <w:t xml:space="preserve">Worth exploring for Stage 1 debt financing to reduce equity dilution</w:t>
            </w:r>
          </w:p>
        </w:tc>
      </w:tr>
      <w:tr>
        <w:tc>
          <w:tcPr>
            <w:tcW w:type="dxa" w:w="2645"/>
            <w:shd w:fill="DCE6F1" w:color="auto" w:val="clear"/>
            <w:tcMar>
              <w:top w:type="dxa" w:w="60"/>
              <w:left w:type="dxa" w:w="100"/>
              <w:bottom w:type="dxa" w:w="60"/>
              <w:right w:type="dxa" w:w="100"/>
            </w:tcMar>
            <w:vAlign w:val="center"/>
          </w:tcPr>
          <w:p>
            <w:r>
              <w:rPr>
                <w:sz w:val="19"/>
                <w:szCs w:val="19"/>
              </w:rPr>
              <w:t xml:space="preserve">Monsha’at broader SME support</w:t>
            </w:r>
          </w:p>
        </w:tc>
        <w:tc>
          <w:tcPr>
            <w:tcW w:type="dxa" w:w="3866"/>
            <w:shd w:fill="DCE6F1" w:color="auto" w:val="clear"/>
            <w:tcMar>
              <w:top w:type="dxa" w:w="60"/>
              <w:left w:type="dxa" w:w="100"/>
              <w:bottom w:type="dxa" w:w="60"/>
              <w:right w:type="dxa" w:w="100"/>
            </w:tcMar>
            <w:vAlign w:val="center"/>
          </w:tcPr>
          <w:p>
            <w:r>
              <w:rPr>
                <w:sz w:val="19"/>
                <w:szCs w:val="19"/>
              </w:rPr>
              <w:t xml:space="preserve">Training, mentorship, market-access programs</w:t>
            </w:r>
          </w:p>
        </w:tc>
        <w:tc>
          <w:tcPr>
            <w:tcW w:type="dxa" w:w="2849"/>
            <w:shd w:fill="DCE6F1" w:color="auto" w:val="clear"/>
            <w:tcMar>
              <w:top w:type="dxa" w:w="60"/>
              <w:left w:type="dxa" w:w="100"/>
              <w:bottom w:type="dxa" w:w="60"/>
              <w:right w:type="dxa" w:w="100"/>
            </w:tcMar>
            <w:vAlign w:val="center"/>
          </w:tcPr>
          <w:p>
            <w:r>
              <w:rPr>
                <w:sz w:val="19"/>
                <w:szCs w:val="19"/>
              </w:rPr>
              <w:t xml:space="preserve">Low-cost, high-value — engage early regardless of financing choice</w:t>
            </w:r>
          </w:p>
        </w:tc>
      </w:tr>
    </w:tbl>
    <w:p>
      <w:pPr>
        <w:pStyle w:val="Heading1"/>
        <w:pageBreakBefore/>
        <w:spacing w:after="200" w:before="400"/>
      </w:pPr>
      <w:r>
        <w:t xml:space="preserve">7. Partnership Framework</w:t>
      </w:r>
    </w:p>
    <w:p>
      <w:pPr>
        <w:spacing w:after="160"/>
        <w:jc w:val="left"/>
      </w:pPr>
      <w:r>
        <w:t xml:space="preserve">The entire supply side depends on getting this right. This section covers how to find, vet, sign, onboard, pay, and manage contractor partners, and what belongs in the partnership agreement — the agreement itself must be drafted/reviewed by a licensed Saudi lawyer.</w:t>
      </w:r>
    </w:p>
    <w:p>
      <w:pPr>
        <w:pStyle w:val="Heading2"/>
        <w:spacing w:after="120" w:before="260"/>
      </w:pPr>
      <w:r>
        <w:t xml:space="preserve">What kind of partner to look for</w:t>
      </w:r>
    </w:p>
    <w:p>
      <w:pPr>
        <w:spacing w:after="160"/>
        <w:jc w:val="left"/>
      </w:pPr>
      <w:r>
        <w:t xml:space="preserve">Target small-to-mid-size maintenance/trade companies that already have technicians stationed in the target cities, not individual freelancers. They already hold (or can readily hold) the correct municipal/Balady and, where relevant, Civil Defense and SCA licensing; they already carry or can obtain liability insurance; and they already manage technician payroll and supervision.</w:t>
      </w:r>
    </w:p>
    <w:p>
      <w:pPr>
        <w:pStyle w:val="Heading2"/>
        <w:spacing w:after="120" w:before="260"/>
      </w:pPr>
      <w:r>
        <w:t xml:space="preserve">The recruitment funnel</w:t>
      </w:r>
    </w:p>
    <w:p>
      <w:pPr>
        <w:pStyle w:val="ListParagraph"/>
        <w:numPr>
          <w:ilvl w:val="0"/>
          <w:numId w:val="2"/>
        </w:numPr>
        <w:spacing w:after="80"/>
      </w:pPr>
      <w:r>
        <w:t xml:space="preserve">Sourcing — direct outreach, industry associations, municipal contractor directories, and referrals from one good partner to another.</w:t>
      </w:r>
    </w:p>
    <w:p>
      <w:pPr>
        <w:pStyle w:val="ListParagraph"/>
        <w:numPr>
          <w:ilvl w:val="0"/>
          <w:numId w:val="2"/>
        </w:numPr>
        <w:spacing w:after="80"/>
      </w:pPr>
      <w:r>
        <w:t xml:space="preserve">Initial screening — trade focus, city coverage, technician count, years operating, willingness on the commission model.</w:t>
      </w:r>
    </w:p>
    <w:p>
      <w:pPr>
        <w:pStyle w:val="ListParagraph"/>
        <w:numPr>
          <w:ilvl w:val="0"/>
          <w:numId w:val="2"/>
        </w:numPr>
        <w:spacing w:after="80"/>
      </w:pPr>
      <w:r>
        <w:t xml:space="preserve">Document verification — live Commercial Registration (via Wathq), municipal/Balady trade license, Civil Defense approval where applicable, proof of liability insurance, GOSI registration.</w:t>
      </w:r>
    </w:p>
    <w:p>
      <w:pPr>
        <w:pStyle w:val="ListParagraph"/>
        <w:numPr>
          <w:ilvl w:val="0"/>
          <w:numId w:val="2"/>
        </w:numPr>
        <w:spacing w:after="80"/>
      </w:pPr>
      <w:r>
        <w:t xml:space="preserve">Sample work/reference check — 2–3 recent customer references, or an observed test job.</w:t>
      </w:r>
    </w:p>
    <w:p>
      <w:pPr>
        <w:pStyle w:val="ListParagraph"/>
        <w:numPr>
          <w:ilvl w:val="0"/>
          <w:numId w:val="2"/>
        </w:numPr>
        <w:spacing w:after="80"/>
      </w:pPr>
      <w:r>
        <w:t xml:space="preserve">Contract signing.</w:t>
      </w:r>
    </w:p>
    <w:p>
      <w:pPr>
        <w:pStyle w:val="ListParagraph"/>
        <w:numPr>
          <w:ilvl w:val="0"/>
          <w:numId w:val="2"/>
        </w:numPr>
        <w:spacing w:after="80"/>
      </w:pPr>
      <w:r>
        <w:t xml:space="preserve">Onboarding &amp; training — app/dispatch workflow, pricing bands, SLA expectations, dispute process.</w:t>
      </w:r>
    </w:p>
    <w:p>
      <w:pPr>
        <w:pStyle w:val="ListParagraph"/>
        <w:numPr>
          <w:ilvl w:val="0"/>
          <w:numId w:val="2"/>
        </w:numPr>
        <w:spacing w:after="80"/>
      </w:pPr>
      <w:r>
        <w:t xml:space="preserve">Probation period — first 30–60 days / first ~10–20 jobs on a shorter review cycle.</w:t>
      </w:r>
    </w:p>
    <w:p>
      <w:pPr>
        <w:pStyle w:val="Heading2"/>
        <w:spacing w:after="120" w:before="260"/>
      </w:pPr>
      <w:r>
        <w:t xml:space="preserve">What the partnership agreement needs to cover (brief for your lawyer)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4"/>
        <w:gridCol w:w="6656"/>
      </w:tblGrid>
      <w:tr>
        <w:trPr>
          <w:tblHeader/>
        </w:trPr>
        <w:tc>
          <w:tcPr>
            <w:tcW w:type="dxa" w:w="2704"/>
            <w:shd w:fill="1F3864" w:color="auto" w:val="clear"/>
            <w:tcMar>
              <w:top w:type="dxa" w:w="80"/>
              <w:left w:type="dxa" w:w="100"/>
              <w:bottom w:type="dxa" w:w="80"/>
              <w:right w:type="dxa" w:w="100"/>
            </w:tcMar>
            <w:vAlign w:val="center"/>
          </w:tcPr>
          <w:p>
            <w:r>
              <w:rPr>
                <w:b/>
                <w:bCs/>
                <w:color w:val="FFFFFF"/>
                <w:sz w:val="20"/>
                <w:szCs w:val="20"/>
              </w:rPr>
              <w:t xml:space="preserve">Section</w:t>
            </w:r>
          </w:p>
        </w:tc>
        <w:tc>
          <w:tcPr>
            <w:tcW w:type="dxa" w:w="6656"/>
            <w:shd w:fill="1F3864" w:color="auto" w:val="clear"/>
            <w:tcMar>
              <w:top w:type="dxa" w:w="80"/>
              <w:left w:type="dxa" w:w="100"/>
              <w:bottom w:type="dxa" w:w="80"/>
              <w:right w:type="dxa" w:w="100"/>
            </w:tcMar>
            <w:vAlign w:val="center"/>
          </w:tcPr>
          <w:p>
            <w:r>
              <w:rPr>
                <w:b/>
                <w:bCs/>
                <w:color w:val="FFFFFF"/>
                <w:sz w:val="20"/>
                <w:szCs w:val="20"/>
              </w:rPr>
              <w:t xml:space="preserve">What it should establish</w:t>
            </w:r>
          </w:p>
        </w:tc>
      </w:tr>
      <w:tr>
        <w:tc>
          <w:tcPr>
            <w:tcW w:type="dxa" w:w="2704"/>
            <w:shd w:fill="FFFFFF" w:color="auto" w:val="clear"/>
            <w:tcMar>
              <w:top w:type="dxa" w:w="60"/>
              <w:left w:type="dxa" w:w="100"/>
              <w:bottom w:type="dxa" w:w="60"/>
              <w:right w:type="dxa" w:w="100"/>
            </w:tcMar>
            <w:vAlign w:val="center"/>
          </w:tcPr>
          <w:p>
            <w:r>
              <w:rPr>
                <w:sz w:val="19"/>
                <w:szCs w:val="19"/>
              </w:rPr>
              <w:t xml:space="preserve">Parties &amp; term</w:t>
            </w:r>
          </w:p>
        </w:tc>
        <w:tc>
          <w:tcPr>
            <w:tcW w:type="dxa" w:w="6656"/>
            <w:shd w:fill="FFFFFF" w:color="auto" w:val="clear"/>
            <w:tcMar>
              <w:top w:type="dxa" w:w="60"/>
              <w:left w:type="dxa" w:w="100"/>
              <w:bottom w:type="dxa" w:w="60"/>
              <w:right w:type="dxa" w:w="100"/>
            </w:tcMar>
            <w:vAlign w:val="center"/>
          </w:tcPr>
          <w:p>
            <w:r>
              <w:rPr>
                <w:sz w:val="19"/>
                <w:szCs w:val="19"/>
              </w:rPr>
              <w:t xml:space="preserve">Duration, renewal, and fast “for cause” termination for safety violations or repeated poor performance</w:t>
            </w:r>
          </w:p>
        </w:tc>
      </w:tr>
      <w:tr>
        <w:tc>
          <w:tcPr>
            <w:tcW w:type="dxa" w:w="2704"/>
            <w:shd w:fill="DCE6F1" w:color="auto" w:val="clear"/>
            <w:tcMar>
              <w:top w:type="dxa" w:w="60"/>
              <w:left w:type="dxa" w:w="100"/>
              <w:bottom w:type="dxa" w:w="60"/>
              <w:right w:type="dxa" w:w="100"/>
            </w:tcMar>
            <w:vAlign w:val="center"/>
          </w:tcPr>
          <w:p>
            <w:r>
              <w:rPr>
                <w:sz w:val="19"/>
                <w:szCs w:val="19"/>
              </w:rPr>
              <w:t xml:space="preserve">Scope of work</w:t>
            </w:r>
          </w:p>
        </w:tc>
        <w:tc>
          <w:tcPr>
            <w:tcW w:type="dxa" w:w="6656"/>
            <w:shd w:fill="DCE6F1" w:color="auto" w:val="clear"/>
            <w:tcMar>
              <w:top w:type="dxa" w:w="60"/>
              <w:left w:type="dxa" w:w="100"/>
              <w:bottom w:type="dxa" w:w="60"/>
              <w:right w:type="dxa" w:w="100"/>
            </w:tcMar>
            <w:vAlign w:val="center"/>
          </w:tcPr>
          <w:p>
            <w:r>
              <w:rPr>
                <w:sz w:val="19"/>
                <w:szCs w:val="19"/>
              </w:rPr>
              <w:t xml:space="preserve">Which trades/services the contractor is approved to accept</w:t>
            </w:r>
          </w:p>
        </w:tc>
      </w:tr>
      <w:tr>
        <w:tc>
          <w:tcPr>
            <w:tcW w:type="dxa" w:w="2704"/>
            <w:shd w:fill="FFFFFF" w:color="auto" w:val="clear"/>
            <w:tcMar>
              <w:top w:type="dxa" w:w="60"/>
              <w:left w:type="dxa" w:w="100"/>
              <w:bottom w:type="dxa" w:w="60"/>
              <w:right w:type="dxa" w:w="100"/>
            </w:tcMar>
            <w:vAlign w:val="center"/>
          </w:tcPr>
          <w:p>
            <w:r>
              <w:rPr>
                <w:sz w:val="19"/>
                <w:szCs w:val="19"/>
              </w:rPr>
              <w:t xml:space="preserve">Commission &amp; payment terms</w:t>
            </w:r>
          </w:p>
        </w:tc>
        <w:tc>
          <w:tcPr>
            <w:tcW w:type="dxa" w:w="6656"/>
            <w:shd w:fill="FFFFFF" w:color="auto" w:val="clear"/>
            <w:tcMar>
              <w:top w:type="dxa" w:w="60"/>
              <w:left w:type="dxa" w:w="100"/>
              <w:bottom w:type="dxa" w:w="60"/>
              <w:right w:type="dxa" w:w="100"/>
            </w:tcMar>
            <w:vAlign w:val="center"/>
          </w:tcPr>
          <w:p>
            <w:r>
              <w:rPr>
                <w:sz w:val="19"/>
                <w:szCs w:val="19"/>
              </w:rPr>
              <w:t xml:space="preserve">Rate, payout schedule, refund/dispute handling</w:t>
            </w:r>
          </w:p>
        </w:tc>
      </w:tr>
      <w:tr>
        <w:tc>
          <w:tcPr>
            <w:tcW w:type="dxa" w:w="2704"/>
            <w:shd w:fill="DCE6F1" w:color="auto" w:val="clear"/>
            <w:tcMar>
              <w:top w:type="dxa" w:w="60"/>
              <w:left w:type="dxa" w:w="100"/>
              <w:bottom w:type="dxa" w:w="60"/>
              <w:right w:type="dxa" w:w="100"/>
            </w:tcMar>
            <w:vAlign w:val="center"/>
          </w:tcPr>
          <w:p>
            <w:r>
              <w:rPr>
                <w:sz w:val="19"/>
                <w:szCs w:val="19"/>
              </w:rPr>
              <w:t xml:space="preserve">Performance standards / SLA</w:t>
            </w:r>
          </w:p>
        </w:tc>
        <w:tc>
          <w:tcPr>
            <w:tcW w:type="dxa" w:w="6656"/>
            <w:shd w:fill="DCE6F1" w:color="auto" w:val="clear"/>
            <w:tcMar>
              <w:top w:type="dxa" w:w="60"/>
              <w:left w:type="dxa" w:w="100"/>
              <w:bottom w:type="dxa" w:w="60"/>
              <w:right w:type="dxa" w:w="100"/>
            </w:tcMar>
            <w:vAlign w:val="center"/>
          </w:tcPr>
          <w:p>
            <w:r>
              <w:rPr>
                <w:sz w:val="19"/>
                <w:szCs w:val="19"/>
              </w:rPr>
              <w:t xml:space="preserve">Response time, completion time, no-show policy — cross-reference Section 8</w:t>
            </w:r>
          </w:p>
        </w:tc>
      </w:tr>
      <w:tr>
        <w:tc>
          <w:tcPr>
            <w:tcW w:type="dxa" w:w="2704"/>
            <w:shd w:fill="FFFFFF" w:color="auto" w:val="clear"/>
            <w:tcMar>
              <w:top w:type="dxa" w:w="60"/>
              <w:left w:type="dxa" w:w="100"/>
              <w:bottom w:type="dxa" w:w="60"/>
              <w:right w:type="dxa" w:w="100"/>
            </w:tcMar>
            <w:vAlign w:val="center"/>
          </w:tcPr>
          <w:p>
            <w:r>
              <w:rPr>
                <w:sz w:val="19"/>
                <w:szCs w:val="19"/>
              </w:rPr>
              <w:t xml:space="preserve">Licensing &amp; insurance warranties</w:t>
            </w:r>
          </w:p>
        </w:tc>
        <w:tc>
          <w:tcPr>
            <w:tcW w:type="dxa" w:w="6656"/>
            <w:shd w:fill="FFFFFF" w:color="auto" w:val="clear"/>
            <w:tcMar>
              <w:top w:type="dxa" w:w="60"/>
              <w:left w:type="dxa" w:w="100"/>
              <w:bottom w:type="dxa" w:w="60"/>
              <w:right w:type="dxa" w:w="100"/>
            </w:tcMar>
            <w:vAlign w:val="center"/>
          </w:tcPr>
          <w:p>
            <w:r>
              <w:rPr>
                <w:sz w:val="19"/>
                <w:szCs w:val="19"/>
              </w:rPr>
              <w:t xml:space="preserve">Contractor warrants current licenses/insurance and must self-report any lapse</w:t>
            </w:r>
          </w:p>
        </w:tc>
      </w:tr>
      <w:tr>
        <w:tc>
          <w:tcPr>
            <w:tcW w:type="dxa" w:w="2704"/>
            <w:shd w:fill="DCE6F1" w:color="auto" w:val="clear"/>
            <w:tcMar>
              <w:top w:type="dxa" w:w="60"/>
              <w:left w:type="dxa" w:w="100"/>
              <w:bottom w:type="dxa" w:w="60"/>
              <w:right w:type="dxa" w:w="100"/>
            </w:tcMar>
            <w:vAlign w:val="center"/>
          </w:tcPr>
          <w:p>
            <w:r>
              <w:rPr>
                <w:sz w:val="19"/>
                <w:szCs w:val="19"/>
              </w:rPr>
              <w:t xml:space="preserve">Non-circumvention clause</w:t>
            </w:r>
          </w:p>
        </w:tc>
        <w:tc>
          <w:tcPr>
            <w:tcW w:type="dxa" w:w="6656"/>
            <w:shd w:fill="DCE6F1" w:color="auto" w:val="clear"/>
            <w:tcMar>
              <w:top w:type="dxa" w:w="60"/>
              <w:left w:type="dxa" w:w="100"/>
              <w:bottom w:type="dxa" w:w="60"/>
              <w:right w:type="dxa" w:w="100"/>
            </w:tcMar>
            <w:vAlign w:val="center"/>
          </w:tcPr>
          <w:p>
            <w:r>
              <w:rPr>
                <w:sz w:val="19"/>
                <w:szCs w:val="19"/>
              </w:rPr>
              <w:t xml:space="preserve">Discourages taking a platform customer off-platform to avoid commission</w:t>
            </w:r>
          </w:p>
        </w:tc>
      </w:tr>
      <w:tr>
        <w:tc>
          <w:tcPr>
            <w:tcW w:type="dxa" w:w="2704"/>
            <w:shd w:fill="FFFFFF" w:color="auto" w:val="clear"/>
            <w:tcMar>
              <w:top w:type="dxa" w:w="60"/>
              <w:left w:type="dxa" w:w="100"/>
              <w:bottom w:type="dxa" w:w="60"/>
              <w:right w:type="dxa" w:w="100"/>
            </w:tcMar>
            <w:vAlign w:val="center"/>
          </w:tcPr>
          <w:p>
            <w:r>
              <w:rPr>
                <w:sz w:val="19"/>
                <w:szCs w:val="19"/>
              </w:rPr>
              <w:t xml:space="preserve">Quality &amp; conduct standards</w:t>
            </w:r>
          </w:p>
        </w:tc>
        <w:tc>
          <w:tcPr>
            <w:tcW w:type="dxa" w:w="6656"/>
            <w:shd w:fill="FFFFFF" w:color="auto" w:val="clear"/>
            <w:tcMar>
              <w:top w:type="dxa" w:w="60"/>
              <w:left w:type="dxa" w:w="100"/>
              <w:bottom w:type="dxa" w:w="60"/>
              <w:right w:type="dxa" w:w="100"/>
            </w:tcMar>
            <w:vAlign w:val="center"/>
          </w:tcPr>
          <w:p>
            <w:r>
              <w:rPr>
                <w:sz w:val="19"/>
                <w:szCs w:val="19"/>
              </w:rPr>
              <w:t xml:space="preserve">Technician conduct in customer homes, safety-standard compliance</w:t>
            </w:r>
          </w:p>
        </w:tc>
      </w:tr>
      <w:tr>
        <w:tc>
          <w:tcPr>
            <w:tcW w:type="dxa" w:w="2704"/>
            <w:shd w:fill="DCE6F1" w:color="auto" w:val="clear"/>
            <w:tcMar>
              <w:top w:type="dxa" w:w="60"/>
              <w:left w:type="dxa" w:w="100"/>
              <w:bottom w:type="dxa" w:w="60"/>
              <w:right w:type="dxa" w:w="100"/>
            </w:tcMar>
            <w:vAlign w:val="center"/>
          </w:tcPr>
          <w:p>
            <w:r>
              <w:rPr>
                <w:sz w:val="19"/>
                <w:szCs w:val="19"/>
              </w:rPr>
              <w:t xml:space="preserve">Deposit/holdback mechanism</w:t>
            </w:r>
          </w:p>
        </w:tc>
        <w:tc>
          <w:tcPr>
            <w:tcW w:type="dxa" w:w="6656"/>
            <w:shd w:fill="DCE6F1" w:color="auto" w:val="clear"/>
            <w:tcMar>
              <w:top w:type="dxa" w:w="60"/>
              <w:left w:type="dxa" w:w="100"/>
              <w:bottom w:type="dxa" w:w="60"/>
              <w:right w:type="dxa" w:w="100"/>
            </w:tcMar>
            <w:vAlign w:val="center"/>
          </w:tcPr>
          <w:p>
            <w:r>
              <w:rPr>
                <w:sz w:val="19"/>
                <w:szCs w:val="19"/>
              </w:rPr>
              <w:t xml:space="preserve">A refundable security holdback drawable for verified damage claims</w:t>
            </w:r>
          </w:p>
        </w:tc>
      </w:tr>
      <w:tr>
        <w:tc>
          <w:tcPr>
            <w:tcW w:type="dxa" w:w="2704"/>
            <w:shd w:fill="FFFFFF" w:color="auto" w:val="clear"/>
            <w:tcMar>
              <w:top w:type="dxa" w:w="60"/>
              <w:left w:type="dxa" w:w="100"/>
              <w:bottom w:type="dxa" w:w="60"/>
              <w:right w:type="dxa" w:w="100"/>
            </w:tcMar>
            <w:vAlign w:val="center"/>
          </w:tcPr>
          <w:p>
            <w:r>
              <w:rPr>
                <w:sz w:val="19"/>
                <w:szCs w:val="19"/>
              </w:rPr>
              <w:t xml:space="preserve">Data protection</w:t>
            </w:r>
          </w:p>
        </w:tc>
        <w:tc>
          <w:tcPr>
            <w:tcW w:type="dxa" w:w="6656"/>
            <w:shd w:fill="FFFFFF" w:color="auto" w:val="clear"/>
            <w:tcMar>
              <w:top w:type="dxa" w:w="60"/>
              <w:left w:type="dxa" w:w="100"/>
              <w:bottom w:type="dxa" w:w="60"/>
              <w:right w:type="dxa" w:w="100"/>
            </w:tcMar>
            <w:vAlign w:val="center"/>
          </w:tcPr>
          <w:p>
            <w:r>
              <w:rPr>
                <w:sz w:val="19"/>
                <w:szCs w:val="19"/>
              </w:rPr>
              <w:t xml:space="preserve">Contractor obligations for customer personal data received through the platform</w:t>
            </w:r>
          </w:p>
        </w:tc>
      </w:tr>
      <w:tr>
        <w:tc>
          <w:tcPr>
            <w:tcW w:type="dxa" w:w="2704"/>
            <w:shd w:fill="DCE6F1" w:color="auto" w:val="clear"/>
            <w:tcMar>
              <w:top w:type="dxa" w:w="60"/>
              <w:left w:type="dxa" w:w="100"/>
              <w:bottom w:type="dxa" w:w="60"/>
              <w:right w:type="dxa" w:w="100"/>
            </w:tcMar>
            <w:vAlign w:val="center"/>
          </w:tcPr>
          <w:p>
            <w:r>
              <w:rPr>
                <w:sz w:val="19"/>
                <w:szCs w:val="19"/>
              </w:rPr>
              <w:t xml:space="preserve">Liability &amp; indemnity</w:t>
            </w:r>
          </w:p>
        </w:tc>
        <w:tc>
          <w:tcPr>
            <w:tcW w:type="dxa" w:w="6656"/>
            <w:shd w:fill="DCE6F1" w:color="auto" w:val="clear"/>
            <w:tcMar>
              <w:top w:type="dxa" w:w="60"/>
              <w:left w:type="dxa" w:w="100"/>
              <w:bottom w:type="dxa" w:w="60"/>
              <w:right w:type="dxa" w:w="100"/>
            </w:tcMar>
            <w:vAlign w:val="center"/>
          </w:tcPr>
          <w:p>
            <w:r>
              <w:rPr>
                <w:sz w:val="19"/>
                <w:szCs w:val="19"/>
              </w:rPr>
              <w:t xml:space="preserve">Responsibility allocation for property damage, injury, or a botched job — requires real legal drafting</w:t>
            </w:r>
          </w:p>
        </w:tc>
      </w:tr>
      <w:tr>
        <w:tc>
          <w:tcPr>
            <w:tcW w:type="dxa" w:w="2704"/>
            <w:shd w:fill="FFFFFF" w:color="auto" w:val="clear"/>
            <w:tcMar>
              <w:top w:type="dxa" w:w="60"/>
              <w:left w:type="dxa" w:w="100"/>
              <w:bottom w:type="dxa" w:w="60"/>
              <w:right w:type="dxa" w:w="100"/>
            </w:tcMar>
            <w:vAlign w:val="center"/>
          </w:tcPr>
          <w:p>
            <w:r>
              <w:rPr>
                <w:sz w:val="19"/>
                <w:szCs w:val="19"/>
              </w:rPr>
              <w:t xml:space="preserve">Exclusivity</w:t>
            </w:r>
          </w:p>
        </w:tc>
        <w:tc>
          <w:tcPr>
            <w:tcW w:type="dxa" w:w="6656"/>
            <w:shd w:fill="FFFFFF" w:color="auto" w:val="clear"/>
            <w:tcMar>
              <w:top w:type="dxa" w:w="60"/>
              <w:left w:type="dxa" w:w="100"/>
              <w:bottom w:type="dxa" w:w="60"/>
              <w:right w:type="dxa" w:w="100"/>
            </w:tcMar>
            <w:vAlign w:val="center"/>
          </w:tcPr>
          <w:p>
            <w:r>
              <w:rPr>
                <w:sz w:val="19"/>
                <w:szCs w:val="19"/>
              </w:rPr>
              <w:t xml:space="preserve">Non-exclusive at launch; revisit once significant volume is being provided</w:t>
            </w:r>
          </w:p>
        </w:tc>
      </w:tr>
      <w:tr>
        <w:tc>
          <w:tcPr>
            <w:tcW w:type="dxa" w:w="2704"/>
            <w:shd w:fill="DCE6F1" w:color="auto" w:val="clear"/>
            <w:tcMar>
              <w:top w:type="dxa" w:w="60"/>
              <w:left w:type="dxa" w:w="100"/>
              <w:bottom w:type="dxa" w:w="60"/>
              <w:right w:type="dxa" w:w="100"/>
            </w:tcMar>
            <w:vAlign w:val="center"/>
          </w:tcPr>
          <w:p>
            <w:r>
              <w:rPr>
                <w:sz w:val="19"/>
                <w:szCs w:val="19"/>
              </w:rPr>
              <w:t xml:space="preserve">Dispute resolution</w:t>
            </w:r>
          </w:p>
        </w:tc>
        <w:tc>
          <w:tcPr>
            <w:tcW w:type="dxa" w:w="6656"/>
            <w:shd w:fill="DCE6F1" w:color="auto" w:val="clear"/>
            <w:tcMar>
              <w:top w:type="dxa" w:w="60"/>
              <w:left w:type="dxa" w:w="100"/>
              <w:bottom w:type="dxa" w:w="60"/>
              <w:right w:type="dxa" w:w="100"/>
            </w:tcMar>
            <w:vAlign w:val="center"/>
          </w:tcPr>
          <w:p>
            <w:r>
              <w:rPr>
                <w:sz w:val="19"/>
                <w:szCs w:val="19"/>
              </w:rPr>
              <w:t xml:space="preserve">Governing law (Saudi) and process/venue</w:t>
            </w:r>
          </w:p>
        </w:tc>
      </w:tr>
    </w:tbl>
    <w:p>
      <w:pPr>
        <w:pStyle w:val="Heading2"/>
        <w:spacing w:after="120" w:before="260"/>
      </w:pPr>
      <w:r>
        <w:t xml:space="preserve">Ongoing partner management</w:t>
      </w:r>
    </w:p>
    <w:p>
      <w:pPr>
        <w:pStyle w:val="ListParagraph"/>
        <w:numPr>
          <w:ilvl w:val="0"/>
          <w:numId w:val="2"/>
        </w:numPr>
        <w:spacing w:after="80"/>
      </w:pPr>
      <w:r>
        <w:t xml:space="preserve">Score every partner on on-time rate, completion rate, average rating, dispute rate, and cancellation rate; review monthly.</w:t>
      </w:r>
    </w:p>
    <w:p>
      <w:pPr>
        <w:pStyle w:val="ListParagraph"/>
        <w:numPr>
          <w:ilvl w:val="0"/>
          <w:numId w:val="2"/>
        </w:numPr>
        <w:spacing w:after="80"/>
      </w:pPr>
      <w:r>
        <w:t xml:space="preserve">Consider a Bronze/Silver/Gold tier tied to performance, giving better partners priority routing and eventual commission discounts.</w:t>
      </w:r>
    </w:p>
    <w:p>
      <w:pPr>
        <w:pStyle w:val="ListParagraph"/>
        <w:numPr>
          <w:ilvl w:val="0"/>
          <w:numId w:val="2"/>
        </w:numPr>
        <w:spacing w:after="80"/>
      </w:pPr>
      <w:r>
        <w:t xml:space="preserve">Document a real three-strikes policy (safety violation, unexplained no-show, verified theft/damage complaint, license lapse) and enforce it consistently.</w:t>
      </w:r>
    </w:p>
    <w:p>
      <w:pPr>
        <w:pStyle w:val="ListParagraph"/>
        <w:numPr>
          <w:ilvl w:val="0"/>
          <w:numId w:val="2"/>
        </w:numPr>
        <w:spacing w:after="80"/>
      </w:pPr>
      <w:r>
        <w:t xml:space="preserve">Keep a human relationship alongside the app dashboard — calls and periodic visits surface problems before they become bad reviews.</w:t>
      </w:r>
    </w:p>
    <w:p>
      <w:pPr>
        <w:pStyle w:val="Heading2"/>
        <w:spacing w:after="120" w:before="260"/>
      </w:pPr>
      <w:r>
        <w:t xml:space="preserve">Coverage-planning target for Phase 1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536"/>
        <w:gridCol w:w="2704"/>
      </w:tblGrid>
      <w:tr>
        <w:trPr>
          <w:tblHeader/>
        </w:trPr>
        <w:tc>
          <w:tcPr>
            <w:tcW w:type="dxa" w:w="3120"/>
            <w:shd w:fill="1F3864" w:color="auto" w:val="clear"/>
            <w:tcMar>
              <w:top w:type="dxa" w:w="80"/>
              <w:left w:type="dxa" w:w="100"/>
              <w:bottom w:type="dxa" w:w="80"/>
              <w:right w:type="dxa" w:w="100"/>
            </w:tcMar>
            <w:vAlign w:val="center"/>
          </w:tcPr>
          <w:p>
            <w:r>
              <w:rPr>
                <w:b/>
                <w:bCs/>
                <w:color w:val="FFFFFF"/>
                <w:sz w:val="20"/>
                <w:szCs w:val="20"/>
              </w:rPr>
              <w:t xml:space="preserve">City</w:t>
            </w:r>
          </w:p>
        </w:tc>
        <w:tc>
          <w:tcPr>
            <w:tcW w:type="dxa" w:w="3536"/>
            <w:shd w:fill="1F3864" w:color="auto" w:val="clear"/>
            <w:tcMar>
              <w:top w:type="dxa" w:w="80"/>
              <w:left w:type="dxa" w:w="100"/>
              <w:bottom w:type="dxa" w:w="80"/>
              <w:right w:type="dxa" w:w="100"/>
            </w:tcMar>
            <w:vAlign w:val="center"/>
          </w:tcPr>
          <w:p>
            <w:r>
              <w:rPr>
                <w:b/>
                <w:bCs/>
                <w:color w:val="FFFFFF"/>
                <w:sz w:val="20"/>
                <w:szCs w:val="20"/>
              </w:rPr>
              <w:t xml:space="preserve">Trades</w:t>
            </w:r>
          </w:p>
        </w:tc>
        <w:tc>
          <w:tcPr>
            <w:tcW w:type="dxa" w:w="2704"/>
            <w:shd w:fill="1F3864" w:color="auto" w:val="clear"/>
            <w:tcMar>
              <w:top w:type="dxa" w:w="80"/>
              <w:left w:type="dxa" w:w="100"/>
              <w:bottom w:type="dxa" w:w="80"/>
              <w:right w:type="dxa" w:w="100"/>
            </w:tcMar>
            <w:vAlign w:val="center"/>
          </w:tcPr>
          <w:p>
            <w:r>
              <w:rPr>
                <w:b/>
                <w:bCs/>
                <w:color w:val="FFFFFF"/>
                <w:sz w:val="20"/>
                <w:szCs w:val="20"/>
              </w:rPr>
              <w:t xml:space="preserve">Minimum partners per trade</w:t>
            </w:r>
          </w:p>
        </w:tc>
      </w:tr>
      <w:tr>
        <w:tc>
          <w:tcPr>
            <w:tcW w:type="dxa" w:w="3120"/>
            <w:shd w:fill="FFFFFF" w:color="auto" w:val="clear"/>
            <w:tcMar>
              <w:top w:type="dxa" w:w="60"/>
              <w:left w:type="dxa" w:w="100"/>
              <w:bottom w:type="dxa" w:w="60"/>
              <w:right w:type="dxa" w:w="100"/>
            </w:tcMar>
            <w:vAlign w:val="center"/>
          </w:tcPr>
          <w:p>
            <w:r>
              <w:rPr>
                <w:sz w:val="19"/>
                <w:szCs w:val="19"/>
              </w:rPr>
              <w:t xml:space="preserve">Jeddah (launch city)</w:t>
            </w:r>
          </w:p>
        </w:tc>
        <w:tc>
          <w:tcPr>
            <w:tcW w:type="dxa" w:w="3536"/>
            <w:shd w:fill="FFFFFF" w:color="auto" w:val="clear"/>
            <w:tcMar>
              <w:top w:type="dxa" w:w="60"/>
              <w:left w:type="dxa" w:w="100"/>
              <w:bottom w:type="dxa" w:w="60"/>
              <w:right w:type="dxa" w:w="100"/>
            </w:tcMar>
            <w:vAlign w:val="center"/>
          </w:tcPr>
          <w:p>
            <w:r>
              <w:rPr>
                <w:sz w:val="19"/>
                <w:szCs w:val="19"/>
              </w:rPr>
              <w:t xml:space="preserve">Electrical, Plumbing, HVAC, Civil finishes</w:t>
            </w:r>
          </w:p>
        </w:tc>
        <w:tc>
          <w:tcPr>
            <w:tcW w:type="dxa" w:w="2704"/>
            <w:shd w:fill="FFFFFF" w:color="auto" w:val="clear"/>
            <w:tcMar>
              <w:top w:type="dxa" w:w="60"/>
              <w:left w:type="dxa" w:w="100"/>
              <w:bottom w:type="dxa" w:w="60"/>
              <w:right w:type="dxa" w:w="100"/>
            </w:tcMar>
            <w:vAlign w:val="center"/>
          </w:tcPr>
          <w:p>
            <w:r>
              <w:rPr>
                <w:sz w:val="19"/>
                <w:szCs w:val="19"/>
              </w:rPr>
              <w:t xml:space="preserve">4–5 each</w:t>
            </w:r>
          </w:p>
        </w:tc>
      </w:tr>
      <w:tr>
        <w:tc>
          <w:tcPr>
            <w:tcW w:type="dxa" w:w="3120"/>
            <w:shd w:fill="DCE6F1" w:color="auto" w:val="clear"/>
            <w:tcMar>
              <w:top w:type="dxa" w:w="60"/>
              <w:left w:type="dxa" w:w="100"/>
              <w:bottom w:type="dxa" w:w="60"/>
              <w:right w:type="dxa" w:w="100"/>
            </w:tcMar>
            <w:vAlign w:val="center"/>
          </w:tcPr>
          <w:p>
            <w:r>
              <w:rPr>
                <w:sz w:val="19"/>
                <w:szCs w:val="19"/>
              </w:rPr>
              <w:t xml:space="preserve">Riyadh (month 7+)</w:t>
            </w:r>
          </w:p>
        </w:tc>
        <w:tc>
          <w:tcPr>
            <w:tcW w:type="dxa" w:w="3536"/>
            <w:shd w:fill="DCE6F1" w:color="auto" w:val="clear"/>
            <w:tcMar>
              <w:top w:type="dxa" w:w="60"/>
              <w:left w:type="dxa" w:w="100"/>
              <w:bottom w:type="dxa" w:w="60"/>
              <w:right w:type="dxa" w:w="100"/>
            </w:tcMar>
            <w:vAlign w:val="center"/>
          </w:tcPr>
          <w:p>
            <w:r>
              <w:rPr>
                <w:sz w:val="19"/>
                <w:szCs w:val="19"/>
              </w:rPr>
              <w:t xml:space="preserve">Same</w:t>
            </w:r>
          </w:p>
        </w:tc>
        <w:tc>
          <w:tcPr>
            <w:tcW w:type="dxa" w:w="2704"/>
            <w:shd w:fill="DCE6F1" w:color="auto" w:val="clear"/>
            <w:tcMar>
              <w:top w:type="dxa" w:w="60"/>
              <w:left w:type="dxa" w:w="100"/>
              <w:bottom w:type="dxa" w:w="60"/>
              <w:right w:type="dxa" w:w="100"/>
            </w:tcMar>
            <w:vAlign w:val="center"/>
          </w:tcPr>
          <w:p>
            <w:r>
              <w:rPr>
                <w:sz w:val="19"/>
                <w:szCs w:val="19"/>
              </w:rPr>
              <w:t xml:space="preserve">4–5 each</w:t>
            </w:r>
          </w:p>
        </w:tc>
      </w:tr>
      <w:tr>
        <w:tc>
          <w:tcPr>
            <w:tcW w:type="dxa" w:w="3120"/>
            <w:shd w:fill="FFFFFF" w:color="auto" w:val="clear"/>
            <w:tcMar>
              <w:top w:type="dxa" w:w="60"/>
              <w:left w:type="dxa" w:w="100"/>
              <w:bottom w:type="dxa" w:w="60"/>
              <w:right w:type="dxa" w:w="100"/>
            </w:tcMar>
            <w:vAlign w:val="center"/>
          </w:tcPr>
          <w:p>
            <w:r>
              <w:rPr>
                <w:sz w:val="19"/>
                <w:szCs w:val="19"/>
              </w:rPr>
              <w:t xml:space="preserve">Dammam (month 10+)</w:t>
            </w:r>
          </w:p>
        </w:tc>
        <w:tc>
          <w:tcPr>
            <w:tcW w:type="dxa" w:w="3536"/>
            <w:shd w:fill="FFFFFF" w:color="auto" w:val="clear"/>
            <w:tcMar>
              <w:top w:type="dxa" w:w="60"/>
              <w:left w:type="dxa" w:w="100"/>
              <w:bottom w:type="dxa" w:w="60"/>
              <w:right w:type="dxa" w:w="100"/>
            </w:tcMar>
            <w:vAlign w:val="center"/>
          </w:tcPr>
          <w:p>
            <w:r>
              <w:rPr>
                <w:sz w:val="19"/>
                <w:szCs w:val="19"/>
              </w:rPr>
              <w:t xml:space="preserve">Same</w:t>
            </w:r>
          </w:p>
        </w:tc>
        <w:tc>
          <w:tcPr>
            <w:tcW w:type="dxa" w:w="2704"/>
            <w:shd w:fill="FFFFFF" w:color="auto" w:val="clear"/>
            <w:tcMar>
              <w:top w:type="dxa" w:w="60"/>
              <w:left w:type="dxa" w:w="100"/>
              <w:bottom w:type="dxa" w:w="60"/>
              <w:right w:type="dxa" w:w="100"/>
            </w:tcMar>
            <w:vAlign w:val="center"/>
          </w:tcPr>
          <w:p>
            <w:r>
              <w:rPr>
                <w:sz w:val="19"/>
                <w:szCs w:val="19"/>
              </w:rPr>
              <w:t xml:space="preserve">3–4 each (smaller market)</w:t>
            </w:r>
          </w:p>
        </w:tc>
      </w:tr>
    </w:tbl>
    <w:p>
      <w:pPr>
        <w:pBdr>
          <w:left w:val="single" w:color="9DC3E6" w:sz="12" w:space="8"/>
        </w:pBdr>
        <w:spacing w:after="200" w:before="100"/>
        <w:ind w:left="200"/>
      </w:pPr>
      <w:r>
        <w:rPr>
          <w:i/>
          <w:iCs/>
          <w:color w:val="595959"/>
          <w:sz w:val="20"/>
          <w:szCs w:val="20"/>
        </w:rPr>
        <w:t xml:space="preserve">Never launch a trade in a city with only a single partner — redundancy protects against one bad week destroying customer trust in that entire trade.</w:t>
      </w:r>
    </w:p>
    <w:p>
      <w:pPr>
        <w:pStyle w:val="Heading1"/>
        <w:pageBreakBefore/>
        <w:spacing w:after="200" w:before="400"/>
      </w:pPr>
      <w:r>
        <w:t xml:space="preserve">8. SLA Templates — Service Level Agreements</w:t>
      </w:r>
    </w:p>
    <w:p>
      <w:pPr>
        <w:spacing w:after="160"/>
        <w:jc w:val="left"/>
      </w:pPr>
      <w:r>
        <w:t xml:space="preserve">An SLA is a written promise: here is exactly what you can expect, and here is what happens if we don’t deliver it. SLAs are needed in two directions — what we promise the customer, and what we require from the contractor to be able to keep that promise. Use this section as a drafting brief; final wording should be reviewed by a lawyer before publishing.</w:t>
      </w:r>
    </w:p>
    <w:p>
      <w:pPr>
        <w:pStyle w:val="Heading2"/>
        <w:spacing w:after="120" w:before="260"/>
      </w:pPr>
      <w:r>
        <w:t xml:space="preserve">Customer-facing SLA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36"/>
        <w:gridCol w:w="3120"/>
        <w:gridCol w:w="2704"/>
      </w:tblGrid>
      <w:tr>
        <w:trPr>
          <w:tblHeader/>
        </w:trPr>
        <w:tc>
          <w:tcPr>
            <w:tcW w:type="dxa" w:w="3536"/>
            <w:shd w:fill="1F3864" w:color="auto" w:val="clear"/>
            <w:tcMar>
              <w:top w:type="dxa" w:w="80"/>
              <w:left w:type="dxa" w:w="100"/>
              <w:bottom w:type="dxa" w:w="80"/>
              <w:right w:type="dxa" w:w="100"/>
            </w:tcMar>
            <w:vAlign w:val="center"/>
          </w:tcPr>
          <w:p>
            <w:r>
              <w:rPr>
                <w:b/>
                <w:bCs/>
                <w:color w:val="FFFFFF"/>
                <w:sz w:val="20"/>
                <w:szCs w:val="20"/>
              </w:rPr>
              <w:t xml:space="preserve">Commitment</w:t>
            </w:r>
          </w:p>
        </w:tc>
        <w:tc>
          <w:tcPr>
            <w:tcW w:type="dxa" w:w="3120"/>
            <w:shd w:fill="1F3864" w:color="auto" w:val="clear"/>
            <w:tcMar>
              <w:top w:type="dxa" w:w="80"/>
              <w:left w:type="dxa" w:w="100"/>
              <w:bottom w:type="dxa" w:w="80"/>
              <w:right w:type="dxa" w:w="100"/>
            </w:tcMar>
            <w:vAlign w:val="center"/>
          </w:tcPr>
          <w:p>
            <w:r>
              <w:rPr>
                <w:b/>
                <w:bCs/>
                <w:color w:val="FFFFFF"/>
                <w:sz w:val="20"/>
                <w:szCs w:val="20"/>
              </w:rPr>
              <w:t xml:space="preserve">Standard tier</w:t>
            </w:r>
          </w:p>
        </w:tc>
        <w:tc>
          <w:tcPr>
            <w:tcW w:type="dxa" w:w="2704"/>
            <w:shd w:fill="1F3864" w:color="auto" w:val="clear"/>
            <w:tcMar>
              <w:top w:type="dxa" w:w="80"/>
              <w:left w:type="dxa" w:w="100"/>
              <w:bottom w:type="dxa" w:w="80"/>
              <w:right w:type="dxa" w:w="100"/>
            </w:tcMar>
            <w:vAlign w:val="center"/>
          </w:tcPr>
          <w:p>
            <w:r>
              <w:rPr>
                <w:b/>
                <w:bCs/>
                <w:color w:val="FFFFFF"/>
                <w:sz w:val="20"/>
                <w:szCs w:val="20"/>
              </w:rPr>
              <w:t xml:space="preserve">Priority tier (subscribers)</w:t>
            </w:r>
          </w:p>
        </w:tc>
      </w:tr>
      <w:tr>
        <w:tc>
          <w:tcPr>
            <w:tcW w:type="dxa" w:w="3536"/>
            <w:shd w:fill="FFFFFF" w:color="auto" w:val="clear"/>
            <w:tcMar>
              <w:top w:type="dxa" w:w="60"/>
              <w:left w:type="dxa" w:w="100"/>
              <w:bottom w:type="dxa" w:w="60"/>
              <w:right w:type="dxa" w:w="100"/>
            </w:tcMar>
            <w:vAlign w:val="center"/>
          </w:tcPr>
          <w:p>
            <w:r>
              <w:rPr>
                <w:sz w:val="19"/>
                <w:szCs w:val="19"/>
              </w:rPr>
              <w:t xml:space="preserve">Booking confirmation</w:t>
            </w:r>
          </w:p>
        </w:tc>
        <w:tc>
          <w:tcPr>
            <w:tcW w:type="dxa" w:w="3120"/>
            <w:shd w:fill="FFFFFF" w:color="auto" w:val="clear"/>
            <w:tcMar>
              <w:top w:type="dxa" w:w="60"/>
              <w:left w:type="dxa" w:w="100"/>
              <w:bottom w:type="dxa" w:w="60"/>
              <w:right w:type="dxa" w:w="100"/>
            </w:tcMar>
            <w:vAlign w:val="center"/>
          </w:tcPr>
          <w:p>
            <w:r>
              <w:rPr>
                <w:sz w:val="19"/>
                <w:szCs w:val="19"/>
              </w:rPr>
              <w:t xml:space="preserve">Within 15 minutes</w:t>
            </w:r>
          </w:p>
        </w:tc>
        <w:tc>
          <w:tcPr>
            <w:tcW w:type="dxa" w:w="2704"/>
            <w:shd w:fill="FFFFFF" w:color="auto" w:val="clear"/>
            <w:tcMar>
              <w:top w:type="dxa" w:w="60"/>
              <w:left w:type="dxa" w:w="100"/>
              <w:bottom w:type="dxa" w:w="60"/>
              <w:right w:type="dxa" w:w="100"/>
            </w:tcMar>
            <w:vAlign w:val="center"/>
          </w:tcPr>
          <w:p>
            <w:r>
              <w:rPr>
                <w:sz w:val="19"/>
                <w:szCs w:val="19"/>
              </w:rPr>
              <w:t xml:space="preserve">Within 5 minutes</w:t>
            </w:r>
          </w:p>
        </w:tc>
      </w:tr>
      <w:tr>
        <w:tc>
          <w:tcPr>
            <w:tcW w:type="dxa" w:w="3536"/>
            <w:shd w:fill="DCE6F1" w:color="auto" w:val="clear"/>
            <w:tcMar>
              <w:top w:type="dxa" w:w="60"/>
              <w:left w:type="dxa" w:w="100"/>
              <w:bottom w:type="dxa" w:w="60"/>
              <w:right w:type="dxa" w:w="100"/>
            </w:tcMar>
            <w:vAlign w:val="center"/>
          </w:tcPr>
          <w:p>
            <w:r>
              <w:rPr>
                <w:sz w:val="19"/>
                <w:szCs w:val="19"/>
              </w:rPr>
              <w:t xml:space="preserve">Dispatch window (non-emergency)</w:t>
            </w:r>
          </w:p>
        </w:tc>
        <w:tc>
          <w:tcPr>
            <w:tcW w:type="dxa" w:w="3120"/>
            <w:shd w:fill="DCE6F1" w:color="auto" w:val="clear"/>
            <w:tcMar>
              <w:top w:type="dxa" w:w="60"/>
              <w:left w:type="dxa" w:w="100"/>
              <w:bottom w:type="dxa" w:w="60"/>
              <w:right w:type="dxa" w:w="100"/>
            </w:tcMar>
            <w:vAlign w:val="center"/>
          </w:tcPr>
          <w:p>
            <w:r>
              <w:rPr>
                <w:sz w:val="19"/>
                <w:szCs w:val="19"/>
              </w:rPr>
              <w:t xml:space="preserve">Same/next day, scheduled slot</w:t>
            </w:r>
          </w:p>
        </w:tc>
        <w:tc>
          <w:tcPr>
            <w:tcW w:type="dxa" w:w="2704"/>
            <w:shd w:fill="DCE6F1" w:color="auto" w:val="clear"/>
            <w:tcMar>
              <w:top w:type="dxa" w:w="60"/>
              <w:left w:type="dxa" w:w="100"/>
              <w:bottom w:type="dxa" w:w="60"/>
              <w:right w:type="dxa" w:w="100"/>
            </w:tcMar>
            <w:vAlign w:val="center"/>
          </w:tcPr>
          <w:p>
            <w:r>
              <w:rPr>
                <w:sz w:val="19"/>
                <w:szCs w:val="19"/>
              </w:rPr>
              <w:t xml:space="preserve">Same day, priority slot</w:t>
            </w:r>
          </w:p>
        </w:tc>
      </w:tr>
      <w:tr>
        <w:tc>
          <w:tcPr>
            <w:tcW w:type="dxa" w:w="3536"/>
            <w:shd w:fill="FFFFFF" w:color="auto" w:val="clear"/>
            <w:tcMar>
              <w:top w:type="dxa" w:w="60"/>
              <w:left w:type="dxa" w:w="100"/>
              <w:bottom w:type="dxa" w:w="60"/>
              <w:right w:type="dxa" w:w="100"/>
            </w:tcMar>
            <w:vAlign w:val="center"/>
          </w:tcPr>
          <w:p>
            <w:r>
              <w:rPr>
                <w:sz w:val="19"/>
                <w:szCs w:val="19"/>
              </w:rPr>
              <w:t xml:space="preserve">Emergency response (burst pipe, power loss, gas smell)</w:t>
            </w:r>
          </w:p>
        </w:tc>
        <w:tc>
          <w:tcPr>
            <w:tcW w:type="dxa" w:w="3120"/>
            <w:shd w:fill="FFFFFF" w:color="auto" w:val="clear"/>
            <w:tcMar>
              <w:top w:type="dxa" w:w="60"/>
              <w:left w:type="dxa" w:w="100"/>
              <w:bottom w:type="dxa" w:w="60"/>
              <w:right w:type="dxa" w:w="100"/>
            </w:tcMar>
            <w:vAlign w:val="center"/>
          </w:tcPr>
          <w:p>
            <w:r>
              <w:rPr>
                <w:sz w:val="19"/>
                <w:szCs w:val="19"/>
              </w:rPr>
              <w:t xml:space="preserve">Within 2–4 hours, subject to availability</w:t>
            </w:r>
          </w:p>
        </w:tc>
        <w:tc>
          <w:tcPr>
            <w:tcW w:type="dxa" w:w="2704"/>
            <w:shd w:fill="FFFFFF" w:color="auto" w:val="clear"/>
            <w:tcMar>
              <w:top w:type="dxa" w:w="60"/>
              <w:left w:type="dxa" w:w="100"/>
              <w:bottom w:type="dxa" w:w="60"/>
              <w:right w:type="dxa" w:w="100"/>
            </w:tcMar>
            <w:vAlign w:val="center"/>
          </w:tcPr>
          <w:p>
            <w:r>
              <w:rPr>
                <w:sz w:val="19"/>
                <w:szCs w:val="19"/>
              </w:rPr>
              <w:t xml:space="preserve">Within 1–2 hours</w:t>
            </w:r>
          </w:p>
        </w:tc>
      </w:tr>
      <w:tr>
        <w:tc>
          <w:tcPr>
            <w:tcW w:type="dxa" w:w="3536"/>
            <w:shd w:fill="DCE6F1" w:color="auto" w:val="clear"/>
            <w:tcMar>
              <w:top w:type="dxa" w:w="60"/>
              <w:left w:type="dxa" w:w="100"/>
              <w:bottom w:type="dxa" w:w="60"/>
              <w:right w:type="dxa" w:w="100"/>
            </w:tcMar>
            <w:vAlign w:val="center"/>
          </w:tcPr>
          <w:p>
            <w:r>
              <w:rPr>
                <w:sz w:val="19"/>
                <w:szCs w:val="19"/>
              </w:rPr>
              <w:t xml:space="preserve">Arrival window accuracy</w:t>
            </w:r>
          </w:p>
        </w:tc>
        <w:tc>
          <w:tcPr>
            <w:tcW w:type="dxa" w:w="3120"/>
            <w:shd w:fill="DCE6F1" w:color="auto" w:val="clear"/>
            <w:tcMar>
              <w:top w:type="dxa" w:w="60"/>
              <w:left w:type="dxa" w:w="100"/>
              <w:bottom w:type="dxa" w:w="60"/>
              <w:right w:type="dxa" w:w="100"/>
            </w:tcMar>
            <w:vAlign w:val="center"/>
          </w:tcPr>
          <w:p>
            <w:r>
              <w:rPr>
                <w:sz w:val="19"/>
                <w:szCs w:val="19"/>
              </w:rPr>
              <w:t xml:space="preserve">Within a 2-hour window</w:t>
            </w:r>
          </w:p>
        </w:tc>
        <w:tc>
          <w:tcPr>
            <w:tcW w:type="dxa" w:w="2704"/>
            <w:shd w:fill="DCE6F1" w:color="auto" w:val="clear"/>
            <w:tcMar>
              <w:top w:type="dxa" w:w="60"/>
              <w:left w:type="dxa" w:w="100"/>
              <w:bottom w:type="dxa" w:w="60"/>
              <w:right w:type="dxa" w:w="100"/>
            </w:tcMar>
            <w:vAlign w:val="center"/>
          </w:tcPr>
          <w:p>
            <w:r>
              <w:rPr>
                <w:sz w:val="19"/>
                <w:szCs w:val="19"/>
              </w:rPr>
              <w:t xml:space="preserve">Within a 1-hour window</w:t>
            </w:r>
          </w:p>
        </w:tc>
      </w:tr>
      <w:tr>
        <w:tc>
          <w:tcPr>
            <w:tcW w:type="dxa" w:w="3536"/>
            <w:shd w:fill="FFFFFF" w:color="auto" w:val="clear"/>
            <w:tcMar>
              <w:top w:type="dxa" w:w="60"/>
              <w:left w:type="dxa" w:w="100"/>
              <w:bottom w:type="dxa" w:w="60"/>
              <w:right w:type="dxa" w:w="100"/>
            </w:tcMar>
            <w:vAlign w:val="center"/>
          </w:tcPr>
          <w:p>
            <w:r>
              <w:rPr>
                <w:sz w:val="19"/>
                <w:szCs w:val="19"/>
              </w:rPr>
              <w:t xml:space="preserve">Upfront price estimate</w:t>
            </w:r>
          </w:p>
        </w:tc>
        <w:tc>
          <w:tcPr>
            <w:tcW w:type="dxa" w:w="3120"/>
            <w:shd w:fill="FFFFFF" w:color="auto" w:val="clear"/>
            <w:tcMar>
              <w:top w:type="dxa" w:w="60"/>
              <w:left w:type="dxa" w:w="100"/>
              <w:bottom w:type="dxa" w:w="60"/>
              <w:right w:type="dxa" w:w="100"/>
            </w:tcMar>
            <w:vAlign w:val="center"/>
          </w:tcPr>
          <w:p>
            <w:r>
              <w:rPr>
                <w:sz w:val="19"/>
                <w:szCs w:val="19"/>
              </w:rPr>
              <w:t xml:space="preserve">Before dispatch, standard job types</w:t>
            </w:r>
          </w:p>
        </w:tc>
        <w:tc>
          <w:tcPr>
            <w:tcW w:type="dxa" w:w="2704"/>
            <w:shd w:fill="FFFFFF" w:color="auto" w:val="clear"/>
            <w:tcMar>
              <w:top w:type="dxa" w:w="60"/>
              <w:left w:type="dxa" w:w="100"/>
              <w:bottom w:type="dxa" w:w="60"/>
              <w:right w:type="dxa" w:w="100"/>
            </w:tcMar>
            <w:vAlign w:val="center"/>
          </w:tcPr>
          <w:p>
            <w:r>
              <w:rPr>
                <w:sz w:val="19"/>
                <w:szCs w:val="19"/>
              </w:rPr>
              <w:t xml:space="preserve">Same, plus locked-in pricing for covered services</w:t>
            </w:r>
          </w:p>
        </w:tc>
      </w:tr>
      <w:tr>
        <w:tc>
          <w:tcPr>
            <w:tcW w:type="dxa" w:w="3536"/>
            <w:shd w:fill="DCE6F1" w:color="auto" w:val="clear"/>
            <w:tcMar>
              <w:top w:type="dxa" w:w="60"/>
              <w:left w:type="dxa" w:w="100"/>
              <w:bottom w:type="dxa" w:w="60"/>
              <w:right w:type="dxa" w:w="100"/>
            </w:tcMar>
            <w:vAlign w:val="center"/>
          </w:tcPr>
          <w:p>
            <w:r>
              <w:rPr>
                <w:sz w:val="19"/>
                <w:szCs w:val="19"/>
              </w:rPr>
              <w:t xml:space="preserve">Post-job warranty</w:t>
            </w:r>
          </w:p>
        </w:tc>
        <w:tc>
          <w:tcPr>
            <w:tcW w:type="dxa" w:w="3120"/>
            <w:shd w:fill="DCE6F1" w:color="auto" w:val="clear"/>
            <w:tcMar>
              <w:top w:type="dxa" w:w="60"/>
              <w:left w:type="dxa" w:w="100"/>
              <w:bottom w:type="dxa" w:w="60"/>
              <w:right w:type="dxa" w:w="100"/>
            </w:tcMar>
            <w:vAlign w:val="center"/>
          </w:tcPr>
          <w:p>
            <w:r>
              <w:rPr>
                <w:sz w:val="19"/>
                <w:szCs w:val="19"/>
              </w:rPr>
              <w:t xml:space="preserve">30 days on workmanship</w:t>
            </w:r>
          </w:p>
        </w:tc>
        <w:tc>
          <w:tcPr>
            <w:tcW w:type="dxa" w:w="2704"/>
            <w:shd w:fill="DCE6F1" w:color="auto" w:val="clear"/>
            <w:tcMar>
              <w:top w:type="dxa" w:w="60"/>
              <w:left w:type="dxa" w:w="100"/>
              <w:bottom w:type="dxa" w:w="60"/>
              <w:right w:type="dxa" w:w="100"/>
            </w:tcMar>
            <w:vAlign w:val="center"/>
          </w:tcPr>
          <w:p>
            <w:r>
              <w:rPr>
                <w:sz w:val="19"/>
                <w:szCs w:val="19"/>
              </w:rPr>
              <w:t xml:space="preserve">60 days</w:t>
            </w:r>
          </w:p>
        </w:tc>
      </w:tr>
      <w:tr>
        <w:tc>
          <w:tcPr>
            <w:tcW w:type="dxa" w:w="3536"/>
            <w:shd w:fill="FFFFFF" w:color="auto" w:val="clear"/>
            <w:tcMar>
              <w:top w:type="dxa" w:w="60"/>
              <w:left w:type="dxa" w:w="100"/>
              <w:bottom w:type="dxa" w:w="60"/>
              <w:right w:type="dxa" w:w="100"/>
            </w:tcMar>
            <w:vAlign w:val="center"/>
          </w:tcPr>
          <w:p>
            <w:r>
              <w:rPr>
                <w:sz w:val="19"/>
                <w:szCs w:val="19"/>
              </w:rPr>
              <w:t xml:space="preserve">Cancellation notice</w:t>
            </w:r>
          </w:p>
        </w:tc>
        <w:tc>
          <w:tcPr>
            <w:tcW w:type="dxa" w:w="3120"/>
            <w:shd w:fill="FFFFFF" w:color="auto" w:val="clear"/>
            <w:tcMar>
              <w:top w:type="dxa" w:w="60"/>
              <w:left w:type="dxa" w:w="100"/>
              <w:bottom w:type="dxa" w:w="60"/>
              <w:right w:type="dxa" w:w="100"/>
            </w:tcMar>
            <w:vAlign w:val="center"/>
          </w:tcPr>
          <w:p>
            <w:r>
              <w:rPr>
                <w:sz w:val="19"/>
                <w:szCs w:val="19"/>
              </w:rPr>
              <w:t xml:space="preserve">Free up to 1 hour before arrival</w:t>
            </w:r>
          </w:p>
        </w:tc>
        <w:tc>
          <w:tcPr>
            <w:tcW w:type="dxa" w:w="2704"/>
            <w:shd w:fill="FFFFFF" w:color="auto" w:val="clear"/>
            <w:tcMar>
              <w:top w:type="dxa" w:w="60"/>
              <w:left w:type="dxa" w:w="100"/>
              <w:bottom w:type="dxa" w:w="60"/>
              <w:right w:type="dxa" w:w="100"/>
            </w:tcMar>
            <w:vAlign w:val="center"/>
          </w:tcPr>
          <w:p>
            <w:r>
              <w:rPr>
                <w:sz w:val="19"/>
                <w:szCs w:val="19"/>
              </w:rPr>
              <w:t xml:space="preserve">Free up to 30 minutes before</w:t>
            </w:r>
          </w:p>
        </w:tc>
      </w:tr>
      <w:tr>
        <w:tc>
          <w:tcPr>
            <w:tcW w:type="dxa" w:w="3536"/>
            <w:shd w:fill="DCE6F1" w:color="auto" w:val="clear"/>
            <w:tcMar>
              <w:top w:type="dxa" w:w="60"/>
              <w:left w:type="dxa" w:w="100"/>
              <w:bottom w:type="dxa" w:w="60"/>
              <w:right w:type="dxa" w:w="100"/>
            </w:tcMar>
            <w:vAlign w:val="center"/>
          </w:tcPr>
          <w:p>
            <w:r>
              <w:rPr>
                <w:sz w:val="19"/>
                <w:szCs w:val="19"/>
              </w:rPr>
              <w:t xml:space="preserve">Complaint response</w:t>
            </w:r>
          </w:p>
        </w:tc>
        <w:tc>
          <w:tcPr>
            <w:tcW w:type="dxa" w:w="3120"/>
            <w:shd w:fill="DCE6F1" w:color="auto" w:val="clear"/>
            <w:tcMar>
              <w:top w:type="dxa" w:w="60"/>
              <w:left w:type="dxa" w:w="100"/>
              <w:bottom w:type="dxa" w:w="60"/>
              <w:right w:type="dxa" w:w="100"/>
            </w:tcMar>
            <w:vAlign w:val="center"/>
          </w:tcPr>
          <w:p>
            <w:r>
              <w:rPr>
                <w:sz w:val="19"/>
                <w:szCs w:val="19"/>
              </w:rPr>
              <w:t xml:space="preserve">Acknowledged in 4 business hours, resolved/escalated in 48</w:t>
            </w:r>
          </w:p>
        </w:tc>
        <w:tc>
          <w:tcPr>
            <w:tcW w:type="dxa" w:w="2704"/>
            <w:shd w:fill="DCE6F1" w:color="auto" w:val="clear"/>
            <w:tcMar>
              <w:top w:type="dxa" w:w="60"/>
              <w:left w:type="dxa" w:w="100"/>
              <w:bottom w:type="dxa" w:w="60"/>
              <w:right w:type="dxa" w:w="100"/>
            </w:tcMar>
            <w:vAlign w:val="center"/>
          </w:tcPr>
          <w:p>
            <w:r>
              <w:rPr>
                <w:sz w:val="19"/>
                <w:szCs w:val="19"/>
              </w:rPr>
              <w:t xml:space="preserve">Within 2 business hours / 24 hours</w:t>
            </w:r>
          </w:p>
        </w:tc>
      </w:tr>
      <w:tr>
        <w:tc>
          <w:tcPr>
            <w:tcW w:type="dxa" w:w="3536"/>
            <w:shd w:fill="FFFFFF" w:color="auto" w:val="clear"/>
            <w:tcMar>
              <w:top w:type="dxa" w:w="60"/>
              <w:left w:type="dxa" w:w="100"/>
              <w:bottom w:type="dxa" w:w="60"/>
              <w:right w:type="dxa" w:w="100"/>
            </w:tcMar>
            <w:vAlign w:val="center"/>
          </w:tcPr>
          <w:p>
            <w:r>
              <w:rPr>
                <w:sz w:val="19"/>
                <w:szCs w:val="19"/>
              </w:rPr>
              <w:t xml:space="preserve">Refund on verified no-show/unresolved issue</w:t>
            </w:r>
          </w:p>
        </w:tc>
        <w:tc>
          <w:tcPr>
            <w:tcW w:type="dxa" w:w="3120"/>
            <w:shd w:fill="FFFFFF" w:color="auto" w:val="clear"/>
            <w:tcMar>
              <w:top w:type="dxa" w:w="60"/>
              <w:left w:type="dxa" w:w="100"/>
              <w:bottom w:type="dxa" w:w="60"/>
              <w:right w:type="dxa" w:w="100"/>
            </w:tcMar>
            <w:vAlign w:val="center"/>
          </w:tcPr>
          <w:p>
            <w:r>
              <w:rPr>
                <w:sz w:val="19"/>
                <w:szCs w:val="19"/>
              </w:rPr>
              <w:t xml:space="preserve">Full refund of fee + job cost</w:t>
            </w:r>
          </w:p>
        </w:tc>
        <w:tc>
          <w:tcPr>
            <w:tcW w:type="dxa" w:w="2704"/>
            <w:shd w:fill="FFFFFF" w:color="auto" w:val="clear"/>
            <w:tcMar>
              <w:top w:type="dxa" w:w="60"/>
              <w:left w:type="dxa" w:w="100"/>
              <w:bottom w:type="dxa" w:w="60"/>
              <w:right w:type="dxa" w:w="100"/>
            </w:tcMar>
            <w:vAlign w:val="center"/>
          </w:tcPr>
          <w:p>
            <w:r>
              <w:rPr>
                <w:sz w:val="19"/>
                <w:szCs w:val="19"/>
              </w:rPr>
              <w:t xml:space="preserve">Same, expedited</w:t>
            </w:r>
          </w:p>
        </w:tc>
      </w:tr>
    </w:tbl>
    <w:p>
      <w:pPr>
        <w:spacing w:after="160"/>
        <w:jc w:val="left"/>
      </w:pPr>
      <w:r>
        <w:t xml:space="preserve">Escalation ladder for customers: in-app chat/rating → phone support → formal complaint with a case number and resolution deadline → refund/compensation per policy. Publish this ladder in the app.</w:t>
      </w:r>
    </w:p>
    <w:p>
      <w:pPr>
        <w:pStyle w:val="Heading2"/>
        <w:spacing w:after="120" w:before="260"/>
      </w:pPr>
      <w:r>
        <w:t xml:space="preserve">Contractor-facing SLA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8"/>
        <w:gridCol w:w="3328"/>
        <w:gridCol w:w="2704"/>
      </w:tblGrid>
      <w:tr>
        <w:trPr>
          <w:tblHeader/>
        </w:trPr>
        <w:tc>
          <w:tcPr>
            <w:tcW w:type="dxa" w:w="3328"/>
            <w:shd w:fill="1F3864" w:color="auto" w:val="clear"/>
            <w:tcMar>
              <w:top w:type="dxa" w:w="80"/>
              <w:left w:type="dxa" w:w="100"/>
              <w:bottom w:type="dxa" w:w="80"/>
              <w:right w:type="dxa" w:w="100"/>
            </w:tcMar>
            <w:vAlign w:val="center"/>
          </w:tcPr>
          <w:p>
            <w:r>
              <w:rPr>
                <w:b/>
                <w:bCs/>
                <w:color w:val="FFFFFF"/>
                <w:sz w:val="20"/>
                <w:szCs w:val="20"/>
              </w:rPr>
              <w:t xml:space="preserve">Requirement</w:t>
            </w:r>
          </w:p>
        </w:tc>
        <w:tc>
          <w:tcPr>
            <w:tcW w:type="dxa" w:w="3328"/>
            <w:shd w:fill="1F3864" w:color="auto" w:val="clear"/>
            <w:tcMar>
              <w:top w:type="dxa" w:w="80"/>
              <w:left w:type="dxa" w:w="100"/>
              <w:bottom w:type="dxa" w:w="80"/>
              <w:right w:type="dxa" w:w="100"/>
            </w:tcMar>
            <w:vAlign w:val="center"/>
          </w:tcPr>
          <w:p>
            <w:r>
              <w:rPr>
                <w:b/>
                <w:bCs/>
                <w:color w:val="FFFFFF"/>
                <w:sz w:val="20"/>
                <w:szCs w:val="20"/>
              </w:rPr>
              <w:t xml:space="preserve">Standard</w:t>
            </w:r>
          </w:p>
        </w:tc>
        <w:tc>
          <w:tcPr>
            <w:tcW w:type="dxa" w:w="2704"/>
            <w:shd w:fill="1F3864" w:color="auto" w:val="clear"/>
            <w:tcMar>
              <w:top w:type="dxa" w:w="80"/>
              <w:left w:type="dxa" w:w="100"/>
              <w:bottom w:type="dxa" w:w="80"/>
              <w:right w:type="dxa" w:w="100"/>
            </w:tcMar>
            <w:vAlign w:val="center"/>
          </w:tcPr>
          <w:p>
            <w:r>
              <w:rPr>
                <w:b/>
                <w:bCs/>
                <w:color w:val="FFFFFF"/>
                <w:sz w:val="20"/>
                <w:szCs w:val="20"/>
              </w:rPr>
              <w:t xml:space="preserve">Consequence of breach</w:t>
            </w:r>
          </w:p>
        </w:tc>
      </w:tr>
      <w:tr>
        <w:tc>
          <w:tcPr>
            <w:tcW w:type="dxa" w:w="3328"/>
            <w:shd w:fill="FFFFFF" w:color="auto" w:val="clear"/>
            <w:tcMar>
              <w:top w:type="dxa" w:w="60"/>
              <w:left w:type="dxa" w:w="100"/>
              <w:bottom w:type="dxa" w:w="60"/>
              <w:right w:type="dxa" w:w="100"/>
            </w:tcMar>
            <w:vAlign w:val="center"/>
          </w:tcPr>
          <w:p>
            <w:r>
              <w:rPr>
                <w:sz w:val="19"/>
                <w:szCs w:val="19"/>
              </w:rPr>
              <w:t xml:space="preserve">Job acceptance/decline response</w:t>
            </w:r>
          </w:p>
        </w:tc>
        <w:tc>
          <w:tcPr>
            <w:tcW w:type="dxa" w:w="3328"/>
            <w:shd w:fill="FFFFFF" w:color="auto" w:val="clear"/>
            <w:tcMar>
              <w:top w:type="dxa" w:w="60"/>
              <w:left w:type="dxa" w:w="100"/>
              <w:bottom w:type="dxa" w:w="60"/>
              <w:right w:type="dxa" w:w="100"/>
            </w:tcMar>
            <w:vAlign w:val="center"/>
          </w:tcPr>
          <w:p>
            <w:r>
              <w:rPr>
                <w:sz w:val="19"/>
                <w:szCs w:val="19"/>
              </w:rPr>
              <w:t xml:space="preserve">Within 10 minutes</w:t>
            </w:r>
          </w:p>
        </w:tc>
        <w:tc>
          <w:tcPr>
            <w:tcW w:type="dxa" w:w="2704"/>
            <w:shd w:fill="FFFFFF" w:color="auto" w:val="clear"/>
            <w:tcMar>
              <w:top w:type="dxa" w:w="60"/>
              <w:left w:type="dxa" w:w="100"/>
              <w:bottom w:type="dxa" w:w="60"/>
              <w:right w:type="dxa" w:w="100"/>
            </w:tcMar>
            <w:vAlign w:val="center"/>
          </w:tcPr>
          <w:p>
            <w:r>
              <w:rPr>
                <w:sz w:val="19"/>
                <w:szCs w:val="19"/>
              </w:rPr>
              <w:t xml:space="preserve">Auto-routed to next partner; repeated slowness affects tier</w:t>
            </w:r>
          </w:p>
        </w:tc>
      </w:tr>
      <w:tr>
        <w:tc>
          <w:tcPr>
            <w:tcW w:type="dxa" w:w="3328"/>
            <w:shd w:fill="DCE6F1" w:color="auto" w:val="clear"/>
            <w:tcMar>
              <w:top w:type="dxa" w:w="60"/>
              <w:left w:type="dxa" w:w="100"/>
              <w:bottom w:type="dxa" w:w="60"/>
              <w:right w:type="dxa" w:w="100"/>
            </w:tcMar>
            <w:vAlign w:val="center"/>
          </w:tcPr>
          <w:p>
            <w:r>
              <w:rPr>
                <w:sz w:val="19"/>
                <w:szCs w:val="19"/>
              </w:rPr>
              <w:t xml:space="preserve">Arrival within promised window</w:t>
            </w:r>
          </w:p>
        </w:tc>
        <w:tc>
          <w:tcPr>
            <w:tcW w:type="dxa" w:w="3328"/>
            <w:shd w:fill="DCE6F1" w:color="auto" w:val="clear"/>
            <w:tcMar>
              <w:top w:type="dxa" w:w="60"/>
              <w:left w:type="dxa" w:w="100"/>
              <w:bottom w:type="dxa" w:w="60"/>
              <w:right w:type="dxa" w:w="100"/>
            </w:tcMar>
            <w:vAlign w:val="center"/>
          </w:tcPr>
          <w:p>
            <w:r>
              <w:rPr>
                <w:sz w:val="19"/>
                <w:szCs w:val="19"/>
              </w:rPr>
              <w:t xml:space="preserve">Required, with proactive delay notice</w:t>
            </w:r>
          </w:p>
        </w:tc>
        <w:tc>
          <w:tcPr>
            <w:tcW w:type="dxa" w:w="2704"/>
            <w:shd w:fill="DCE6F1" w:color="auto" w:val="clear"/>
            <w:tcMar>
              <w:top w:type="dxa" w:w="60"/>
              <w:left w:type="dxa" w:w="100"/>
              <w:bottom w:type="dxa" w:w="60"/>
              <w:right w:type="dxa" w:w="100"/>
            </w:tcMar>
            <w:vAlign w:val="center"/>
          </w:tcPr>
          <w:p>
            <w:r>
              <w:rPr>
                <w:sz w:val="19"/>
                <w:szCs w:val="19"/>
              </w:rPr>
              <w:t xml:space="preserve">Commission discount after grace period; repeated lateness triggers review</w:t>
            </w:r>
          </w:p>
        </w:tc>
      </w:tr>
      <w:tr>
        <w:tc>
          <w:tcPr>
            <w:tcW w:type="dxa" w:w="3328"/>
            <w:shd w:fill="FFFFFF" w:color="auto" w:val="clear"/>
            <w:tcMar>
              <w:top w:type="dxa" w:w="60"/>
              <w:left w:type="dxa" w:w="100"/>
              <w:bottom w:type="dxa" w:w="60"/>
              <w:right w:type="dxa" w:w="100"/>
            </w:tcMar>
            <w:vAlign w:val="center"/>
          </w:tcPr>
          <w:p>
            <w:r>
              <w:rPr>
                <w:sz w:val="19"/>
                <w:szCs w:val="19"/>
              </w:rPr>
              <w:t xml:space="preserve">No-show</w:t>
            </w:r>
          </w:p>
        </w:tc>
        <w:tc>
          <w:tcPr>
            <w:tcW w:type="dxa" w:w="3328"/>
            <w:shd w:fill="FFFFFF" w:color="auto" w:val="clear"/>
            <w:tcMar>
              <w:top w:type="dxa" w:w="60"/>
              <w:left w:type="dxa" w:w="100"/>
              <w:bottom w:type="dxa" w:w="60"/>
              <w:right w:type="dxa" w:w="100"/>
            </w:tcMar>
            <w:vAlign w:val="center"/>
          </w:tcPr>
          <w:p>
            <w:r>
              <w:rPr>
                <w:sz w:val="19"/>
                <w:szCs w:val="19"/>
              </w:rPr>
              <w:t xml:space="preserve">Not permitted without ≥2 hours’ notice</w:t>
            </w:r>
          </w:p>
        </w:tc>
        <w:tc>
          <w:tcPr>
            <w:tcW w:type="dxa" w:w="2704"/>
            <w:shd w:fill="FFFFFF" w:color="auto" w:val="clear"/>
            <w:tcMar>
              <w:top w:type="dxa" w:w="60"/>
              <w:left w:type="dxa" w:w="100"/>
              <w:bottom w:type="dxa" w:w="60"/>
              <w:right w:type="dxa" w:w="100"/>
            </w:tcMar>
            <w:vAlign w:val="center"/>
          </w:tcPr>
          <w:p>
            <w:r>
              <w:rPr>
                <w:sz w:val="19"/>
                <w:szCs w:val="19"/>
              </w:rPr>
              <w:t xml:space="preserve">Immediate review; 2nd in 90 days = probation; 3rd = termination</w:t>
            </w:r>
          </w:p>
        </w:tc>
      </w:tr>
      <w:tr>
        <w:tc>
          <w:tcPr>
            <w:tcW w:type="dxa" w:w="3328"/>
            <w:shd w:fill="DCE6F1" w:color="auto" w:val="clear"/>
            <w:tcMar>
              <w:top w:type="dxa" w:w="60"/>
              <w:left w:type="dxa" w:w="100"/>
              <w:bottom w:type="dxa" w:w="60"/>
              <w:right w:type="dxa" w:w="100"/>
            </w:tcMar>
            <w:vAlign w:val="center"/>
          </w:tcPr>
          <w:p>
            <w:r>
              <w:rPr>
                <w:sz w:val="19"/>
                <w:szCs w:val="19"/>
              </w:rPr>
              <w:t xml:space="preserve">Technician identification</w:t>
            </w:r>
          </w:p>
        </w:tc>
        <w:tc>
          <w:tcPr>
            <w:tcW w:type="dxa" w:w="3328"/>
            <w:shd w:fill="DCE6F1" w:color="auto" w:val="clear"/>
            <w:tcMar>
              <w:top w:type="dxa" w:w="60"/>
              <w:left w:type="dxa" w:w="100"/>
              <w:bottom w:type="dxa" w:w="60"/>
              <w:right w:type="dxa" w:w="100"/>
            </w:tcMar>
            <w:vAlign w:val="center"/>
          </w:tcPr>
          <w:p>
            <w:r>
              <w:rPr>
                <w:sz w:val="19"/>
                <w:szCs w:val="19"/>
              </w:rPr>
              <w:t xml:space="preserve">Platform ID badge + company ID displayed</w:t>
            </w:r>
          </w:p>
        </w:tc>
        <w:tc>
          <w:tcPr>
            <w:tcW w:type="dxa" w:w="2704"/>
            <w:shd w:fill="DCE6F1" w:color="auto" w:val="clear"/>
            <w:tcMar>
              <w:top w:type="dxa" w:w="60"/>
              <w:left w:type="dxa" w:w="100"/>
              <w:bottom w:type="dxa" w:w="60"/>
              <w:right w:type="dxa" w:w="100"/>
            </w:tcMar>
            <w:vAlign w:val="center"/>
          </w:tcPr>
          <w:p>
            <w:r>
              <w:rPr>
                <w:sz w:val="19"/>
                <w:szCs w:val="19"/>
              </w:rPr>
              <w:t xml:space="preserve">Job refusable by customer; retraining required</w:t>
            </w:r>
          </w:p>
        </w:tc>
      </w:tr>
      <w:tr>
        <w:tc>
          <w:tcPr>
            <w:tcW w:type="dxa" w:w="3328"/>
            <w:shd w:fill="FFFFFF" w:color="auto" w:val="clear"/>
            <w:tcMar>
              <w:top w:type="dxa" w:w="60"/>
              <w:left w:type="dxa" w:w="100"/>
              <w:bottom w:type="dxa" w:w="60"/>
              <w:right w:type="dxa" w:w="100"/>
            </w:tcMar>
            <w:vAlign w:val="center"/>
          </w:tcPr>
          <w:p>
            <w:r>
              <w:rPr>
                <w:sz w:val="19"/>
                <w:szCs w:val="19"/>
              </w:rPr>
              <w:t xml:space="preserve">Upfront pricing adherence</w:t>
            </w:r>
          </w:p>
        </w:tc>
        <w:tc>
          <w:tcPr>
            <w:tcW w:type="dxa" w:w="3328"/>
            <w:shd w:fill="FFFFFF" w:color="auto" w:val="clear"/>
            <w:tcMar>
              <w:top w:type="dxa" w:w="60"/>
              <w:left w:type="dxa" w:w="100"/>
              <w:bottom w:type="dxa" w:w="60"/>
              <w:right w:type="dxa" w:w="100"/>
            </w:tcMar>
            <w:vAlign w:val="center"/>
          </w:tcPr>
          <w:p>
            <w:r>
              <w:rPr>
                <w:sz w:val="19"/>
                <w:szCs w:val="19"/>
              </w:rPr>
              <w:t xml:space="preserve">Quote within published band or get approval for deviation</w:t>
            </w:r>
          </w:p>
        </w:tc>
        <w:tc>
          <w:tcPr>
            <w:tcW w:type="dxa" w:w="2704"/>
            <w:shd w:fill="FFFFFF" w:color="auto" w:val="clear"/>
            <w:tcMar>
              <w:top w:type="dxa" w:w="60"/>
              <w:left w:type="dxa" w:w="100"/>
              <w:bottom w:type="dxa" w:w="60"/>
              <w:right w:type="dxa" w:w="100"/>
            </w:tcMar>
            <w:vAlign w:val="center"/>
          </w:tcPr>
          <w:p>
            <w:r>
              <w:rPr>
                <w:sz w:val="19"/>
                <w:szCs w:val="19"/>
              </w:rPr>
              <w:t xml:space="preserve">Case-by-case review; repeated overcharging = removal</w:t>
            </w:r>
          </w:p>
        </w:tc>
      </w:tr>
      <w:tr>
        <w:tc>
          <w:tcPr>
            <w:tcW w:type="dxa" w:w="3328"/>
            <w:shd w:fill="DCE6F1" w:color="auto" w:val="clear"/>
            <w:tcMar>
              <w:top w:type="dxa" w:w="60"/>
              <w:left w:type="dxa" w:w="100"/>
              <w:bottom w:type="dxa" w:w="60"/>
              <w:right w:type="dxa" w:w="100"/>
            </w:tcMar>
            <w:vAlign w:val="center"/>
          </w:tcPr>
          <w:p>
            <w:r>
              <w:rPr>
                <w:sz w:val="19"/>
                <w:szCs w:val="19"/>
              </w:rPr>
              <w:t xml:space="preserve">Workmanship warranty compliance</w:t>
            </w:r>
          </w:p>
        </w:tc>
        <w:tc>
          <w:tcPr>
            <w:tcW w:type="dxa" w:w="3328"/>
            <w:shd w:fill="DCE6F1" w:color="auto" w:val="clear"/>
            <w:tcMar>
              <w:top w:type="dxa" w:w="60"/>
              <w:left w:type="dxa" w:w="100"/>
              <w:bottom w:type="dxa" w:w="60"/>
              <w:right w:type="dxa" w:w="100"/>
            </w:tcMar>
            <w:vAlign w:val="center"/>
          </w:tcPr>
          <w:p>
            <w:r>
              <w:rPr>
                <w:sz w:val="19"/>
                <w:szCs w:val="19"/>
              </w:rPr>
              <w:t xml:space="preserve">Free return fix within warranty period</w:t>
            </w:r>
          </w:p>
        </w:tc>
        <w:tc>
          <w:tcPr>
            <w:tcW w:type="dxa" w:w="2704"/>
            <w:shd w:fill="DCE6F1" w:color="auto" w:val="clear"/>
            <w:tcMar>
              <w:top w:type="dxa" w:w="60"/>
              <w:left w:type="dxa" w:w="100"/>
              <w:bottom w:type="dxa" w:w="60"/>
              <w:right w:type="dxa" w:w="100"/>
            </w:tcMar>
            <w:vAlign w:val="center"/>
          </w:tcPr>
          <w:p>
            <w:r>
              <w:rPr>
                <w:sz w:val="19"/>
                <w:szCs w:val="19"/>
              </w:rPr>
              <w:t xml:space="preserve">Cost absorbed by contractor as standard trade practice</w:t>
            </w:r>
          </w:p>
        </w:tc>
      </w:tr>
      <w:tr>
        <w:tc>
          <w:tcPr>
            <w:tcW w:type="dxa" w:w="3328"/>
            <w:shd w:fill="FFFFFF" w:color="auto" w:val="clear"/>
            <w:tcMar>
              <w:top w:type="dxa" w:w="60"/>
              <w:left w:type="dxa" w:w="100"/>
              <w:bottom w:type="dxa" w:w="60"/>
              <w:right w:type="dxa" w:w="100"/>
            </w:tcMar>
            <w:vAlign w:val="center"/>
          </w:tcPr>
          <w:p>
            <w:r>
              <w:rPr>
                <w:sz w:val="19"/>
                <w:szCs w:val="19"/>
              </w:rPr>
              <w:t xml:space="preserve">Safety &amp; licensing</w:t>
            </w:r>
          </w:p>
        </w:tc>
        <w:tc>
          <w:tcPr>
            <w:tcW w:type="dxa" w:w="3328"/>
            <w:shd w:fill="FFFFFF" w:color="auto" w:val="clear"/>
            <w:tcMar>
              <w:top w:type="dxa" w:w="60"/>
              <w:left w:type="dxa" w:w="100"/>
              <w:bottom w:type="dxa" w:w="60"/>
              <w:right w:type="dxa" w:w="100"/>
            </w:tcMar>
            <w:vAlign w:val="center"/>
          </w:tcPr>
          <w:p>
            <w:r>
              <w:rPr>
                <w:sz w:val="19"/>
                <w:szCs w:val="19"/>
              </w:rPr>
              <w:t xml:space="preserve">Maintain valid licensing/insurance at all times, self-report lapses</w:t>
            </w:r>
          </w:p>
        </w:tc>
        <w:tc>
          <w:tcPr>
            <w:tcW w:type="dxa" w:w="2704"/>
            <w:shd w:fill="FFFFFF" w:color="auto" w:val="clear"/>
            <w:tcMar>
              <w:top w:type="dxa" w:w="60"/>
              <w:left w:type="dxa" w:w="100"/>
              <w:bottom w:type="dxa" w:w="60"/>
              <w:right w:type="dxa" w:w="100"/>
            </w:tcMar>
            <w:vAlign w:val="center"/>
          </w:tcPr>
          <w:p>
            <w:r>
              <w:rPr>
                <w:sz w:val="19"/>
                <w:szCs w:val="19"/>
              </w:rPr>
              <w:t xml:space="preserve">Immediate suspension pending resolution</w:t>
            </w:r>
          </w:p>
        </w:tc>
      </w:tr>
      <w:tr>
        <w:tc>
          <w:tcPr>
            <w:tcW w:type="dxa" w:w="3328"/>
            <w:shd w:fill="DCE6F1" w:color="auto" w:val="clear"/>
            <w:tcMar>
              <w:top w:type="dxa" w:w="60"/>
              <w:left w:type="dxa" w:w="100"/>
              <w:bottom w:type="dxa" w:w="60"/>
              <w:right w:type="dxa" w:w="100"/>
            </w:tcMar>
            <w:vAlign w:val="center"/>
          </w:tcPr>
          <w:p>
            <w:r>
              <w:rPr>
                <w:sz w:val="19"/>
                <w:szCs w:val="19"/>
              </w:rPr>
              <w:t xml:space="preserve">Property care</w:t>
            </w:r>
          </w:p>
        </w:tc>
        <w:tc>
          <w:tcPr>
            <w:tcW w:type="dxa" w:w="3328"/>
            <w:shd w:fill="DCE6F1" w:color="auto" w:val="clear"/>
            <w:tcMar>
              <w:top w:type="dxa" w:w="60"/>
              <w:left w:type="dxa" w:w="100"/>
              <w:bottom w:type="dxa" w:w="60"/>
              <w:right w:type="dxa" w:w="100"/>
            </w:tcMar>
            <w:vAlign w:val="center"/>
          </w:tcPr>
          <w:p>
            <w:r>
              <w:rPr>
                <w:sz w:val="19"/>
                <w:szCs w:val="19"/>
              </w:rPr>
              <w:t xml:space="preserve">No damage beyond job scope; immediate self-reporting of any damage</w:t>
            </w:r>
          </w:p>
        </w:tc>
        <w:tc>
          <w:tcPr>
            <w:tcW w:type="dxa" w:w="2704"/>
            <w:shd w:fill="DCE6F1" w:color="auto" w:val="clear"/>
            <w:tcMar>
              <w:top w:type="dxa" w:w="60"/>
              <w:left w:type="dxa" w:w="100"/>
              <w:bottom w:type="dxa" w:w="60"/>
              <w:right w:type="dxa" w:w="100"/>
            </w:tcMar>
            <w:vAlign w:val="center"/>
          </w:tcPr>
          <w:p>
            <w:r>
              <w:rPr>
                <w:sz w:val="19"/>
                <w:szCs w:val="19"/>
              </w:rPr>
              <w:t xml:space="preserve">Claims draw from the security holdback; repeated incidents = termination</w:t>
            </w:r>
          </w:p>
        </w:tc>
      </w:tr>
      <w:tr>
        <w:tc>
          <w:tcPr>
            <w:tcW w:type="dxa" w:w="3328"/>
            <w:shd w:fill="FFFFFF" w:color="auto" w:val="clear"/>
            <w:tcMar>
              <w:top w:type="dxa" w:w="60"/>
              <w:left w:type="dxa" w:w="100"/>
              <w:bottom w:type="dxa" w:w="60"/>
              <w:right w:type="dxa" w:w="100"/>
            </w:tcMar>
            <w:vAlign w:val="center"/>
          </w:tcPr>
          <w:p>
            <w:r>
              <w:rPr>
                <w:sz w:val="19"/>
                <w:szCs w:val="19"/>
              </w:rPr>
              <w:t xml:space="preserve">Conduct</w:t>
            </w:r>
          </w:p>
        </w:tc>
        <w:tc>
          <w:tcPr>
            <w:tcW w:type="dxa" w:w="3328"/>
            <w:shd w:fill="FFFFFF" w:color="auto" w:val="clear"/>
            <w:tcMar>
              <w:top w:type="dxa" w:w="60"/>
              <w:left w:type="dxa" w:w="100"/>
              <w:bottom w:type="dxa" w:w="60"/>
              <w:right w:type="dxa" w:w="100"/>
            </w:tcMar>
            <w:vAlign w:val="center"/>
          </w:tcPr>
          <w:p>
            <w:r>
              <w:rPr>
                <w:sz w:val="19"/>
                <w:szCs w:val="19"/>
              </w:rPr>
              <w:t xml:space="preserve">Professional, respectful, no smoking indoors</w:t>
            </w:r>
          </w:p>
        </w:tc>
        <w:tc>
          <w:tcPr>
            <w:tcW w:type="dxa" w:w="2704"/>
            <w:shd w:fill="FFFFFF" w:color="auto" w:val="clear"/>
            <w:tcMar>
              <w:top w:type="dxa" w:w="60"/>
              <w:left w:type="dxa" w:w="100"/>
              <w:bottom w:type="dxa" w:w="60"/>
              <w:right w:type="dxa" w:w="100"/>
            </w:tcMar>
            <w:vAlign w:val="center"/>
          </w:tcPr>
          <w:p>
            <w:r>
              <w:rPr>
                <w:sz w:val="19"/>
                <w:szCs w:val="19"/>
              </w:rPr>
              <w:t xml:space="preserve">Verified harassment/theft = immediate suspension, likely termination</w:t>
            </w:r>
          </w:p>
        </w:tc>
      </w:tr>
    </w:tbl>
    <w:p>
      <w:pPr>
        <w:pStyle w:val="Heading2"/>
        <w:spacing w:after="120" w:before="260"/>
      </w:pPr>
      <w:r>
        <w:t xml:space="preserve">Trade-specific SLA notes</w:t>
      </w:r>
    </w:p>
    <w:p>
      <w:pPr>
        <w:pStyle w:val="ListParagraph"/>
        <w:numPr>
          <w:ilvl w:val="0"/>
          <w:numId w:val="2"/>
        </w:numPr>
        <w:spacing w:after="80"/>
      </w:pPr>
      <w:r>
        <w:rPr>
          <w:b/>
          <w:bCs/>
        </w:rPr>
        <w:t xml:space="preserve">Electrical: </w:t>
      </w:r>
      <w:r>
        <w:t xml:space="preserve">safety-critical — require a documented safety checklist confirming power isolation before work on a main panel/breaker box.</w:t>
      </w:r>
    </w:p>
    <w:p>
      <w:pPr>
        <w:pStyle w:val="ListParagraph"/>
        <w:numPr>
          <w:ilvl w:val="0"/>
          <w:numId w:val="2"/>
        </w:numPr>
        <w:spacing w:after="80"/>
      </w:pPr>
      <w:r>
        <w:rPr>
          <w:b/>
          <w:bCs/>
        </w:rPr>
        <w:t xml:space="preserve">Plumbing: </w:t>
      </w:r>
      <w:r>
        <w:t xml:space="preserve">require confirmed water-supply isolation before starting, and a dry, cleaned work area afterward.</w:t>
      </w:r>
    </w:p>
    <w:p>
      <w:pPr>
        <w:pStyle w:val="ListParagraph"/>
        <w:numPr>
          <w:ilvl w:val="0"/>
          <w:numId w:val="2"/>
        </w:numPr>
        <w:spacing w:after="80"/>
      </w:pPr>
      <w:r>
        <w:rPr>
          <w:b/>
          <w:bCs/>
        </w:rPr>
        <w:t xml:space="preserve">HVAC: </w:t>
      </w:r>
      <w:r>
        <w:t xml:space="preserve">seasonal surge may require explicitly wider summer SLA windows, communicated transparently rather than over-promised and broken.</w:t>
      </w:r>
    </w:p>
    <w:p>
      <w:pPr>
        <w:pStyle w:val="ListParagraph"/>
        <w:numPr>
          <w:ilvl w:val="0"/>
          <w:numId w:val="2"/>
        </w:numPr>
        <w:spacing w:after="80"/>
      </w:pPr>
      <w:r>
        <w:rPr>
          <w:b/>
          <w:bCs/>
        </w:rPr>
        <w:t xml:space="preserve">Civil finishes: </w:t>
      </w:r>
      <w:r>
        <w:t xml:space="preserve">multi-day jobs need milestone-based check-ins rather than a single arrival-window promise, plus clear furniture/dust protection expectations.</w:t>
      </w:r>
    </w:p>
    <w:p>
      <w:pPr>
        <w:pStyle w:val="Heading2"/>
        <w:spacing w:after="120" w:before="260"/>
      </w:pPr>
      <w:r>
        <w:t xml:space="preserve">Why this two-sided structure matters</w:t>
      </w:r>
    </w:p>
    <w:p>
      <w:pPr>
        <w:spacing w:after="160"/>
        <w:jc w:val="left"/>
      </w:pPr>
      <w:r>
        <w:t xml:space="preserve">The customer-facing SLA is the marketing promise that makes people trust the app enough to book a stranger into their home. The contractor-facing SLA is the operational mechanism that makes that promise deliverable. Build and enforce the contractor SLA before marketing the customer SLA aggressively.</w:t>
      </w:r>
    </w:p>
    <w:p>
      <w:pPr>
        <w:pStyle w:val="Heading1"/>
        <w:pageBreakBefore/>
        <w:spacing w:after="200" w:before="400"/>
      </w:pPr>
      <w:r>
        <w:t xml:space="preserve">9. Recommendations &amp; Roadmap</w:t>
      </w:r>
    </w:p>
    <w:p>
      <w:pPr>
        <w:pStyle w:val="Heading2"/>
        <w:spacing w:after="120" w:before="260"/>
      </w:pPr>
      <w:r>
        <w:t xml:space="preserve">What this plan covers well</w:t>
      </w:r>
    </w:p>
    <w:p>
      <w:pPr>
        <w:spacing w:after="160"/>
        <w:jc w:val="left"/>
      </w:pPr>
      <w:r>
        <w:t xml:space="preserve">Overall business model and unit economics; market sizing, competitive landscape, and segmentation grounded in cited 2026 KSA data; a realistic budgeting framework; risk identification and mitigation; the structure and content of the contractor partnership program and SLAs; a phased, capital-efficient rollout sequence; and a clear checklist of which licensed professionals are needed, for what, and when. Use this package as the brief handed to a lawyer, accountant, developer, or bank.</w:t>
      </w:r>
    </w:p>
    <w:p>
      <w:pPr>
        <w:pStyle w:val="Heading2"/>
        <w:spacing w:after="120" w:before="260"/>
      </w:pPr>
      <w:r>
        <w:t xml:space="preserve">What this plan cannot do — and exactly who to hire instead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12"/>
        <w:gridCol w:w="3744"/>
        <w:gridCol w:w="2704"/>
      </w:tblGrid>
      <w:tr>
        <w:trPr>
          <w:tblHeader/>
        </w:trPr>
        <w:tc>
          <w:tcPr>
            <w:tcW w:type="dxa" w:w="2912"/>
            <w:shd w:fill="1F3864" w:color="auto" w:val="clear"/>
            <w:tcMar>
              <w:top w:type="dxa" w:w="80"/>
              <w:left w:type="dxa" w:w="100"/>
              <w:bottom w:type="dxa" w:w="80"/>
              <w:right w:type="dxa" w:w="100"/>
            </w:tcMar>
            <w:vAlign w:val="center"/>
          </w:tcPr>
          <w:p>
            <w:r>
              <w:rPr>
                <w:b/>
                <w:bCs/>
                <w:color w:val="FFFFFF"/>
                <w:sz w:val="20"/>
                <w:szCs w:val="20"/>
              </w:rPr>
              <w:t xml:space="preserve">You need…</w:t>
            </w:r>
          </w:p>
        </w:tc>
        <w:tc>
          <w:tcPr>
            <w:tcW w:type="dxa" w:w="3744"/>
            <w:shd w:fill="1F3864" w:color="auto" w:val="clear"/>
            <w:tcMar>
              <w:top w:type="dxa" w:w="80"/>
              <w:left w:type="dxa" w:w="100"/>
              <w:bottom w:type="dxa" w:w="80"/>
              <w:right w:type="dxa" w:w="100"/>
            </w:tcMar>
            <w:vAlign w:val="center"/>
          </w:tcPr>
          <w:p>
            <w:r>
              <w:rPr>
                <w:b/>
                <w:bCs/>
                <w:color w:val="FFFFFF"/>
                <w:sz w:val="20"/>
                <w:szCs w:val="20"/>
              </w:rPr>
              <w:t xml:space="preserve">Because…</w:t>
            </w:r>
          </w:p>
        </w:tc>
        <w:tc>
          <w:tcPr>
            <w:tcW w:type="dxa" w:w="2704"/>
            <w:shd w:fill="1F3864" w:color="auto" w:val="clear"/>
            <w:tcMar>
              <w:top w:type="dxa" w:w="80"/>
              <w:left w:type="dxa" w:w="100"/>
              <w:bottom w:type="dxa" w:w="80"/>
              <w:right w:type="dxa" w:w="100"/>
            </w:tcMar>
            <w:vAlign w:val="center"/>
          </w:tcPr>
          <w:p>
            <w:r>
              <w:rPr>
                <w:b/>
                <w:bCs/>
                <w:color w:val="FFFFFF"/>
                <w:sz w:val="20"/>
                <w:szCs w:val="20"/>
              </w:rPr>
              <w:t xml:space="preserve">Get this specifically</w:t>
            </w:r>
          </w:p>
        </w:tc>
      </w:tr>
      <w:tr>
        <w:tc>
          <w:tcPr>
            <w:tcW w:type="dxa" w:w="2912"/>
            <w:shd w:fill="FFFFFF" w:color="auto" w:val="clear"/>
            <w:tcMar>
              <w:top w:type="dxa" w:w="60"/>
              <w:left w:type="dxa" w:w="100"/>
              <w:bottom w:type="dxa" w:w="60"/>
              <w:right w:type="dxa" w:w="100"/>
            </w:tcMar>
            <w:vAlign w:val="center"/>
          </w:tcPr>
          <w:p>
            <w:r>
              <w:rPr>
                <w:sz w:val="19"/>
                <w:szCs w:val="19"/>
              </w:rPr>
              <w:t xml:space="preserve">A Saudi corporate/commercial lawyer</w:t>
            </w:r>
          </w:p>
        </w:tc>
        <w:tc>
          <w:tcPr>
            <w:tcW w:type="dxa" w:w="3744"/>
            <w:shd w:fill="FFFFFF" w:color="auto" w:val="clear"/>
            <w:tcMar>
              <w:top w:type="dxa" w:w="60"/>
              <w:left w:type="dxa" w:w="100"/>
              <w:bottom w:type="dxa" w:w="60"/>
              <w:right w:type="dxa" w:w="100"/>
            </w:tcMar>
            <w:vAlign w:val="center"/>
          </w:tcPr>
          <w:p>
            <w:r>
              <w:rPr>
                <w:sz w:val="19"/>
                <w:szCs w:val="19"/>
              </w:rPr>
              <w:t xml:space="preserve">To file the CR with the correct activity code, confirm the trade-license question, draft the Partnership Agreement, ToS/Privacy Policy, and confirm PDPL compliance</w:t>
            </w:r>
          </w:p>
        </w:tc>
        <w:tc>
          <w:tcPr>
            <w:tcW w:type="dxa" w:w="2704"/>
            <w:shd w:fill="FFFFFF" w:color="auto" w:val="clear"/>
            <w:tcMar>
              <w:top w:type="dxa" w:w="60"/>
              <w:left w:type="dxa" w:w="100"/>
              <w:bottom w:type="dxa" w:w="60"/>
              <w:right w:type="dxa" w:w="100"/>
            </w:tcMar>
            <w:vAlign w:val="center"/>
          </w:tcPr>
          <w:p>
            <w:r>
              <w:rPr>
                <w:sz w:val="19"/>
                <w:szCs w:val="19"/>
              </w:rPr>
              <w:t xml:space="preserve">A written legal opinion on licensing classification before spending on app development — the top-priority external hire</w:t>
            </w:r>
          </w:p>
        </w:tc>
      </w:tr>
      <w:tr>
        <w:tc>
          <w:tcPr>
            <w:tcW w:type="dxa" w:w="2912"/>
            <w:shd w:fill="DCE6F1" w:color="auto" w:val="clear"/>
            <w:tcMar>
              <w:top w:type="dxa" w:w="60"/>
              <w:left w:type="dxa" w:w="100"/>
              <w:bottom w:type="dxa" w:w="60"/>
              <w:right w:type="dxa" w:w="100"/>
            </w:tcMar>
            <w:vAlign w:val="center"/>
          </w:tcPr>
          <w:p>
            <w:r>
              <w:rPr>
                <w:sz w:val="19"/>
                <w:szCs w:val="19"/>
              </w:rPr>
              <w:t xml:space="preserve">A licensed accountant (ZATCA e-invoicing experienced)</w:t>
            </w:r>
          </w:p>
        </w:tc>
        <w:tc>
          <w:tcPr>
            <w:tcW w:type="dxa" w:w="3744"/>
            <w:shd w:fill="DCE6F1" w:color="auto" w:val="clear"/>
            <w:tcMar>
              <w:top w:type="dxa" w:w="60"/>
              <w:left w:type="dxa" w:w="100"/>
              <w:bottom w:type="dxa" w:w="60"/>
              <w:right w:type="dxa" w:w="100"/>
            </w:tcMar>
            <w:vAlign w:val="center"/>
          </w:tcPr>
          <w:p>
            <w:r>
              <w:rPr>
                <w:sz w:val="19"/>
                <w:szCs w:val="19"/>
              </w:rPr>
              <w:t xml:space="preserve">To register for VAT/Zakat correctly and build a real 3-statement financial model</w:t>
            </w:r>
          </w:p>
        </w:tc>
        <w:tc>
          <w:tcPr>
            <w:tcW w:type="dxa" w:w="2704"/>
            <w:shd w:fill="DCE6F1" w:color="auto" w:val="clear"/>
            <w:tcMar>
              <w:top w:type="dxa" w:w="60"/>
              <w:left w:type="dxa" w:w="100"/>
              <w:bottom w:type="dxa" w:w="60"/>
              <w:right w:type="dxa" w:w="100"/>
            </w:tcMar>
            <w:vAlign w:val="center"/>
          </w:tcPr>
          <w:p>
            <w:r>
              <w:rPr>
                <w:sz w:val="19"/>
                <w:szCs w:val="19"/>
              </w:rPr>
              <w:t xml:space="preserve">Engage before first revenue, ideally before Stage 0 spending</w:t>
            </w:r>
          </w:p>
        </w:tc>
      </w:tr>
      <w:tr>
        <w:tc>
          <w:tcPr>
            <w:tcW w:type="dxa" w:w="2912"/>
            <w:shd w:fill="FFFFFF" w:color="auto" w:val="clear"/>
            <w:tcMar>
              <w:top w:type="dxa" w:w="60"/>
              <w:left w:type="dxa" w:w="100"/>
              <w:bottom w:type="dxa" w:w="60"/>
              <w:right w:type="dxa" w:w="100"/>
            </w:tcMar>
            <w:vAlign w:val="center"/>
          </w:tcPr>
          <w:p>
            <w:r>
              <w:rPr>
                <w:sz w:val="19"/>
                <w:szCs w:val="19"/>
              </w:rPr>
              <w:t xml:space="preserve">An app development agency or CTO</w:t>
            </w:r>
          </w:p>
        </w:tc>
        <w:tc>
          <w:tcPr>
            <w:tcW w:type="dxa" w:w="3744"/>
            <w:shd w:fill="FFFFFF" w:color="auto" w:val="clear"/>
            <w:tcMar>
              <w:top w:type="dxa" w:w="60"/>
              <w:left w:type="dxa" w:w="100"/>
              <w:bottom w:type="dxa" w:w="60"/>
              <w:right w:type="dxa" w:w="100"/>
            </w:tcMar>
            <w:vAlign w:val="center"/>
          </w:tcPr>
          <w:p>
            <w:r>
              <w:rPr>
                <w:sz w:val="19"/>
                <w:szCs w:val="19"/>
              </w:rPr>
              <w:t xml:space="preserve">To design, build, and maintain the customer app, contractor app, and admin dashboard</w:t>
            </w:r>
          </w:p>
        </w:tc>
        <w:tc>
          <w:tcPr>
            <w:tcW w:type="dxa" w:w="2704"/>
            <w:shd w:fill="FFFFFF" w:color="auto" w:val="clear"/>
            <w:tcMar>
              <w:top w:type="dxa" w:w="60"/>
              <w:left w:type="dxa" w:w="100"/>
              <w:bottom w:type="dxa" w:w="60"/>
              <w:right w:type="dxa" w:w="100"/>
            </w:tcMar>
            <w:vAlign w:val="center"/>
          </w:tcPr>
          <w:p>
            <w:r>
              <w:rPr>
                <w:sz w:val="19"/>
                <w:szCs w:val="19"/>
              </w:rPr>
              <w:t xml:space="preserve">3+ competing quotes; use this package as the brief; ask about GCC marketplace-app experience</w:t>
            </w:r>
          </w:p>
        </w:tc>
      </w:tr>
      <w:tr>
        <w:tc>
          <w:tcPr>
            <w:tcW w:type="dxa" w:w="2912"/>
            <w:shd w:fill="DCE6F1" w:color="auto" w:val="clear"/>
            <w:tcMar>
              <w:top w:type="dxa" w:w="60"/>
              <w:left w:type="dxa" w:w="100"/>
              <w:bottom w:type="dxa" w:w="60"/>
              <w:right w:type="dxa" w:w="100"/>
            </w:tcMar>
            <w:vAlign w:val="center"/>
          </w:tcPr>
          <w:p>
            <w:r>
              <w:rPr>
                <w:sz w:val="19"/>
                <w:szCs w:val="19"/>
              </w:rPr>
              <w:t xml:space="preserve">A SAMA-licensed payment gateway provider</w:t>
            </w:r>
          </w:p>
        </w:tc>
        <w:tc>
          <w:tcPr>
            <w:tcW w:type="dxa" w:w="3744"/>
            <w:shd w:fill="DCE6F1" w:color="auto" w:val="clear"/>
            <w:tcMar>
              <w:top w:type="dxa" w:w="60"/>
              <w:left w:type="dxa" w:w="100"/>
              <w:bottom w:type="dxa" w:w="60"/>
              <w:right w:type="dxa" w:w="100"/>
            </w:tcMar>
            <w:vAlign w:val="center"/>
          </w:tcPr>
          <w:p>
            <w:r>
              <w:rPr>
                <w:sz w:val="19"/>
                <w:szCs w:val="19"/>
              </w:rPr>
              <w:t xml:space="preserve">Payment collection/disbursement is regulated</w:t>
            </w:r>
          </w:p>
        </w:tc>
        <w:tc>
          <w:tcPr>
            <w:tcW w:type="dxa" w:w="2704"/>
            <w:shd w:fill="DCE6F1" w:color="auto" w:val="clear"/>
            <w:tcMar>
              <w:top w:type="dxa" w:w="60"/>
              <w:left w:type="dxa" w:w="100"/>
              <w:bottom w:type="dxa" w:w="60"/>
              <w:right w:type="dxa" w:w="100"/>
            </w:tcMar>
            <w:vAlign w:val="center"/>
          </w:tcPr>
          <w:p>
            <w:r>
              <w:rPr>
                <w:sz w:val="19"/>
                <w:szCs w:val="19"/>
              </w:rPr>
              <w:t xml:space="preserve">Approach 2–3 providers for integration terms and fees</w:t>
            </w:r>
          </w:p>
        </w:tc>
      </w:tr>
      <w:tr>
        <w:tc>
          <w:tcPr>
            <w:tcW w:type="dxa" w:w="2912"/>
            <w:shd w:fill="FFFFFF" w:color="auto" w:val="clear"/>
            <w:tcMar>
              <w:top w:type="dxa" w:w="60"/>
              <w:left w:type="dxa" w:w="100"/>
              <w:bottom w:type="dxa" w:w="60"/>
              <w:right w:type="dxa" w:w="100"/>
            </w:tcMar>
            <w:vAlign w:val="center"/>
          </w:tcPr>
          <w:p>
            <w:r>
              <w:rPr>
                <w:sz w:val="19"/>
                <w:szCs w:val="19"/>
              </w:rPr>
              <w:t xml:space="preserve">An insurance broker</w:t>
            </w:r>
          </w:p>
        </w:tc>
        <w:tc>
          <w:tcPr>
            <w:tcW w:type="dxa" w:w="3744"/>
            <w:shd w:fill="FFFFFF" w:color="auto" w:val="clear"/>
            <w:tcMar>
              <w:top w:type="dxa" w:w="60"/>
              <w:left w:type="dxa" w:w="100"/>
              <w:bottom w:type="dxa" w:w="60"/>
              <w:right w:type="dxa" w:w="100"/>
            </w:tcMar>
            <w:vAlign w:val="center"/>
          </w:tcPr>
          <w:p>
            <w:r>
              <w:rPr>
                <w:sz w:val="19"/>
                <w:szCs w:val="19"/>
              </w:rPr>
              <w:t xml:space="preserve">To structure the platform liability policy and contractor insurance requirements</w:t>
            </w:r>
          </w:p>
        </w:tc>
        <w:tc>
          <w:tcPr>
            <w:tcW w:type="dxa" w:w="2704"/>
            <w:shd w:fill="FFFFFF" w:color="auto" w:val="clear"/>
            <w:tcMar>
              <w:top w:type="dxa" w:w="60"/>
              <w:left w:type="dxa" w:w="100"/>
              <w:bottom w:type="dxa" w:w="60"/>
              <w:right w:type="dxa" w:w="100"/>
            </w:tcMar>
            <w:vAlign w:val="center"/>
          </w:tcPr>
          <w:p>
            <w:r>
              <w:rPr>
                <w:sz w:val="19"/>
                <w:szCs w:val="19"/>
              </w:rPr>
              <w:t xml:space="preserve">Engage once the operating model is confirmed post-legal-opinion</w:t>
            </w:r>
          </w:p>
        </w:tc>
      </w:tr>
      <w:tr>
        <w:tc>
          <w:tcPr>
            <w:tcW w:type="dxa" w:w="2912"/>
            <w:shd w:fill="DCE6F1" w:color="auto" w:val="clear"/>
            <w:tcMar>
              <w:top w:type="dxa" w:w="60"/>
              <w:left w:type="dxa" w:w="100"/>
              <w:bottom w:type="dxa" w:w="60"/>
              <w:right w:type="dxa" w:w="100"/>
            </w:tcMar>
            <w:vAlign w:val="center"/>
          </w:tcPr>
          <w:p>
            <w:r>
              <w:rPr>
                <w:sz w:val="19"/>
                <w:szCs w:val="19"/>
              </w:rPr>
              <w:t xml:space="preserve">An HR/labor law consultant</w:t>
            </w:r>
          </w:p>
        </w:tc>
        <w:tc>
          <w:tcPr>
            <w:tcW w:type="dxa" w:w="3744"/>
            <w:shd w:fill="DCE6F1" w:color="auto" w:val="clear"/>
            <w:tcMar>
              <w:top w:type="dxa" w:w="60"/>
              <w:left w:type="dxa" w:w="100"/>
              <w:bottom w:type="dxa" w:w="60"/>
              <w:right w:type="dxa" w:w="100"/>
            </w:tcMar>
            <w:vAlign w:val="center"/>
          </w:tcPr>
          <w:p>
            <w:r>
              <w:rPr>
                <w:sz w:val="19"/>
                <w:szCs w:val="19"/>
              </w:rPr>
              <w:t xml:space="preserve">To model the Nitaqat (Saudization) quota and hiring mix correctly</w:t>
            </w:r>
          </w:p>
        </w:tc>
        <w:tc>
          <w:tcPr>
            <w:tcW w:type="dxa" w:w="2704"/>
            <w:shd w:fill="DCE6F1" w:color="auto" w:val="clear"/>
            <w:tcMar>
              <w:top w:type="dxa" w:w="60"/>
              <w:left w:type="dxa" w:w="100"/>
              <w:bottom w:type="dxa" w:w="60"/>
              <w:right w:type="dxa" w:w="100"/>
            </w:tcMar>
            <w:vAlign w:val="center"/>
          </w:tcPr>
          <w:p>
            <w:r>
              <w:rPr>
                <w:sz w:val="19"/>
                <w:szCs w:val="19"/>
              </w:rPr>
              <w:t xml:space="preserve">Engage when finalizing the Stage 1 hiring plan</w:t>
            </w:r>
          </w:p>
        </w:tc>
      </w:tr>
      <w:tr>
        <w:tc>
          <w:tcPr>
            <w:tcW w:type="dxa" w:w="2912"/>
            <w:shd w:fill="FFFFFF" w:color="auto" w:val="clear"/>
            <w:tcMar>
              <w:top w:type="dxa" w:w="60"/>
              <w:left w:type="dxa" w:w="100"/>
              <w:bottom w:type="dxa" w:w="60"/>
              <w:right w:type="dxa" w:w="100"/>
            </w:tcMar>
            <w:vAlign w:val="center"/>
          </w:tcPr>
          <w:p>
            <w:r>
              <w:rPr>
                <w:sz w:val="19"/>
                <w:szCs w:val="19"/>
              </w:rPr>
              <w:t xml:space="preserve">A MISA specialist (if any founder/investor is non-Saudi)</w:t>
            </w:r>
          </w:p>
        </w:tc>
        <w:tc>
          <w:tcPr>
            <w:tcW w:type="dxa" w:w="3744"/>
            <w:shd w:fill="FFFFFF" w:color="auto" w:val="clear"/>
            <w:tcMar>
              <w:top w:type="dxa" w:w="60"/>
              <w:left w:type="dxa" w:w="100"/>
              <w:bottom w:type="dxa" w:w="60"/>
              <w:right w:type="dxa" w:w="100"/>
            </w:tcMar>
            <w:vAlign w:val="center"/>
          </w:tcPr>
          <w:p>
            <w:r>
              <w:rPr>
                <w:sz w:val="19"/>
                <w:szCs w:val="19"/>
              </w:rPr>
              <w:t xml:space="preserve">Foreign ownership requires a MISA investment license with its own timeline</w:t>
            </w:r>
          </w:p>
        </w:tc>
        <w:tc>
          <w:tcPr>
            <w:tcW w:type="dxa" w:w="2704"/>
            <w:shd w:fill="FFFFFF" w:color="auto" w:val="clear"/>
            <w:tcMar>
              <w:top w:type="dxa" w:w="60"/>
              <w:left w:type="dxa" w:w="100"/>
              <w:bottom w:type="dxa" w:w="60"/>
              <w:right w:type="dxa" w:w="100"/>
            </w:tcMar>
            <w:vAlign w:val="center"/>
          </w:tcPr>
          <w:p>
            <w:r>
              <w:rPr>
                <w:sz w:val="19"/>
                <w:szCs w:val="19"/>
              </w:rPr>
              <w:t xml:space="preserve">Start in parallel with legal work, not as a launch-week surprise</w:t>
            </w:r>
          </w:p>
        </w:tc>
      </w:tr>
    </w:tbl>
    <w:p>
      <w:pPr>
        <w:pStyle w:val="Heading2"/>
        <w:spacing w:after="120" w:before="260"/>
      </w:pPr>
      <w:r>
        <w:t xml:space="preserve">The recommended sequence</w:t>
      </w:r>
    </w:p>
    <w:p>
      <w:pPr>
        <w:pStyle w:val="Heading3"/>
        <w:spacing w:after="100" w:before="200"/>
      </w:pPr>
      <w:r>
        <w:t xml:space="preserve">Phase 0 — Before spending real money (Weeks 1–4)</w:t>
      </w:r>
    </w:p>
    <w:p>
      <w:pPr>
        <w:pStyle w:val="ListParagraph"/>
        <w:numPr>
          <w:ilvl w:val="0"/>
          <w:numId w:val="2"/>
        </w:numPr>
        <w:spacing w:after="80"/>
      </w:pPr>
      <w:r>
        <w:t xml:space="preserve">Get the licensing legal opinion — this one answer shapes almost everything downstream.</w:t>
      </w:r>
    </w:p>
    <w:p>
      <w:pPr>
        <w:pStyle w:val="ListParagraph"/>
        <w:numPr>
          <w:ilvl w:val="0"/>
          <w:numId w:val="2"/>
        </w:numPr>
        <w:spacing w:after="80"/>
      </w:pPr>
      <w:r>
        <w:t xml:space="preserve">Start informal contractor conversations in Jeddah to gauge real interest and commission tolerance.</w:t>
      </w:r>
    </w:p>
    <w:p>
      <w:pPr>
        <w:pStyle w:val="ListParagraph"/>
        <w:numPr>
          <w:ilvl w:val="0"/>
          <w:numId w:val="2"/>
        </w:numPr>
        <w:spacing w:after="80"/>
      </w:pPr>
      <w:r>
        <w:t xml:space="preserve">Stand up a simple landing page + WhatsApp Business presence at near-zero cost.</w:t>
      </w:r>
    </w:p>
    <w:p>
      <w:pPr>
        <w:pStyle w:val="Heading3"/>
        <w:spacing w:after="100" w:before="200"/>
      </w:pPr>
      <w:r>
        <w:t xml:space="preserve">Stage 0 — Lean Validation (Months 1–3, ~SAR 80,000–120,000)</w:t>
      </w:r>
    </w:p>
    <w:p>
      <w:pPr>
        <w:pStyle w:val="ListParagraph"/>
        <w:numPr>
          <w:ilvl w:val="0"/>
          <w:numId w:val="2"/>
        </w:numPr>
        <w:spacing w:after="80"/>
      </w:pPr>
      <w:r>
        <w:t xml:space="preserve">File CR and Maroof registration.</w:t>
      </w:r>
    </w:p>
    <w:p>
      <w:pPr>
        <w:pStyle w:val="ListParagraph"/>
        <w:numPr>
          <w:ilvl w:val="0"/>
          <w:numId w:val="2"/>
        </w:numPr>
        <w:spacing w:after="80"/>
      </w:pPr>
      <w:r>
        <w:t xml:space="preserve">Sign the first 5–10 contractor partners in Jeddah across all four trade categories.</w:t>
      </w:r>
    </w:p>
    <w:p>
      <w:pPr>
        <w:pStyle w:val="ListParagraph"/>
        <w:numPr>
          <w:ilvl w:val="0"/>
          <w:numId w:val="2"/>
        </w:numPr>
        <w:spacing w:after="80"/>
      </w:pPr>
      <w:r>
        <w:t xml:space="preserve">Run real bookings manually for 6–8 weeks and measure honestly: conversion rate, contractor reliability, satisfaction, real CAC. If discouraging, this is the cheapest point to learn and adjust — far better than after a SAR 600,000 app build.</w:t>
      </w:r>
    </w:p>
    <w:p>
      <w:pPr>
        <w:pStyle w:val="Heading3"/>
        <w:spacing w:after="100" w:before="200"/>
      </w:pPr>
      <w:r>
        <w:t xml:space="preserve">Stage 1 — Full Buildout (Months 3–18, ~SAR 900,000–1,300,000)</w:t>
      </w:r>
    </w:p>
    <w:p>
      <w:pPr>
        <w:pStyle w:val="ListParagraph"/>
        <w:numPr>
          <w:ilvl w:val="0"/>
          <w:numId w:val="2"/>
        </w:numPr>
        <w:spacing w:after="80"/>
      </w:pPr>
      <w:r>
        <w:t xml:space="preserve">Commission the full app build using this package as the brief.</w:t>
      </w:r>
    </w:p>
    <w:p>
      <w:pPr>
        <w:pStyle w:val="ListParagraph"/>
        <w:numPr>
          <w:ilvl w:val="0"/>
          <w:numId w:val="2"/>
        </w:numPr>
        <w:spacing w:after="80"/>
      </w:pPr>
      <w:r>
        <w:t xml:space="preserve">Complete legal documentation, payment gateway integration, and insurance.</w:t>
      </w:r>
    </w:p>
    <w:p>
      <w:pPr>
        <w:pStyle w:val="ListParagraph"/>
        <w:numPr>
          <w:ilvl w:val="0"/>
          <w:numId w:val="2"/>
        </w:numPr>
        <w:spacing w:after="80"/>
      </w:pPr>
      <w:r>
        <w:t xml:space="preserve">Launch publicly in Jeddah, ideally before the summer AC-demand season.</w:t>
      </w:r>
    </w:p>
    <w:p>
      <w:pPr>
        <w:pStyle w:val="ListParagraph"/>
        <w:numPr>
          <w:ilvl w:val="0"/>
          <w:numId w:val="2"/>
        </w:numPr>
        <w:spacing w:after="80"/>
      </w:pPr>
      <w:r>
        <w:t xml:space="preserve">Build out the team per the Financial Plan staffing ramp.</w:t>
      </w:r>
    </w:p>
    <w:p>
      <w:pPr>
        <w:pStyle w:val="ListParagraph"/>
        <w:numPr>
          <w:ilvl w:val="0"/>
          <w:numId w:val="2"/>
        </w:numPr>
        <w:spacing w:after="80"/>
      </w:pPr>
      <w:r>
        <w:t xml:space="preserve">Expand to Riyadh (~month 7) once Jeddah’s contractor density and SLA compliance are proven stable.</w:t>
      </w:r>
    </w:p>
    <w:p>
      <w:pPr>
        <w:pStyle w:val="ListParagraph"/>
        <w:numPr>
          <w:ilvl w:val="0"/>
          <w:numId w:val="2"/>
        </w:numPr>
        <w:spacing w:after="80"/>
      </w:pPr>
      <w:r>
        <w:t xml:space="preserve">Expand to Dammam (~month 10) on the same proof-first basis.</w:t>
      </w:r>
    </w:p>
    <w:p>
      <w:pPr>
        <w:pStyle w:val="ListParagraph"/>
        <w:numPr>
          <w:ilvl w:val="0"/>
          <w:numId w:val="2"/>
        </w:numPr>
        <w:spacing w:after="80"/>
      </w:pPr>
      <w:r>
        <w:t xml:space="preserve">Introduce the “Portal Care” subscription once enough completed jobs and trust signal exist to sell recurring value convincingly.</w:t>
      </w:r>
    </w:p>
    <w:p>
      <w:pPr>
        <w:pStyle w:val="Heading3"/>
        <w:spacing w:after="100" w:before="200"/>
      </w:pPr>
      <w:r>
        <w:t xml:space="preserve">Phase 2 — Consolidate &amp; extend (Months 18+)</w:t>
      </w:r>
    </w:p>
    <w:p>
      <w:pPr>
        <w:pStyle w:val="ListParagraph"/>
        <w:numPr>
          <w:ilvl w:val="0"/>
          <w:numId w:val="2"/>
        </w:numPr>
        <w:spacing w:after="80"/>
      </w:pPr>
      <w:r>
        <w:t xml:space="preserve">Evaluate expansion to Madinah, Taif, Khobar, Jubail based on which Phase 1 city performed best.</w:t>
      </w:r>
    </w:p>
    <w:p>
      <w:pPr>
        <w:pStyle w:val="ListParagraph"/>
        <w:numPr>
          <w:ilvl w:val="0"/>
          <w:numId w:val="2"/>
        </w:numPr>
        <w:spacing w:after="80"/>
      </w:pPr>
      <w:r>
        <w:t xml:space="preserve">Evaluate corporate/facility client expansion once residential operations are stable and profitable.</w:t>
      </w:r>
    </w:p>
    <w:p>
      <w:pPr>
        <w:pStyle w:val="ListParagraph"/>
        <w:numPr>
          <w:ilvl w:val="0"/>
          <w:numId w:val="2"/>
        </w:numPr>
        <w:spacing w:after="80"/>
      </w:pPr>
      <w:r>
        <w:t xml:space="preserve">Revisit whether any high-volume, high-margin service line is worth selectively bringing in-house.</w:t>
      </w:r>
    </w:p>
    <w:p>
      <w:pPr>
        <w:pStyle w:val="Heading2"/>
        <w:spacing w:after="120" w:before="260"/>
      </w:pPr>
      <w:r>
        <w:t xml:space="preserve">A one-page decision checklist for the very next step</w:t>
      </w:r>
    </w:p>
    <w:p>
      <w:pPr>
        <w:pStyle w:val="ListParagraph"/>
        <w:numPr>
          <w:ilvl w:val="0"/>
          <w:numId w:val="2"/>
        </w:numPr>
        <w:spacing w:after="80"/>
      </w:pPr>
      <w:r>
        <w:t xml:space="preserve">Written legal opinion obtained on licensing classification</w:t>
      </w:r>
    </w:p>
    <w:p>
      <w:pPr>
        <w:pStyle w:val="ListParagraph"/>
        <w:numPr>
          <w:ilvl w:val="0"/>
          <w:numId w:val="2"/>
        </w:numPr>
        <w:spacing w:after="80"/>
      </w:pPr>
      <w:r>
        <w:t xml:space="preserve">At least 3 contractor companies per trade have expressed real interest in Jeddah</w:t>
      </w:r>
    </w:p>
    <w:p>
      <w:pPr>
        <w:pStyle w:val="ListParagraph"/>
        <w:numPr>
          <w:ilvl w:val="0"/>
          <w:numId w:val="2"/>
        </w:numPr>
        <w:spacing w:after="80"/>
      </w:pPr>
      <w:r>
        <w:t xml:space="preserve">Landing page/WhatsApp channel live and generating inbound interest</w:t>
      </w:r>
    </w:p>
    <w:p>
      <w:pPr>
        <w:pStyle w:val="ListParagraph"/>
        <w:numPr>
          <w:ilvl w:val="0"/>
          <w:numId w:val="2"/>
        </w:numPr>
        <w:spacing w:after="80"/>
      </w:pPr>
      <w:r>
        <w:t xml:space="preserve">Stage 0 budget (SAR 80,000–120,000) secured and ring-fenced</w:t>
      </w:r>
    </w:p>
    <w:p>
      <w:pPr>
        <w:pStyle w:val="ListParagraph"/>
        <w:numPr>
          <w:ilvl w:val="0"/>
          <w:numId w:val="2"/>
        </w:numPr>
        <w:spacing w:after="80"/>
      </w:pPr>
      <w:r>
        <w:t xml:space="preserve">A named person owns operations/dispatch day-to-day — not a part-time afterthought</w:t>
      </w:r>
    </w:p>
    <w:p>
      <w:pPr>
        <w:pStyle w:val="Heading2"/>
        <w:spacing w:after="120" w:before="260"/>
      </w:pPr>
      <w:r>
        <w:t xml:space="preserve">Closing note</w:t>
      </w:r>
    </w:p>
    <w:p>
      <w:pPr>
        <w:spacing w:after="160"/>
        <w:jc w:val="left"/>
      </w:pPr>
      <w:r>
        <w:t xml:space="preserve">The idea is sound and the market is real and growing, but it is not empty. The businesses that win categories like this one usually win on operational discipline — contractor quality, SLA reliability, honest unit economics — rather than on having the flashiest app. Prove it lean, fund it in stages, and treat the licensing and contractor-quality questions as seriously as the technology.</w:t>
      </w:r>
    </w:p>
    <w:p>
      <w:pPr>
        <w:pStyle w:val="Heading1"/>
        <w:pageBreakBefore/>
        <w:spacing w:after="200" w:before="400"/>
      </w:pPr>
      <w:r>
        <w:t xml:space="preserve">Sources Consulted</w:t>
      </w:r>
    </w:p>
    <w:p>
      <w:pPr>
        <w:pStyle w:val="ListParagraph"/>
        <w:numPr>
          <w:ilvl w:val="0"/>
          <w:numId w:val="2"/>
        </w:numPr>
        <w:spacing w:after="80"/>
      </w:pPr>
      <w:r>
        <w:t xml:space="preserve">World Population Review — Saudi Arabia cities: worldpopulationreview.com/cities/saudi-arabia</w:t>
      </w:r>
    </w:p>
    <w:p>
      <w:pPr>
        <w:pStyle w:val="ListParagraph"/>
        <w:numPr>
          <w:ilvl w:val="0"/>
          <w:numId w:val="2"/>
        </w:numPr>
        <w:spacing w:after="80"/>
      </w:pPr>
      <w:r>
        <w:t xml:space="preserve">Macrotrends — Riyadh &amp; Dammam metro population series: macrotrends.net</w:t>
      </w:r>
    </w:p>
    <w:p>
      <w:pPr>
        <w:pStyle w:val="ListParagraph"/>
        <w:numPr>
          <w:ilvl w:val="0"/>
          <w:numId w:val="2"/>
        </w:numPr>
        <w:spacing w:after="80"/>
      </w:pPr>
      <w:r>
        <w:t xml:space="preserve">GlobalMediaInsight — Saudi Arabia Population Statistics 2026</w:t>
      </w:r>
    </w:p>
    <w:p>
      <w:pPr>
        <w:pStyle w:val="ListParagraph"/>
        <w:numPr>
          <w:ilvl w:val="0"/>
          <w:numId w:val="2"/>
        </w:numPr>
        <w:spacing w:after="80"/>
      </w:pPr>
      <w:r>
        <w:t xml:space="preserve">MAHA, HomeXA, Fix Riyadh Now, Ajeer, Albaap — Google Play / App Store listings</w:t>
      </w:r>
    </w:p>
    <w:p>
      <w:pPr>
        <w:pStyle w:val="ListParagraph"/>
        <w:numPr>
          <w:ilvl w:val="0"/>
          <w:numId w:val="2"/>
        </w:numPr>
        <w:spacing w:after="80"/>
      </w:pPr>
      <w:r>
        <w:t xml:space="preserve">Noon Home Services — soulofsaudi.com coverage</w:t>
      </w:r>
    </w:p>
    <w:p>
      <w:pPr>
        <w:pStyle w:val="ListParagraph"/>
        <w:numPr>
          <w:ilvl w:val="0"/>
          <w:numId w:val="2"/>
        </w:numPr>
        <w:spacing w:after="80"/>
      </w:pPr>
      <w:r>
        <w:t xml:space="preserve">Muheel launch — Abdul Latif Jameel (alj.com) and Zawya press release</w:t>
      </w:r>
    </w:p>
    <w:p>
      <w:pPr>
        <w:pStyle w:val="ListParagraph"/>
        <w:numPr>
          <w:ilvl w:val="0"/>
          <w:numId w:val="2"/>
        </w:numPr>
        <w:spacing w:after="80"/>
      </w:pPr>
      <w:r>
        <w:t xml:space="preserve">Motaded — Saudi Freelance Regulations Guide 2026</w:t>
      </w:r>
    </w:p>
    <w:p>
      <w:pPr>
        <w:pStyle w:val="ListParagraph"/>
        <w:numPr>
          <w:ilvl w:val="0"/>
          <w:numId w:val="2"/>
        </w:numPr>
        <w:spacing w:after="80"/>
      </w:pPr>
      <w:r>
        <w:t xml:space="preserve">Lexology / Mondaq — SCA Licensing Guide for Contractors in Saudi Arabia</w:t>
      </w:r>
    </w:p>
    <w:p>
      <w:pPr>
        <w:pStyle w:val="ListParagraph"/>
        <w:numPr>
          <w:ilvl w:val="0"/>
          <w:numId w:val="2"/>
        </w:numPr>
        <w:spacing w:after="80"/>
      </w:pPr>
      <w:r>
        <w:t xml:space="preserve">JK Management — Civil Defense License in Saudi Arabia, 2025 Guide</w:t>
      </w:r>
    </w:p>
    <w:p>
      <w:pPr>
        <w:pStyle w:val="ListParagraph"/>
        <w:numPr>
          <w:ilvl w:val="0"/>
          <w:numId w:val="2"/>
        </w:numPr>
        <w:spacing w:after="80"/>
      </w:pPr>
      <w:r>
        <w:t xml:space="preserve">IncorpMENA — Maroof Business Verification Guide 2026</w:t>
      </w:r>
    </w:p>
    <w:p>
      <w:pPr>
        <w:pStyle w:val="ListParagraph"/>
        <w:numPr>
          <w:ilvl w:val="0"/>
          <w:numId w:val="2"/>
        </w:numPr>
        <w:spacing w:after="80"/>
      </w:pPr>
      <w:r>
        <w:t xml:space="preserve">Vision2030.ai / House of Saud — Saudi VAT &amp; Tax Guide 2026</w:t>
      </w:r>
    </w:p>
    <w:p>
      <w:pPr>
        <w:pStyle w:val="ListParagraph"/>
        <w:numPr>
          <w:ilvl w:val="0"/>
          <w:numId w:val="2"/>
        </w:numPr>
        <w:spacing w:after="80"/>
      </w:pPr>
      <w:r>
        <w:t xml:space="preserve">Sharikat Mubasher / Kafalah.gov.sa — SME Loan Guarantee Program</w:t>
      </w:r>
    </w:p>
    <w:p>
      <w:pPr>
        <w:pBdr>
          <w:left w:val="single" w:color="9DC3E6" w:sz="12" w:space="8"/>
        </w:pBdr>
        <w:spacing w:after="200" w:before="100"/>
        <w:ind w:left="200"/>
      </w:pPr>
      <w:r>
        <w:rPr>
          <w:i/>
          <w:iCs/>
          <w:color w:val="595959"/>
          <w:sz w:val="20"/>
          <w:szCs w:val="20"/>
        </w:rPr>
        <w:t xml:space="preserve">This document is a strategic and operational business plan prepared for discussion purposes. It is not a substitute for advice from a licensed Saudi corporate lawyer, a SCA-licensed engineer, or a registered accountant — see Section 9 for the specific specialist checklist.</w:t>
      </w:r>
    </w:p>
    <w:sectPr>
      <w:footerReference w:type="default" r:id="rId7"/>
      <w:pgSz w:w="12240" w:h="15840" w:orient="portrait"/>
      <w:pgMar w:top="1440" w:right="1440" w:bottom="1440" w:left="1440" w:header="708" w:footer="708"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Maintenance Portal — Business Plan  |  Confidential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Calibri" w:cs="Calibri" w:eastAsia="Calibri" w:hAnsi="Calibri"/>
      <w:b/>
      <w:bCs/>
      <w:color w:val="1F3864"/>
      <w:sz w:val="32"/>
      <w:szCs w:val="32"/>
    </w:rPr>
  </w:style>
  <w:style w:type="paragraph" w:styleId="Heading2">
    <w:name w:val="Heading 2"/>
    <w:basedOn w:val="Normal"/>
    <w:next w:val="Normal"/>
    <w:qFormat/>
    <w:pPr>
      <w:spacing w:after="120" w:before="260"/>
    </w:pPr>
    <w:rPr>
      <w:rFonts w:ascii="Calibri" w:cs="Calibri" w:eastAsia="Calibri" w:hAnsi="Calibri"/>
      <w:b/>
      <w:bCs/>
      <w:color w:val="1F3864"/>
      <w:sz w:val="26"/>
      <w:szCs w:val="26"/>
    </w:rPr>
  </w:style>
  <w:style w:type="paragraph" w:styleId="Heading3">
    <w:name w:val="Heading 3"/>
    <w:basedOn w:val="Normal"/>
    <w:next w:val="Normal"/>
    <w:qFormat/>
    <w:pPr>
      <w:spacing w:after="100" w:before="200"/>
    </w:pPr>
    <w:rPr>
      <w:rFonts w:ascii="Calibri" w:cs="Calibri" w:eastAsia="Calibri" w:hAnsi="Calibri"/>
      <w:b/>
      <w:bCs/>
      <w:color w:val="2E5395"/>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Maintenance Portal — Business Plan &amp; Investment Overview</dc:title>
  <dc:creator>Maintenance Portal</dc:creator>
  <dc:description>Business plan, market research, feasibility study, risk analysis, financial plan, partnership framework, and SLA templates.</dc:description>
  <cp:lastModifiedBy>Un-named</cp:lastModifiedBy>
  <cp:revision>1</cp:revision>
  <dcterms:created xsi:type="dcterms:W3CDTF">2026-08-01T20:03:28.840Z</dcterms:created>
  <dcterms:modified xsi:type="dcterms:W3CDTF">2026-08-01T20:03:28.841Z</dcterms:modified>
</cp:coreProperties>
</file>

<file path=docProps/custom.xml><?xml version="1.0" encoding="utf-8"?>
<Properties xmlns="http://schemas.openxmlformats.org/officeDocument/2006/custom-properties" xmlns:vt="http://schemas.openxmlformats.org/officeDocument/2006/docPropsVTypes"/>
</file>