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color w:val="C2410C"/>
          <w:sz w:val="64"/>
          <w:szCs w:val="64"/>
        </w:rPr>
        <w:t xml:space="preserve">MAINTENANCE PORTAL</w:t>
      </w:r>
    </w:p>
    <w:p>
      <w:pPr>
        <w:spacing w:after="500"/>
        <w:jc w:val="center"/>
      </w:pPr>
      <w:r>
        <w:rPr>
          <w:color w:val="334155"/>
          <w:sz w:val="36"/>
          <w:szCs w:val="36"/>
        </w:rPr>
        <w:t xml:space="preserve">Comprehensive Business Plan</w:t>
      </w:r>
    </w:p>
    <w:p>
      <w:pPr>
        <w:spacing w:after="120"/>
        <w:jc w:val="center"/>
      </w:pPr>
      <w:r>
        <w:rPr>
          <w:i/>
          <w:iCs/>
          <w:sz w:val="24"/>
          <w:szCs w:val="24"/>
        </w:rPr>
        <w:t xml:space="preserve">An On-Demand Home Maintenance Marketplace for the Kingdom of Saudi Arabia</w:t>
      </w:r>
    </w:p>
    <w:p>
      <w:pPr>
        <w:spacing w:after="80"/>
        <w:jc w:val="center"/>
      </w:pPr>
      <w:r>
        <w:rPr>
          <w:color w:val="64748B"/>
          <w:sz w:val="22"/>
          <w:szCs w:val="22"/>
        </w:rPr>
        <w:t xml:space="preserve">Electrical · Plumbing · HVAC · Civil Finishes  —  Jeddah, Riyadh &amp; Dammam</w:t>
      </w:r>
    </w:p>
    <w:p>
      <w:pPr>
        <w:spacing w:after="80" w:before="1000"/>
        <w:jc w:val="center"/>
      </w:pPr>
      <w:r>
        <w:rPr>
          <w:b/>
          <w:bCs/>
          <w:sz w:val="24"/>
          <w:szCs w:val="24"/>
        </w:rPr>
        <w:t xml:space="preserve">PREPARED FOR EXTERNAL REVIEW</w:t>
      </w:r>
    </w:p>
    <w:p>
      <w:pPr>
        <w:spacing w:after="80"/>
        <w:jc w:val="center"/>
      </w:pPr>
      <w:r>
        <w:rPr>
          <w:sz w:val="22"/>
          <w:szCs w:val="22"/>
        </w:rPr>
        <w:t xml:space="preserve">Banks · Investors · Strategic &amp; Contractor Partners</w:t>
      </w:r>
    </w:p>
    <w:p>
      <w:pPr>
        <w:spacing w:after="40" w:before="700"/>
        <w:jc w:val="center"/>
      </w:pPr>
      <w:r>
        <w:rPr>
          <w:sz w:val="22"/>
          <w:szCs w:val="22"/>
        </w:rPr>
        <w:t xml:space="preserve">5 August 2026</w:t>
      </w:r>
    </w:p>
    <w:p>
      <w:pPr>
        <w:spacing w:after="40"/>
        <w:jc w:val="center"/>
      </w:pPr>
      <w:r>
        <w:rPr>
          <w:i/>
          <w:iCs/>
          <w:color w:val="64748B"/>
          <w:sz w:val="20"/>
          <w:szCs w:val="20"/>
        </w:rPr>
        <w:t xml:space="preserve">All figures in Saudi Riyal (SAR) unless stated otherwise — 1 USD ≈ 3.75 SAR</w:t>
      </w:r>
    </w:p>
    <w:p>
      <w:pPr>
        <w:spacing w:before="1400"/>
        <w:jc w:val="center"/>
      </w:pPr>
      <w:r>
        <w:rPr>
          <w:i/>
          <w:iCs/>
          <w:color w:val="94A3B8"/>
          <w:sz w:val="18"/>
          <w:szCs w:val="18"/>
        </w:rPr>
        <w:t xml:space="preserve">CONFIDENTIAL — Prepared for the exclusive use of the named recipient. Contains proprietary business, financial, and strategic information. Not for redistribution without permission.</w:t>
      </w:r>
    </w:p>
    <w:p>
      <w:r>
        <w:br w:type="page"/>
      </w:r>
    </w:p>
    <w:p>
      <w:pPr>
        <w:spacing w:after="240"/>
        <w:jc w:val="center"/>
      </w:pPr>
      <w:r>
        <w:rPr>
          <w:b/>
          <w:bCs/>
          <w:color w:val="334155"/>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0"/>
      </w:pPr>
      <w:r>
        <w:t xml:space="preserve">About This Business Plan Package</w:t>
      </w:r>
    </w:p>
    <w:p>
      <w:pPr>
        <w:spacing w:after="160"/>
      </w:pPr>
      <w:r>
        <w:t xml:space="preserve">Welcome. This folder is your complete, plain-English business package for </w:t>
      </w:r>
      <w:r>
        <w:rPr>
          <w:b/>
          <w:bCs/>
        </w:rPr>
        <w:t xml:space="preserve">Maintenance Portal</w:t>
      </w:r>
      <w:r>
        <w:t xml:space="preserve">: an app (and/or website) that connects residential clients in Saudi Arabia with existing, already-staffed maintenance contractors (electrical, plumbing, HVAC, and minor civil finishes), starting in Jeddah, Riyadh, and Dammam, with a path to Madinah, Taif, Khobar, and Jubail — and later, corporate clients.</w:t>
      </w:r>
    </w:p>
    <w:p>
      <w:pPr>
        <w:spacing w:after="160"/>
      </w:pPr>
      <w:r>
        <w:t xml:space="preserve">Every document is written the way a consultant would explain it to you over coffee — no jargon left unexplained, no walls of text without a table or a list to break it up.</w:t>
      </w:r>
    </w:p>
    <w:p>
      <w:pPr>
        <w:pStyle w:val="Heading2"/>
        <w:spacing w:after="160" w:before="360"/>
      </w:pPr>
      <w:r>
        <w:t xml:space="preserve">How to read this package</w:t>
      </w:r>
    </w:p>
    <w:p>
      <w:pPr>
        <w:spacing w:after="160"/>
      </w:pPr>
      <w:r>
        <w:t xml:space="preserve">Read in this order the first time. After that, use it as a reference — jump straight to whichever file you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5"/>
        <w:gridCol w:w="2945"/>
        <w:gridCol w:w="5226"/>
      </w:tblGrid>
      <w:tr>
        <w:trPr>
          <w:tblHeader/>
        </w:trPr>
        <w:tc>
          <w:tcPr>
            <w:tcW w:type="dxa" w:w="855"/>
            <w:shd w:fill="334155" w:color="auto" w:val="clear"/>
            <w:tcMar>
              <w:top w:type="dxa" w:w="80"/>
              <w:left w:type="dxa" w:w="100"/>
              <w:bottom w:type="dxa" w:w="80"/>
              <w:right w:type="dxa" w:w="100"/>
            </w:tcMar>
            <w:vAlign w:val="center"/>
          </w:tcPr>
          <w:p>
            <w:r>
              <w:rPr>
                <w:b/>
                <w:bCs/>
                <w:color w:val="FFFFFF"/>
              </w:rPr>
              <w:t xml:space="preserve">#</w:t>
            </w:r>
          </w:p>
        </w:tc>
        <w:tc>
          <w:tcPr>
            <w:tcW w:type="dxa" w:w="2945"/>
            <w:shd w:fill="334155" w:color="auto" w:val="clear"/>
            <w:tcMar>
              <w:top w:type="dxa" w:w="80"/>
              <w:left w:type="dxa" w:w="100"/>
              <w:bottom w:type="dxa" w:w="80"/>
              <w:right w:type="dxa" w:w="100"/>
            </w:tcMar>
            <w:vAlign w:val="center"/>
          </w:tcPr>
          <w:p>
            <w:r>
              <w:rPr>
                <w:b/>
                <w:bCs/>
                <w:color w:val="FFFFFF"/>
              </w:rPr>
              <w:t xml:space="preserve">Document</w:t>
            </w:r>
          </w:p>
        </w:tc>
        <w:tc>
          <w:tcPr>
            <w:tcW w:type="dxa" w:w="5226"/>
            <w:shd w:fill="334155" w:color="auto" w:val="clear"/>
            <w:tcMar>
              <w:top w:type="dxa" w:w="80"/>
              <w:left w:type="dxa" w:w="100"/>
              <w:bottom w:type="dxa" w:w="80"/>
              <w:right w:type="dxa" w:w="100"/>
            </w:tcMar>
            <w:vAlign w:val="center"/>
          </w:tcPr>
          <w:p>
            <w:r>
              <w:rPr>
                <w:b/>
                <w:bCs/>
                <w:color w:val="FFFFFF"/>
              </w:rPr>
              <w:t xml:space="preserve">What it answers</w:t>
            </w:r>
          </w:p>
        </w:tc>
      </w:tr>
      <w:tr>
        <w:tc>
          <w:tcPr>
            <w:tcW w:type="dxa" w:w="855"/>
            <w:tcMar>
              <w:top w:type="dxa" w:w="80"/>
              <w:left w:type="dxa" w:w="100"/>
              <w:bottom w:type="dxa" w:w="80"/>
              <w:right w:type="dxa" w:w="100"/>
            </w:tcMar>
            <w:vAlign w:val="center"/>
          </w:tcPr>
          <w:p>
            <w:pPr>
              <w:spacing w:after="0"/>
            </w:pPr>
            <w:r>
              <w:t xml:space="preserve">1</w:t>
            </w:r>
          </w:p>
        </w:tc>
        <w:tc>
          <w:tcPr>
            <w:tcW w:type="dxa" w:w="2945"/>
            <w:tcMar>
              <w:top w:type="dxa" w:w="80"/>
              <w:left w:type="dxa" w:w="100"/>
              <w:bottom w:type="dxa" w:w="80"/>
              <w:right w:type="dxa" w:w="100"/>
            </w:tcMar>
            <w:vAlign w:val="center"/>
          </w:tcPr>
          <w:p>
            <w:pPr>
              <w:spacing w:after="0"/>
            </w:pPr>
            <w:r>
              <w:t xml:space="preserve">Executive Summary (Chapter 1)</w:t>
            </w:r>
          </w:p>
        </w:tc>
        <w:tc>
          <w:tcPr>
            <w:tcW w:type="dxa" w:w="5226"/>
            <w:tcMar>
              <w:top w:type="dxa" w:w="80"/>
              <w:left w:type="dxa" w:w="100"/>
              <w:bottom w:type="dxa" w:w="80"/>
              <w:right w:type="dxa" w:w="100"/>
            </w:tcMar>
            <w:vAlign w:val="center"/>
          </w:tcPr>
          <w:p>
            <w:pPr>
              <w:spacing w:after="0"/>
            </w:pPr>
            <w:r>
              <w:t xml:space="preserve">"What is this business, in 2 pages?"</w:t>
            </w:r>
          </w:p>
        </w:tc>
      </w:tr>
      <w:tr>
        <w:tc>
          <w:tcPr>
            <w:tcW w:type="dxa" w:w="855"/>
            <w:shd w:fill="F1F5F9" w:color="auto" w:val="clear"/>
            <w:tcMar>
              <w:top w:type="dxa" w:w="80"/>
              <w:left w:type="dxa" w:w="100"/>
              <w:bottom w:type="dxa" w:w="80"/>
              <w:right w:type="dxa" w:w="100"/>
            </w:tcMar>
            <w:vAlign w:val="center"/>
          </w:tcPr>
          <w:p>
            <w:pPr>
              <w:spacing w:after="0"/>
            </w:pPr>
            <w:r>
              <w:t xml:space="preserve">2</w:t>
            </w:r>
          </w:p>
        </w:tc>
        <w:tc>
          <w:tcPr>
            <w:tcW w:type="dxa" w:w="2945"/>
            <w:shd w:fill="F1F5F9" w:color="auto" w:val="clear"/>
            <w:tcMar>
              <w:top w:type="dxa" w:w="80"/>
              <w:left w:type="dxa" w:w="100"/>
              <w:bottom w:type="dxa" w:w="80"/>
              <w:right w:type="dxa" w:w="100"/>
            </w:tcMar>
            <w:vAlign w:val="center"/>
          </w:tcPr>
          <w:p>
            <w:pPr>
              <w:spacing w:after="0"/>
            </w:pPr>
            <w:r>
              <w:t xml:space="preserve">Business Model (Chapter 2)</w:t>
            </w:r>
          </w:p>
        </w:tc>
        <w:tc>
          <w:tcPr>
            <w:tcW w:type="dxa" w:w="5226"/>
            <w:shd w:fill="F1F5F9" w:color="auto" w:val="clear"/>
            <w:tcMar>
              <w:top w:type="dxa" w:w="80"/>
              <w:left w:type="dxa" w:w="100"/>
              <w:bottom w:type="dxa" w:w="80"/>
              <w:right w:type="dxa" w:w="100"/>
            </w:tcMar>
            <w:vAlign w:val="center"/>
          </w:tcPr>
          <w:p>
            <w:pPr>
              <w:spacing w:after="0"/>
            </w:pPr>
            <w:r>
              <w:t xml:space="preserve">"How do we actually make money, and who does what?"</w:t>
            </w:r>
          </w:p>
        </w:tc>
      </w:tr>
      <w:tr>
        <w:tc>
          <w:tcPr>
            <w:tcW w:type="dxa" w:w="855"/>
            <w:tcMar>
              <w:top w:type="dxa" w:w="80"/>
              <w:left w:type="dxa" w:w="100"/>
              <w:bottom w:type="dxa" w:w="80"/>
              <w:right w:type="dxa" w:w="100"/>
            </w:tcMar>
            <w:vAlign w:val="center"/>
          </w:tcPr>
          <w:p>
            <w:pPr>
              <w:spacing w:after="0"/>
            </w:pPr>
            <w:r>
              <w:t xml:space="preserve">3</w:t>
            </w:r>
          </w:p>
        </w:tc>
        <w:tc>
          <w:tcPr>
            <w:tcW w:type="dxa" w:w="2945"/>
            <w:tcMar>
              <w:top w:type="dxa" w:w="80"/>
              <w:left w:type="dxa" w:w="100"/>
              <w:bottom w:type="dxa" w:w="80"/>
              <w:right w:type="dxa" w:w="100"/>
            </w:tcMar>
            <w:vAlign w:val="center"/>
          </w:tcPr>
          <w:p>
            <w:pPr>
              <w:spacing w:after="0"/>
            </w:pPr>
            <w:r>
              <w:t xml:space="preserve">Market Research (Chapter 3)</w:t>
            </w:r>
          </w:p>
        </w:tc>
        <w:tc>
          <w:tcPr>
            <w:tcW w:type="dxa" w:w="5226"/>
            <w:tcMar>
              <w:top w:type="dxa" w:w="80"/>
              <w:left w:type="dxa" w:w="100"/>
              <w:bottom w:type="dxa" w:w="80"/>
              <w:right w:type="dxa" w:w="100"/>
            </w:tcMar>
            <w:vAlign w:val="center"/>
          </w:tcPr>
          <w:p>
            <w:pPr>
              <w:spacing w:after="0"/>
            </w:pPr>
            <w:r>
              <w:t xml:space="preserve">"Is there a real market, who else is already in it, and where's the gap?"</w:t>
            </w:r>
          </w:p>
        </w:tc>
      </w:tr>
      <w:tr>
        <w:tc>
          <w:tcPr>
            <w:tcW w:type="dxa" w:w="855"/>
            <w:shd w:fill="F1F5F9" w:color="auto" w:val="clear"/>
            <w:tcMar>
              <w:top w:type="dxa" w:w="80"/>
              <w:left w:type="dxa" w:w="100"/>
              <w:bottom w:type="dxa" w:w="80"/>
              <w:right w:type="dxa" w:w="100"/>
            </w:tcMar>
            <w:vAlign w:val="center"/>
          </w:tcPr>
          <w:p>
            <w:pPr>
              <w:spacing w:after="0"/>
            </w:pPr>
            <w:r>
              <w:t xml:space="preserve">4</w:t>
            </w:r>
          </w:p>
        </w:tc>
        <w:tc>
          <w:tcPr>
            <w:tcW w:type="dxa" w:w="2945"/>
            <w:shd w:fill="F1F5F9" w:color="auto" w:val="clear"/>
            <w:tcMar>
              <w:top w:type="dxa" w:w="80"/>
              <w:left w:type="dxa" w:w="100"/>
              <w:bottom w:type="dxa" w:w="80"/>
              <w:right w:type="dxa" w:w="100"/>
            </w:tcMar>
            <w:vAlign w:val="center"/>
          </w:tcPr>
          <w:p>
            <w:pPr>
              <w:spacing w:after="0"/>
            </w:pPr>
            <w:r>
              <w:t xml:space="preserve">Feasibility Study (Chapter 4)</w:t>
            </w:r>
          </w:p>
        </w:tc>
        <w:tc>
          <w:tcPr>
            <w:tcW w:type="dxa" w:w="5226"/>
            <w:shd w:fill="F1F5F9" w:color="auto" w:val="clear"/>
            <w:tcMar>
              <w:top w:type="dxa" w:w="80"/>
              <w:left w:type="dxa" w:w="100"/>
              <w:bottom w:type="dxa" w:w="80"/>
              <w:right w:type="dxa" w:w="100"/>
            </w:tcMar>
            <w:vAlign w:val="center"/>
          </w:tcPr>
          <w:p>
            <w:pPr>
              <w:spacing w:after="0"/>
            </w:pPr>
            <w:r>
              <w:t xml:space="preserve">"Can this actually be built and run, legally and practically?"</w:t>
            </w:r>
          </w:p>
        </w:tc>
      </w:tr>
      <w:tr>
        <w:tc>
          <w:tcPr>
            <w:tcW w:type="dxa" w:w="855"/>
            <w:tcMar>
              <w:top w:type="dxa" w:w="80"/>
              <w:left w:type="dxa" w:w="100"/>
              <w:bottom w:type="dxa" w:w="80"/>
              <w:right w:type="dxa" w:w="100"/>
            </w:tcMar>
            <w:vAlign w:val="center"/>
          </w:tcPr>
          <w:p>
            <w:pPr>
              <w:spacing w:after="0"/>
            </w:pPr>
            <w:r>
              <w:t xml:space="preserve">5</w:t>
            </w:r>
          </w:p>
        </w:tc>
        <w:tc>
          <w:tcPr>
            <w:tcW w:type="dxa" w:w="2945"/>
            <w:tcMar>
              <w:top w:type="dxa" w:w="80"/>
              <w:left w:type="dxa" w:w="100"/>
              <w:bottom w:type="dxa" w:w="80"/>
              <w:right w:type="dxa" w:w="100"/>
            </w:tcMar>
            <w:vAlign w:val="center"/>
          </w:tcPr>
          <w:p>
            <w:pPr>
              <w:spacing w:after="0"/>
            </w:pPr>
            <w:r>
              <w:t xml:space="preserve">Risk Analysis (Chapter 5)</w:t>
            </w:r>
          </w:p>
        </w:tc>
        <w:tc>
          <w:tcPr>
            <w:tcW w:type="dxa" w:w="5226"/>
            <w:tcMar>
              <w:top w:type="dxa" w:w="80"/>
              <w:left w:type="dxa" w:w="100"/>
              <w:bottom w:type="dxa" w:w="80"/>
              <w:right w:type="dxa" w:w="100"/>
            </w:tcMar>
            <w:vAlign w:val="center"/>
          </w:tcPr>
          <w:p>
            <w:pPr>
              <w:spacing w:after="0"/>
            </w:pPr>
            <w:r>
              <w:t xml:space="preserve">"What could go wrong, and what do we do about it?"</w:t>
            </w:r>
          </w:p>
        </w:tc>
      </w:tr>
      <w:tr>
        <w:tc>
          <w:tcPr>
            <w:tcW w:type="dxa" w:w="855"/>
            <w:shd w:fill="F1F5F9" w:color="auto" w:val="clear"/>
            <w:tcMar>
              <w:top w:type="dxa" w:w="80"/>
              <w:left w:type="dxa" w:w="100"/>
              <w:bottom w:type="dxa" w:w="80"/>
              <w:right w:type="dxa" w:w="100"/>
            </w:tcMar>
            <w:vAlign w:val="center"/>
          </w:tcPr>
          <w:p>
            <w:pPr>
              <w:spacing w:after="0"/>
            </w:pPr>
            <w:r>
              <w:t xml:space="preserve">6</w:t>
            </w:r>
          </w:p>
        </w:tc>
        <w:tc>
          <w:tcPr>
            <w:tcW w:type="dxa" w:w="2945"/>
            <w:shd w:fill="F1F5F9" w:color="auto" w:val="clear"/>
            <w:tcMar>
              <w:top w:type="dxa" w:w="80"/>
              <w:left w:type="dxa" w:w="100"/>
              <w:bottom w:type="dxa" w:w="80"/>
              <w:right w:type="dxa" w:w="100"/>
            </w:tcMar>
            <w:vAlign w:val="center"/>
          </w:tcPr>
          <w:p>
            <w:pPr>
              <w:spacing w:after="0"/>
            </w:pPr>
            <w:r>
              <w:t xml:space="preserve">Financial Plan (Chapter 6)</w:t>
            </w:r>
          </w:p>
        </w:tc>
        <w:tc>
          <w:tcPr>
            <w:tcW w:type="dxa" w:w="5226"/>
            <w:shd w:fill="F1F5F9" w:color="auto" w:val="clear"/>
            <w:tcMar>
              <w:top w:type="dxa" w:w="80"/>
              <w:left w:type="dxa" w:w="100"/>
              <w:bottom w:type="dxa" w:w="80"/>
              <w:right w:type="dxa" w:w="100"/>
            </w:tcMar>
            <w:vAlign w:val="center"/>
          </w:tcPr>
          <w:p>
            <w:pPr>
              <w:spacing w:after="0"/>
            </w:pPr>
            <w:r>
              <w:t xml:space="preserve">"How much does this cost to start and run, and when do we turn a profit?"</w:t>
            </w:r>
          </w:p>
        </w:tc>
      </w:tr>
      <w:tr>
        <w:tc>
          <w:tcPr>
            <w:tcW w:type="dxa" w:w="855"/>
            <w:tcMar>
              <w:top w:type="dxa" w:w="80"/>
              <w:left w:type="dxa" w:w="100"/>
              <w:bottom w:type="dxa" w:w="80"/>
              <w:right w:type="dxa" w:w="100"/>
            </w:tcMar>
            <w:vAlign w:val="center"/>
          </w:tcPr>
          <w:p>
            <w:pPr>
              <w:spacing w:after="0"/>
            </w:pPr>
            <w:r>
              <w:t xml:space="preserve">7</w:t>
            </w:r>
          </w:p>
        </w:tc>
        <w:tc>
          <w:tcPr>
            <w:tcW w:type="dxa" w:w="2945"/>
            <w:tcMar>
              <w:top w:type="dxa" w:w="80"/>
              <w:left w:type="dxa" w:w="100"/>
              <w:bottom w:type="dxa" w:w="80"/>
              <w:right w:type="dxa" w:w="100"/>
            </w:tcMar>
            <w:vAlign w:val="center"/>
          </w:tcPr>
          <w:p>
            <w:pPr>
              <w:spacing w:after="0"/>
            </w:pPr>
            <w:r>
              <w:t xml:space="preserve">Partnership Framework (Chapter 7)</w:t>
            </w:r>
          </w:p>
        </w:tc>
        <w:tc>
          <w:tcPr>
            <w:tcW w:type="dxa" w:w="5226"/>
            <w:tcMar>
              <w:top w:type="dxa" w:w="80"/>
              <w:left w:type="dxa" w:w="100"/>
              <w:bottom w:type="dxa" w:w="80"/>
              <w:right w:type="dxa" w:w="100"/>
            </w:tcMar>
            <w:vAlign w:val="center"/>
          </w:tcPr>
          <w:p>
            <w:pPr>
              <w:spacing w:after="0"/>
            </w:pPr>
            <w:r>
              <w:t xml:space="preserve">"How do we sign up and manage contractor partners?"</w:t>
            </w:r>
          </w:p>
        </w:tc>
      </w:tr>
      <w:tr>
        <w:tc>
          <w:tcPr>
            <w:tcW w:type="dxa" w:w="855"/>
            <w:shd w:fill="F1F5F9" w:color="auto" w:val="clear"/>
            <w:tcMar>
              <w:top w:type="dxa" w:w="80"/>
              <w:left w:type="dxa" w:w="100"/>
              <w:bottom w:type="dxa" w:w="80"/>
              <w:right w:type="dxa" w:w="100"/>
            </w:tcMar>
            <w:vAlign w:val="center"/>
          </w:tcPr>
          <w:p>
            <w:pPr>
              <w:spacing w:after="0"/>
            </w:pPr>
            <w:r>
              <w:t xml:space="preserve">8</w:t>
            </w:r>
          </w:p>
        </w:tc>
        <w:tc>
          <w:tcPr>
            <w:tcW w:type="dxa" w:w="2945"/>
            <w:shd w:fill="F1F5F9" w:color="auto" w:val="clear"/>
            <w:tcMar>
              <w:top w:type="dxa" w:w="80"/>
              <w:left w:type="dxa" w:w="100"/>
              <w:bottom w:type="dxa" w:w="80"/>
              <w:right w:type="dxa" w:w="100"/>
            </w:tcMar>
            <w:vAlign w:val="center"/>
          </w:tcPr>
          <w:p>
            <w:pPr>
              <w:spacing w:after="0"/>
            </w:pPr>
            <w:r>
              <w:t xml:space="preserve">SLA Templates (Chapter 8)</w:t>
            </w:r>
          </w:p>
        </w:tc>
        <w:tc>
          <w:tcPr>
            <w:tcW w:type="dxa" w:w="5226"/>
            <w:shd w:fill="F1F5F9" w:color="auto" w:val="clear"/>
            <w:tcMar>
              <w:top w:type="dxa" w:w="80"/>
              <w:left w:type="dxa" w:w="100"/>
              <w:bottom w:type="dxa" w:w="80"/>
              <w:right w:type="dxa" w:w="100"/>
            </w:tcMar>
            <w:vAlign w:val="center"/>
          </w:tcPr>
          <w:p>
            <w:pPr>
              <w:spacing w:after="0"/>
            </w:pPr>
            <w:r>
              <w:t xml:space="preserve">"What service standards do we hold contractors and ourselves to?"</w:t>
            </w:r>
          </w:p>
        </w:tc>
      </w:tr>
      <w:tr>
        <w:tc>
          <w:tcPr>
            <w:tcW w:type="dxa" w:w="855"/>
            <w:tcMar>
              <w:top w:type="dxa" w:w="80"/>
              <w:left w:type="dxa" w:w="100"/>
              <w:bottom w:type="dxa" w:w="80"/>
              <w:right w:type="dxa" w:w="100"/>
            </w:tcMar>
            <w:vAlign w:val="center"/>
          </w:tcPr>
          <w:p>
            <w:pPr>
              <w:spacing w:after="0"/>
            </w:pPr>
            <w:r>
              <w:t xml:space="preserve">9</w:t>
            </w:r>
          </w:p>
        </w:tc>
        <w:tc>
          <w:tcPr>
            <w:tcW w:type="dxa" w:w="2945"/>
            <w:tcMar>
              <w:top w:type="dxa" w:w="80"/>
              <w:left w:type="dxa" w:w="100"/>
              <w:bottom w:type="dxa" w:w="80"/>
              <w:right w:type="dxa" w:w="100"/>
            </w:tcMar>
            <w:vAlign w:val="center"/>
          </w:tcPr>
          <w:p>
            <w:pPr>
              <w:spacing w:after="0"/>
            </w:pPr>
            <w:r>
              <w:t xml:space="preserve">Recommendations &amp; Roadmap (Chapter 9)</w:t>
            </w:r>
          </w:p>
        </w:tc>
        <w:tc>
          <w:tcPr>
            <w:tcW w:type="dxa" w:w="5226"/>
            <w:tcMar>
              <w:top w:type="dxa" w:w="80"/>
              <w:left w:type="dxa" w:w="100"/>
              <w:bottom w:type="dxa" w:w="80"/>
              <w:right w:type="dxa" w:w="100"/>
            </w:tcMar>
            <w:vAlign w:val="center"/>
          </w:tcPr>
          <w:p>
            <w:pPr>
              <w:spacing w:after="0"/>
            </w:pPr>
            <w:r>
              <w:t xml:space="preserve">"What do we do first, what can this plan cover vs. what needs a licensed specialist, and how do we get there?"</w:t>
            </w:r>
          </w:p>
        </w:tc>
      </w:tr>
    </w:tbl>
    <w:p>
      <w:pPr>
        <w:spacing w:after="200"/>
      </w:pPr>
    </w:p>
    <w:p>
      <w:pPr>
        <w:pStyle w:val="Heading2"/>
        <w:spacing w:after="160" w:before="360"/>
      </w:pPr>
      <w:r>
        <w:t xml:space="preserve">A note on how to use this</w:t>
      </w:r>
    </w:p>
    <w:p>
      <w:pPr>
        <w:spacing w:after="160"/>
      </w:pPr>
      <w:r>
        <w:t xml:space="preserve">This package is a </w:t>
      </w:r>
      <w:r>
        <w:rPr>
          <w:b/>
          <w:bCs/>
        </w:rPr>
        <w:t xml:space="preserve">strategic and operational business plan</w:t>
      </w:r>
      <w:r>
        <w:t xml:space="preserve"> — the kind a management consultant delivers. It is grounded in real, current (2026) Saudi market data and regulatory bodies (sourced and cited in the Market Research and Feasibility documents). It is </w:t>
      </w:r>
      <w:r>
        <w:rPr>
          <w:b/>
          <w:bCs/>
        </w:rPr>
        <w:t xml:space="preserve">not</w:t>
      </w:r>
      <w:r>
        <w:t xml:space="preserve"> a substitute for:</w:t>
      </w:r>
    </w:p>
    <w:p>
      <w:pPr>
        <w:pStyle w:val="ListParagraph"/>
        <w:numPr>
          <w:ilvl w:val="0"/>
          <w:numId w:val="2"/>
        </w:numPr>
        <w:spacing w:after="80"/>
      </w:pPr>
      <w:r>
        <w:t xml:space="preserve">A licensed Saudi corporate lawyer (for the actual contracts, licenses, and filings)</w:t>
      </w:r>
    </w:p>
    <w:p>
      <w:pPr>
        <w:pStyle w:val="ListParagraph"/>
        <w:numPr>
          <w:ilvl w:val="0"/>
          <w:numId w:val="2"/>
        </w:numPr>
        <w:spacing w:after="80"/>
      </w:pPr>
      <w:r>
        <w:t xml:space="preserve">A Saudi Contractors Authority (SCA)–licensed engineer (for technical/safety sign-off on electrical, plumbing, and HVAC standards)</w:t>
      </w:r>
    </w:p>
    <w:p>
      <w:pPr>
        <w:pStyle w:val="ListParagraph"/>
        <w:numPr>
          <w:ilvl w:val="0"/>
          <w:numId w:val="2"/>
        </w:numPr>
        <w:spacing w:after="80"/>
      </w:pPr>
      <w:r>
        <w:t xml:space="preserve">A registered accountant/auditor (for tax filing and statutory books)</w:t>
      </w:r>
    </w:p>
    <w:p>
      <w:pPr>
        <w:spacing w:after="160"/>
      </w:pPr>
      <w:r>
        <w:t xml:space="preserve">Every place this matters, the relevant document tells you clearly: </w:t>
      </w:r>
      <w:r>
        <w:rPr>
          <w:i/>
          <w:iCs/>
        </w:rPr>
        <w:t xml:space="preserve">"this part, this plan can do — that part, you need a licensed X, and here's how to get one."</w:t>
      </w:r>
      <w:r>
        <w:t xml:space="preserve"> Document 9 pulls all of these into a single checklist.</w:t>
      </w:r>
    </w:p>
    <w:p>
      <w:pPr>
        <w:spacing w:after="160"/>
      </w:pPr>
      <w:r>
        <w:t xml:space="preserve">All figures are in </w:t>
      </w:r>
      <w:r>
        <w:rPr>
          <w:b/>
          <w:bCs/>
        </w:rPr>
        <w:t xml:space="preserve">Saudi Riyal (SAR)</w:t>
      </w:r>
      <w:r>
        <w:t xml:space="preserve"> unless stated otherwise (1 USD ≈ 3.75 SAR, the pegged rate). Figures are planning-grade estimates based on comparable businesses and current market data, not quotes — treat them as a budgeting framework to validate with real supplier quotes before you commit money.</w:t>
      </w:r>
    </w:p>
    <w:p>
      <w:pPr>
        <w:pStyle w:val="Heading1"/>
        <w:pageBreakBefore/>
        <w:spacing w:after="240" w:before="0"/>
      </w:pPr>
      <w:r>
        <w:t xml:space="preserve">1. Executive Summary</w:t>
      </w:r>
    </w:p>
    <w:p>
      <w:pPr>
        <w:pStyle w:val="Heading2"/>
        <w:spacing w:after="160" w:before="360"/>
      </w:pPr>
      <w:r>
        <w:t xml:space="preserve">The idea, in one paragraph</w:t>
      </w:r>
    </w:p>
    <w:p>
      <w:pPr>
        <w:spacing w:after="160"/>
      </w:pPr>
      <w:r>
        <w:t xml:space="preserve">Maintenance Portal is a booking and dispatch platform (app first, website as a backup channel) that lets homeowners and tenants in Saudi Arabia request electrical, plumbing, HVAC (air conditioning), and minor civil finishing (paint, tiling) work with a few taps, and get a </w:t>
      </w:r>
      <w:r>
        <w:rPr>
          <w:b/>
          <w:bCs/>
        </w:rPr>
        <w:t xml:space="preserve">vetted technician from an existing, already-staffed maintenance contractor</w:t>
      </w:r>
      <w:r>
        <w:t xml:space="preserve"> at their door — with an upfront price estimate, a tracked job, and a guarantee. We do not hire technicians ourselves. We partner with maintenance companies that already have technicians stationed in Jeddah, Riyadh, and Dammam, and route work to them. We make money by taking a </w:t>
      </w:r>
      <w:r>
        <w:rPr>
          <w:b/>
          <w:bCs/>
        </w:rPr>
        <w:t xml:space="preserve">commission on every completed job</w:t>
      </w:r>
      <w:r>
        <w:t xml:space="preserve"> plus a </w:t>
      </w:r>
      <w:r>
        <w:rPr>
          <w:b/>
          <w:bCs/>
        </w:rPr>
        <w:t xml:space="preserve">small booking fee</w:t>
      </w:r>
      <w:r>
        <w:t xml:space="preserve">, and later, a subscription for recurring maintenance (like an annual AC service plan).</w:t>
      </w:r>
    </w:p>
    <w:p>
      <w:pPr>
        <w:pStyle w:val="Heading2"/>
        <w:spacing w:after="160" w:before="360"/>
      </w:pPr>
      <w:r>
        <w:t xml:space="preserve">Why this, why now</w:t>
      </w:r>
    </w:p>
    <w:p>
      <w:pPr>
        <w:pStyle w:val="ListParagraph"/>
        <w:numPr>
          <w:ilvl w:val="0"/>
          <w:numId w:val="2"/>
        </w:numPr>
        <w:spacing w:after="80"/>
      </w:pPr>
      <w:r>
        <w:t xml:space="preserve">Saudi Arabia's residential market is large and growing: Riyadh's metro area is home to roughly 8 million people, Jeddah roughly 4.7 million, and the Dammam–Khobar–Dhahran conurbation roughly 1.4 million — a combined addressable population north of 14 million in the first three cities alone.</w:t>
      </w:r>
    </w:p>
    <w:p>
      <w:pPr>
        <w:pStyle w:val="ListParagraph"/>
        <w:numPr>
          <w:ilvl w:val="0"/>
          <w:numId w:val="2"/>
        </w:numPr>
        <w:spacing w:after="80"/>
      </w:pPr>
      <w:r>
        <w:t xml:space="preserve">Vision 2030's housing programs have driven a construction and homeownership boom, which means a growing base of owner-occupied homes that will need ongoing maintenance for decades.</w:t>
      </w:r>
    </w:p>
    <w:p>
      <w:pPr>
        <w:pStyle w:val="ListParagraph"/>
        <w:numPr>
          <w:ilvl w:val="0"/>
          <w:numId w:val="2"/>
        </w:numPr>
        <w:spacing w:after="80"/>
      </w:pPr>
      <w:r>
        <w:t xml:space="preserve">The market is not empty — apps like MAHA, HomeXA, Fix Riyadh Now, Ajeer, and Noon's home-services vertical already operate here (see Market Research (Chapter 3)) — but it is </w:t>
      </w:r>
      <w:r>
        <w:rPr>
          <w:b/>
          <w:bCs/>
        </w:rPr>
        <w:t xml:space="preserve">fragmented and inconsistent</w:t>
      </w:r>
      <w:r>
        <w:t xml:space="preserve">: no single player has dominant, trusted, multi-city coverage across electrical + plumbing + HVAC + civil finishes with real SLA guarantees. That fragmentation is the opening.</w:t>
      </w:r>
    </w:p>
    <w:p>
      <w:pPr>
        <w:pStyle w:val="ListParagraph"/>
        <w:numPr>
          <w:ilvl w:val="0"/>
          <w:numId w:val="2"/>
        </w:numPr>
        <w:spacing w:after="80"/>
      </w:pPr>
      <w:r>
        <w:t xml:space="preserve">The </w:t>
      </w:r>
      <w:r>
        <w:rPr>
          <w:b/>
          <w:bCs/>
        </w:rPr>
        <w:t xml:space="preserve">"partner, don't hire"</w:t>
      </w:r>
      <w:r>
        <w:t xml:space="preserve"> model is the right one to start with: it means near-zero technician payroll, no vehicle fleet, no tool inventory, and a launch that can happen in months, not years — provided the partner agreements and quality controls (this package covers both) are done properly.</w:t>
      </w:r>
    </w:p>
    <w:p>
      <w:pPr>
        <w:pStyle w:val="Heading2"/>
        <w:spacing w:after="160" w:before="360"/>
      </w:pPr>
      <w:r>
        <w:t xml:space="preserve">What makes this different from "just another app"</w:t>
      </w:r>
    </w:p>
    <w:p>
      <w:pPr>
        <w:spacing w:after="80"/>
        <w:ind w:left="720" w:hanging="360"/>
      </w:pPr>
      <w:r>
        <w:t xml:space="preserve">1.  </w:t>
      </w:r>
      <w:r>
        <w:rPr>
          <w:b/>
          <w:bCs/>
        </w:rPr>
        <w:t xml:space="preserve">We don't compete with contractors, we plug into them.</w:t>
      </w:r>
      <w:r>
        <w:t xml:space="preserve"> Existing maintenance companies already have technicians, vans, tools, and Civil-Defense/municipal licensing in these cities. We bring them customers and a professional booking/dispatch/payment layer; they bring the labor and the legal trade licenses.</w:t>
      </w:r>
    </w:p>
    <w:p>
      <w:pPr>
        <w:spacing w:after="80"/>
        <w:ind w:left="720" w:hanging="360"/>
      </w:pPr>
      <w:r>
        <w:t xml:space="preserve">2.  </w:t>
      </w:r>
      <w:r>
        <w:rPr>
          <w:b/>
          <w:bCs/>
        </w:rPr>
        <w:t xml:space="preserve">One app, every trade.</w:t>
      </w:r>
      <w:r>
        <w:t xml:space="preserve"> Most competitors specialize (AC-only, or plumbing-only, or a single city). A resident with a leaking pipe today and a broken AC next month should not need four different apps.</w:t>
      </w:r>
    </w:p>
    <w:p>
      <w:pPr>
        <w:spacing w:after="80"/>
        <w:ind w:left="720" w:hanging="360"/>
      </w:pPr>
      <w:r>
        <w:t xml:space="preserve">3.  </w:t>
      </w:r>
      <w:r>
        <w:rPr>
          <w:b/>
          <w:bCs/>
        </w:rPr>
        <w:t xml:space="preserve">A real SLA, not just a phone call.</w:t>
      </w:r>
      <w:r>
        <w:t xml:space="preserve"> Response-time and quality guarantees, backed by a deposit/holdback mechanism on contractors and a customer-facing rating and refund policy (detail in SLA Templates (Chapter 8)).</w:t>
      </w:r>
    </w:p>
    <w:p>
      <w:pPr>
        <w:pStyle w:val="Heading2"/>
        <w:spacing w:after="160" w:before="360"/>
      </w:pPr>
      <w:r>
        <w:t xml:space="preserve">What this requires from you, honestly</w:t>
      </w:r>
    </w:p>
    <w:p>
      <w:pPr>
        <w:pStyle w:val="ListParagraph"/>
        <w:numPr>
          <w:ilvl w:val="0"/>
          <w:numId w:val="2"/>
        </w:numPr>
        <w:spacing w:after="80"/>
      </w:pPr>
      <w:r>
        <w:rPr>
          <w:b/>
          <w:bCs/>
        </w:rPr>
        <w:t xml:space="preserve">Capital</w:t>
      </w:r>
      <w:r>
        <w:t xml:space="preserve">: we recommend a two-stage approach — a </w:t>
      </w:r>
      <w:r>
        <w:rPr>
          <w:b/>
          <w:bCs/>
        </w:rPr>
        <w:t xml:space="preserve">lean validation stage</w:t>
      </w:r>
      <w:r>
        <w:t xml:space="preserve"> costing </w:t>
      </w:r>
      <w:r>
        <w:rPr>
          <w:b/>
          <w:bCs/>
        </w:rPr>
        <w:t xml:space="preserve">SAR 80,000–120,000</w:t>
      </w:r>
      <w:r>
        <w:t xml:space="preserve"> to prove real demand before big spend, followed by a </w:t>
      </w:r>
      <w:r>
        <w:rPr>
          <w:b/>
          <w:bCs/>
        </w:rPr>
        <w:t xml:space="preserve">full 3-city buildout</w:t>
      </w:r>
      <w:r>
        <w:t xml:space="preserve"> (app, team, launch, and runway to break-even) costing </w:t>
      </w:r>
      <w:r>
        <w:rPr>
          <w:b/>
          <w:bCs/>
        </w:rPr>
        <w:t xml:space="preserve">SAR 900,000 – 1,300,000</w:t>
      </w:r>
      <w:r>
        <w:t xml:space="preserve"> (~USD 240,000–347,000) — only committed once Stage 0 shows real signal. Financing options (self-funded, angel, or the government-backed </w:t>
      </w:r>
      <w:r>
        <w:rPr>
          <w:b/>
          <w:bCs/>
        </w:rPr>
        <w:t xml:space="preserve">Kafalah</w:t>
      </w:r>
      <w:r>
        <w:t xml:space="preserve"> SME loan-guarantee program) are covered in Financial Plan (Chapter 6).</w:t>
      </w:r>
    </w:p>
    <w:p>
      <w:pPr>
        <w:pStyle w:val="ListParagraph"/>
        <w:numPr>
          <w:ilvl w:val="0"/>
          <w:numId w:val="2"/>
        </w:numPr>
        <w:spacing w:after="80"/>
      </w:pPr>
      <w:r>
        <w:rPr>
          <w:b/>
          <w:bCs/>
        </w:rPr>
        <w:t xml:space="preserve">Licensing you cannot skip</w:t>
      </w:r>
      <w:r>
        <w:t xml:space="preserve">: a Commercial Registration (CR) for a platform/marketplace activity, Maroof e-commerce verification, a SAMA-regulated payment gateway, and — critically — making sure every contractor you onboard already holds their own valid municipal (Balady) and, where applicable, Civil Defense and SCA trade licenses. </w:t>
      </w:r>
      <w:r>
        <w:rPr>
          <w:b/>
          <w:bCs/>
        </w:rPr>
        <w:t xml:space="preserve">We do not need our own contracting license if we never touch the tools ourselves</w:t>
      </w:r>
      <w:r>
        <w:t xml:space="preserve"> — but this must be confirmed in writing with a Saudi corporate lawyer before launch (see Feasibility Study (Chapter 4)).</w:t>
      </w:r>
    </w:p>
    <w:p>
      <w:pPr>
        <w:pStyle w:val="ListParagraph"/>
        <w:numPr>
          <w:ilvl w:val="0"/>
          <w:numId w:val="2"/>
        </w:numPr>
        <w:spacing w:after="80"/>
      </w:pPr>
      <w:r>
        <w:rPr>
          <w:b/>
          <w:bCs/>
        </w:rPr>
        <w:t xml:space="preserve">A lean start, not a big-bang app launch.</w:t>
      </w:r>
      <w:r>
        <w:t xml:space="preserve"> Our strongest recommendation (detailed in Recommendations &amp; Roadmap (Chapter 9)) is to prove demand and contractor reliability with a lightweight booking flow (simple site + WhatsApp Business + a small human dispatch team) for 2–3 months </w:t>
      </w:r>
      <w:r>
        <w:rPr>
          <w:b/>
          <w:bCs/>
        </w:rPr>
        <w:t xml:space="preserve">before</w:t>
      </w:r>
      <w:r>
        <w:t xml:space="preserve"> spending the bulk of the tech budget on a polished native app.</w:t>
      </w:r>
    </w:p>
    <w:p>
      <w:pPr>
        <w:pStyle w:val="Heading2"/>
        <w:spacing w:after="160" w:before="360"/>
      </w:pPr>
      <w:r>
        <w:t xml:space="preserve">The 12-month goal</w:t>
      </w:r>
    </w:p>
    <w:p>
      <w:pPr>
        <w:spacing w:after="160"/>
      </w:pPr>
      <w:r>
        <w:t xml:space="preserve">Launch in Jeddah first (largest addressable base, high smartphone/app usage, strong existing home-services competition to learn from), prove the model with 8–12 contractor partners and a few hundred completed jobs, then expand to Riyadh and Dammam once the SLA and partner-payment mechanics are proven. Monthly operating break-even at the 3-city level is modeled at roughly </w:t>
      </w:r>
      <w:r>
        <w:rPr>
          <w:b/>
          <w:bCs/>
        </w:rPr>
        <w:t xml:space="preserve">month 10-12</w:t>
      </w:r>
      <w:r>
        <w:t xml:space="preserve">, with full payback of the initial capital around </w:t>
      </w:r>
      <w:r>
        <w:rPr>
          <w:b/>
          <w:bCs/>
        </w:rPr>
        <w:t xml:space="preserve">month 18-24</w:t>
      </w:r>
      <w:r>
        <w:t xml:space="preserve"> (see Financial Plan (Chapter 6) for the full model and its assumptions).</w:t>
      </w:r>
    </w:p>
    <w:p>
      <w:pPr>
        <w:pStyle w:val="Heading2"/>
        <w:spacing w:after="160" w:before="360"/>
      </w:pPr>
      <w:r>
        <w:t xml:space="preserve">What Claude (this consulting engagement) can and cannot do for you</w:t>
      </w:r>
    </w:p>
    <w:p>
      <w:pPr>
        <w:spacing w:after="160"/>
      </w:pPr>
      <w:r>
        <w:t xml:space="preserve">This package gives you a complete, professional-grade strategic and operational plan you can act on, take to a bank or investor, and hand to a lawyer or developer as a brief. It </w:t>
      </w:r>
      <w:r>
        <w:rPr>
          <w:b/>
          <w:bCs/>
        </w:rPr>
        <w:t xml:space="preserve">cannot</w:t>
      </w:r>
      <w:r>
        <w:t xml:space="preserve"> file your paperwork, sign contracts on your behalf, or certify technical/safety compliance — those need licensed humans in Saudi Arabia. Document 9 spells out exactly who to hire for what, in what order, and roughly what it costs.</w:t>
      </w:r>
    </w:p>
    <w:p>
      <w:pPr>
        <w:pStyle w:val="Heading1"/>
        <w:pageBreakBefore/>
        <w:spacing w:after="240" w:before="0"/>
      </w:pPr>
      <w:r>
        <w:t xml:space="preserve">2. Business Model</w:t>
      </w:r>
    </w:p>
    <w:p>
      <w:pPr>
        <w:pStyle w:val="Heading2"/>
        <w:spacing w:after="160" w:before="360"/>
      </w:pPr>
      <w:r>
        <w:t xml:space="preserve">2.1 The simplest possible explanation</w:t>
      </w:r>
    </w:p>
    <w:p>
      <w:pPr>
        <w:spacing w:after="160"/>
      </w:pPr>
      <w:r>
        <w:t xml:space="preserve">Think of Maintenance Portal as the "Careem/Uber for home repairs," except instead of independent drivers, our "drivers" are </w:t>
      </w:r>
      <w:r>
        <w:rPr>
          <w:b/>
          <w:bCs/>
        </w:rPr>
        <w:t xml:space="preserve">technicians employed by partner maintenance companies</w:t>
      </w:r>
      <w:r>
        <w:t xml:space="preserve"> who already work in these cities. We are the matchmaker, the booking system, the payment processor, and the quality/complaints referee. The partner company is the employer, the licensed trade business, and the one who owns the tools, the van, and the technician's payroll.</w:t>
      </w:r>
    </w:p>
    <w:p>
      <w:pPr>
        <w:spacing w:after="160"/>
      </w:pPr>
      <w:r>
        <w:t xml:space="preserve">This matters a lot, because it defines almost everything else in this document:</w:t>
      </w:r>
    </w:p>
    <w:p>
      <w:pPr>
        <w:pStyle w:val="ListParagraph"/>
        <w:numPr>
          <w:ilvl w:val="0"/>
          <w:numId w:val="2"/>
        </w:numPr>
        <w:spacing w:after="80"/>
      </w:pPr>
      <w:r>
        <w:t xml:space="preserve">We are </w:t>
      </w:r>
      <w:r>
        <w:rPr>
          <w:b/>
          <w:bCs/>
        </w:rPr>
        <w:t xml:space="preserve">asset-light</w:t>
      </w:r>
      <w:r>
        <w:t xml:space="preserve">: no technicians on our payroll (at least not in Phase 1), no vans, no tool inventory, no spare-parts warehouse.</w:t>
      </w:r>
    </w:p>
    <w:p>
      <w:pPr>
        <w:pStyle w:val="ListParagraph"/>
        <w:numPr>
          <w:ilvl w:val="0"/>
          <w:numId w:val="2"/>
        </w:numPr>
        <w:spacing w:after="80"/>
      </w:pPr>
      <w:r>
        <w:t xml:space="preserve">Our core product is </w:t>
      </w:r>
      <w:r>
        <w:rPr>
          <w:b/>
          <w:bCs/>
        </w:rPr>
        <w:t xml:space="preserve">trust and convenience</w:t>
      </w:r>
      <w:r>
        <w:t xml:space="preserve">: a customer trusts that whoever shows up is vetted, priced fairly, on time, and insured/guaranteed — that trust is the entire value we're selling.</w:t>
      </w:r>
    </w:p>
    <w:p>
      <w:pPr>
        <w:pStyle w:val="ListParagraph"/>
        <w:numPr>
          <w:ilvl w:val="0"/>
          <w:numId w:val="2"/>
        </w:numPr>
        <w:spacing w:after="80"/>
      </w:pPr>
      <w:r>
        <w:t xml:space="preserve">Our core operational job is </w:t>
      </w:r>
      <w:r>
        <w:rPr>
          <w:b/>
          <w:bCs/>
        </w:rPr>
        <w:t xml:space="preserve">partner management</w:t>
      </w:r>
      <w:r>
        <w:t xml:space="preserve">: recruiting good contractors, training them on our standards, monitoring their performance, and being willing to drop the bad ones.</w:t>
      </w:r>
    </w:p>
    <w:p>
      <w:pPr>
        <w:pStyle w:val="Heading2"/>
        <w:spacing w:after="160" w:before="360"/>
      </w:pPr>
      <w:r>
        <w:t xml:space="preserve">2.2 Business Model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3"/>
        <w:gridCol w:w="8073"/>
      </w:tblGrid>
      <w:tr>
        <w:trPr>
          <w:tblHeader/>
        </w:trPr>
        <w:tc>
          <w:tcPr>
            <w:tcW w:type="dxa" w:w="953"/>
            <w:shd w:fill="334155" w:color="auto" w:val="clear"/>
            <w:tcMar>
              <w:top w:type="dxa" w:w="80"/>
              <w:left w:type="dxa" w:w="100"/>
              <w:bottom w:type="dxa" w:w="80"/>
              <w:right w:type="dxa" w:w="100"/>
            </w:tcMar>
            <w:vAlign w:val="center"/>
          </w:tcPr>
          <w:p>
            <w:r>
              <w:rPr>
                <w:b/>
                <w:bCs/>
                <w:color w:val="FFFFFF"/>
              </w:rPr>
              <w:t xml:space="preserve">Block</w:t>
            </w:r>
          </w:p>
        </w:tc>
        <w:tc>
          <w:tcPr>
            <w:tcW w:type="dxa" w:w="8073"/>
            <w:shd w:fill="334155" w:color="auto" w:val="clear"/>
            <w:tcMar>
              <w:top w:type="dxa" w:w="80"/>
              <w:left w:type="dxa" w:w="100"/>
              <w:bottom w:type="dxa" w:w="80"/>
              <w:right w:type="dxa" w:w="100"/>
            </w:tcMar>
            <w:vAlign w:val="center"/>
          </w:tcPr>
          <w:p>
            <w:r>
              <w:rPr>
                <w:b/>
                <w:bCs/>
                <w:color w:val="FFFFFF"/>
              </w:rPr>
              <w:t xml:space="preserve">Details</w:t>
            </w:r>
          </w:p>
        </w:tc>
      </w:tr>
      <w:tr>
        <w:tc>
          <w:tcPr>
            <w:tcW w:type="dxa" w:w="953"/>
            <w:tcMar>
              <w:top w:type="dxa" w:w="80"/>
              <w:left w:type="dxa" w:w="100"/>
              <w:bottom w:type="dxa" w:w="80"/>
              <w:right w:type="dxa" w:w="100"/>
            </w:tcMar>
            <w:vAlign w:val="center"/>
          </w:tcPr>
          <w:p>
            <w:pPr>
              <w:spacing w:after="0"/>
            </w:pPr>
            <w:r>
              <w:rPr>
                <w:b/>
                <w:bCs/>
              </w:rPr>
              <w:t xml:space="preserve">Customer Segments</w:t>
            </w:r>
          </w:p>
        </w:tc>
        <w:tc>
          <w:tcPr>
            <w:tcW w:type="dxa" w:w="8073"/>
            <w:tcMar>
              <w:top w:type="dxa" w:w="80"/>
              <w:left w:type="dxa" w:w="100"/>
              <w:bottom w:type="dxa" w:w="80"/>
              <w:right w:type="dxa" w:w="100"/>
            </w:tcMar>
            <w:vAlign w:val="center"/>
          </w:tcPr>
          <w:p>
            <w:pPr>
              <w:spacing w:after="0"/>
            </w:pPr>
            <w:r>
              <w:t xml:space="preserve">Phase 1: residential homeowners and tenants (villas, apartments) in Jeddah, Riyadh, Dammam. Phase 2: same, extended to Madinah, Taif, Khobar, Jubail. Phase 3 (future): corporate/facility clients (small offices, retail units, compounds) — see §2.6.</w:t>
            </w:r>
          </w:p>
        </w:tc>
      </w:tr>
      <w:tr>
        <w:tc>
          <w:tcPr>
            <w:tcW w:type="dxa" w:w="953"/>
            <w:shd w:fill="F1F5F9" w:color="auto" w:val="clear"/>
            <w:tcMar>
              <w:top w:type="dxa" w:w="80"/>
              <w:left w:type="dxa" w:w="100"/>
              <w:bottom w:type="dxa" w:w="80"/>
              <w:right w:type="dxa" w:w="100"/>
            </w:tcMar>
            <w:vAlign w:val="center"/>
          </w:tcPr>
          <w:p>
            <w:pPr>
              <w:spacing w:after="0"/>
            </w:pPr>
            <w:r>
              <w:rPr>
                <w:b/>
                <w:bCs/>
              </w:rPr>
              <w:t xml:space="preserve">Value Propositions</w:t>
            </w:r>
          </w:p>
        </w:tc>
        <w:tc>
          <w:tcPr>
            <w:tcW w:type="dxa" w:w="8073"/>
            <w:shd w:fill="F1F5F9" w:color="auto" w:val="clear"/>
            <w:tcMar>
              <w:top w:type="dxa" w:w="80"/>
              <w:left w:type="dxa" w:w="100"/>
              <w:bottom w:type="dxa" w:w="80"/>
              <w:right w:type="dxa" w:w="100"/>
            </w:tcMar>
            <w:vAlign w:val="center"/>
          </w:tcPr>
          <w:p>
            <w:pPr>
              <w:spacing w:after="0"/>
            </w:pPr>
            <w:r>
              <w:rPr>
                <w:i/>
                <w:iCs/>
              </w:rPr>
              <w:t xml:space="preserve">For customers</w:t>
            </w:r>
            <w:r>
              <w:t xml:space="preserve">: one app for electrical/plumbing/HVAC/paint-and-tile, upfront pricing, vetted technicians, tracked jobs, guarantee/refund policy, Arabic + English support. </w:t>
            </w:r>
            <w:r>
              <w:rPr>
                <w:i/>
                <w:iCs/>
              </w:rPr>
              <w:t xml:space="preserve">For contractor partners</w:t>
            </w:r>
            <w:r>
              <w:t xml:space="preserve">: a steady stream of new customers without spending on their own marketing/app, faster payment collection (we collect from the customer, pay them out), and job-scheduling software they don't have to build themselves.</w:t>
            </w:r>
          </w:p>
        </w:tc>
      </w:tr>
      <w:tr>
        <w:tc>
          <w:tcPr>
            <w:tcW w:type="dxa" w:w="953"/>
            <w:tcMar>
              <w:top w:type="dxa" w:w="80"/>
              <w:left w:type="dxa" w:w="100"/>
              <w:bottom w:type="dxa" w:w="80"/>
              <w:right w:type="dxa" w:w="100"/>
            </w:tcMar>
            <w:vAlign w:val="center"/>
          </w:tcPr>
          <w:p>
            <w:pPr>
              <w:spacing w:after="0"/>
            </w:pPr>
            <w:r>
              <w:rPr>
                <w:b/>
                <w:bCs/>
              </w:rPr>
              <w:t xml:space="preserve">Channels</w:t>
            </w:r>
          </w:p>
        </w:tc>
        <w:tc>
          <w:tcPr>
            <w:tcW w:type="dxa" w:w="8073"/>
            <w:tcMar>
              <w:top w:type="dxa" w:w="80"/>
              <w:left w:type="dxa" w:w="100"/>
              <w:bottom w:type="dxa" w:w="80"/>
              <w:right w:type="dxa" w:w="100"/>
            </w:tcMar>
            <w:vAlign w:val="center"/>
          </w:tcPr>
          <w:p>
            <w:pPr>
              <w:spacing w:after="0"/>
            </w:pPr>
            <w:r>
              <w:t xml:space="preserve">Mobile app (iOS + Android) as primary; a simple website and WhatsApp Business as secondary/backup booking channels (especially useful pre-app and for less tech-comfortable or older customers); social media (Instagram/Snapchat/TikTok are heavily used in KSA) and Google/Apple app store presence for acquisition.</w:t>
            </w:r>
          </w:p>
        </w:tc>
      </w:tr>
      <w:tr>
        <w:tc>
          <w:tcPr>
            <w:tcW w:type="dxa" w:w="953"/>
            <w:shd w:fill="F1F5F9" w:color="auto" w:val="clear"/>
            <w:tcMar>
              <w:top w:type="dxa" w:w="80"/>
              <w:left w:type="dxa" w:w="100"/>
              <w:bottom w:type="dxa" w:w="80"/>
              <w:right w:type="dxa" w:w="100"/>
            </w:tcMar>
            <w:vAlign w:val="center"/>
          </w:tcPr>
          <w:p>
            <w:pPr>
              <w:spacing w:after="0"/>
            </w:pPr>
            <w:r>
              <w:rPr>
                <w:b/>
                <w:bCs/>
              </w:rPr>
              <w:t xml:space="preserve">Customer Relationships</w:t>
            </w:r>
          </w:p>
        </w:tc>
        <w:tc>
          <w:tcPr>
            <w:tcW w:type="dxa" w:w="8073"/>
            <w:shd w:fill="F1F5F9" w:color="auto" w:val="clear"/>
            <w:tcMar>
              <w:top w:type="dxa" w:w="80"/>
              <w:left w:type="dxa" w:w="100"/>
              <w:bottom w:type="dxa" w:w="80"/>
              <w:right w:type="dxa" w:w="100"/>
            </w:tcMar>
            <w:vAlign w:val="center"/>
          </w:tcPr>
          <w:p>
            <w:pPr>
              <w:spacing w:after="0"/>
            </w:pPr>
            <w:r>
              <w:t xml:space="preserve">Self-service booking with human-backed customer support (chat + phone), automated job status updates (SMS/push), post-job rating, loyalty via maintenance subscription plans.</w:t>
            </w:r>
          </w:p>
        </w:tc>
      </w:tr>
      <w:tr>
        <w:tc>
          <w:tcPr>
            <w:tcW w:type="dxa" w:w="953"/>
            <w:tcMar>
              <w:top w:type="dxa" w:w="80"/>
              <w:left w:type="dxa" w:w="100"/>
              <w:bottom w:type="dxa" w:w="80"/>
              <w:right w:type="dxa" w:w="100"/>
            </w:tcMar>
            <w:vAlign w:val="center"/>
          </w:tcPr>
          <w:p>
            <w:pPr>
              <w:spacing w:after="0"/>
            </w:pPr>
            <w:r>
              <w:rPr>
                <w:b/>
                <w:bCs/>
              </w:rPr>
              <w:t xml:space="preserve">Revenue Streams</w:t>
            </w:r>
          </w:p>
        </w:tc>
        <w:tc>
          <w:tcPr>
            <w:tcW w:type="dxa" w:w="8073"/>
            <w:tcMar>
              <w:top w:type="dxa" w:w="80"/>
              <w:left w:type="dxa" w:w="100"/>
              <w:bottom w:type="dxa" w:w="80"/>
              <w:right w:type="dxa" w:w="100"/>
            </w:tcMar>
            <w:vAlign w:val="center"/>
          </w:tcPr>
          <w:p>
            <w:pPr>
              <w:spacing w:after="0"/>
            </w:pPr>
            <w:r>
              <w:t xml:space="preserve">(1) Commission per completed job, (2) fixed customer booking/dispatch fee, (3) recurring maintenance subscription plans, (4) — later — featured-placement/lead fees for contractors wanting priority. Full detail in §2.4.</w:t>
            </w:r>
          </w:p>
        </w:tc>
      </w:tr>
      <w:tr>
        <w:tc>
          <w:tcPr>
            <w:tcW w:type="dxa" w:w="953"/>
            <w:shd w:fill="F1F5F9" w:color="auto" w:val="clear"/>
            <w:tcMar>
              <w:top w:type="dxa" w:w="80"/>
              <w:left w:type="dxa" w:w="100"/>
              <w:bottom w:type="dxa" w:w="80"/>
              <w:right w:type="dxa" w:w="100"/>
            </w:tcMar>
            <w:vAlign w:val="center"/>
          </w:tcPr>
          <w:p>
            <w:pPr>
              <w:spacing w:after="0"/>
            </w:pPr>
            <w:r>
              <w:rPr>
                <w:b/>
                <w:bCs/>
              </w:rPr>
              <w:t xml:space="preserve">Key Resources</w:t>
            </w:r>
          </w:p>
        </w:tc>
        <w:tc>
          <w:tcPr>
            <w:tcW w:type="dxa" w:w="8073"/>
            <w:shd w:fill="F1F5F9" w:color="auto" w:val="clear"/>
            <w:tcMar>
              <w:top w:type="dxa" w:w="80"/>
              <w:left w:type="dxa" w:w="100"/>
              <w:bottom w:type="dxa" w:w="80"/>
              <w:right w:type="dxa" w:w="100"/>
            </w:tcMar>
            <w:vAlign w:val="center"/>
          </w:tcPr>
          <w:p>
            <w:pPr>
              <w:spacing w:after="0"/>
            </w:pPr>
            <w:r>
              <w:t xml:space="preserve">The app/platform itself (the core IP), the contractor partner network, the brand and customer trust, the operations/dispatch team, cash for working capital (paying contractors promptly even if customer payment settlement lags).</w:t>
            </w:r>
          </w:p>
        </w:tc>
      </w:tr>
      <w:tr>
        <w:tc>
          <w:tcPr>
            <w:tcW w:type="dxa" w:w="953"/>
            <w:tcMar>
              <w:top w:type="dxa" w:w="80"/>
              <w:left w:type="dxa" w:w="100"/>
              <w:bottom w:type="dxa" w:w="80"/>
              <w:right w:type="dxa" w:w="100"/>
            </w:tcMar>
            <w:vAlign w:val="center"/>
          </w:tcPr>
          <w:p>
            <w:pPr>
              <w:spacing w:after="0"/>
            </w:pPr>
            <w:r>
              <w:rPr>
                <w:b/>
                <w:bCs/>
              </w:rPr>
              <w:t xml:space="preserve">Key Activities</w:t>
            </w:r>
          </w:p>
        </w:tc>
        <w:tc>
          <w:tcPr>
            <w:tcW w:type="dxa" w:w="8073"/>
            <w:tcMar>
              <w:top w:type="dxa" w:w="80"/>
              <w:left w:type="dxa" w:w="100"/>
              <w:bottom w:type="dxa" w:w="80"/>
              <w:right w:type="dxa" w:w="100"/>
            </w:tcMar>
            <w:vAlign w:val="center"/>
          </w:tcPr>
          <w:p>
            <w:pPr>
              <w:spacing w:after="0"/>
            </w:pPr>
            <w:r>
              <w:t xml:space="preserve">Contractor recruitment &amp; vetting, technology development &amp; maintenance, marketing &amp; customer acquisition, dispatch/operations, quality control &amp; dispute resolution, finance/collections.</w:t>
            </w:r>
          </w:p>
        </w:tc>
      </w:tr>
      <w:tr>
        <w:tc>
          <w:tcPr>
            <w:tcW w:type="dxa" w:w="953"/>
            <w:shd w:fill="F1F5F9" w:color="auto" w:val="clear"/>
            <w:tcMar>
              <w:top w:type="dxa" w:w="80"/>
              <w:left w:type="dxa" w:w="100"/>
              <w:bottom w:type="dxa" w:w="80"/>
              <w:right w:type="dxa" w:w="100"/>
            </w:tcMar>
            <w:vAlign w:val="center"/>
          </w:tcPr>
          <w:p>
            <w:pPr>
              <w:spacing w:after="0"/>
            </w:pPr>
            <w:r>
              <w:rPr>
                <w:b/>
                <w:bCs/>
              </w:rPr>
              <w:t xml:space="preserve">Key Partnerships</w:t>
            </w:r>
          </w:p>
        </w:tc>
        <w:tc>
          <w:tcPr>
            <w:tcW w:type="dxa" w:w="8073"/>
            <w:shd w:fill="F1F5F9" w:color="auto" w:val="clear"/>
            <w:tcMar>
              <w:top w:type="dxa" w:w="80"/>
              <w:left w:type="dxa" w:w="100"/>
              <w:bottom w:type="dxa" w:w="80"/>
              <w:right w:type="dxa" w:w="100"/>
            </w:tcMar>
            <w:vAlign w:val="center"/>
          </w:tcPr>
          <w:p>
            <w:pPr>
              <w:spacing w:after="0"/>
            </w:pPr>
            <w:r>
              <w:t xml:space="preserve">Maintenance contractor companies (the core partnership — see Partnership Framework (Chapter 7)), a SAMA-licensed payment gateway (e.g., a provider such as Moyasar, PayTabs, HyperPay, or Tap — confirm current options with a licensed payment consultant), an app development partner/vendor, insurance broker (liability cover), and government SME support programs (Monsha'at, Kafalah).</w:t>
            </w:r>
          </w:p>
        </w:tc>
      </w:tr>
      <w:tr>
        <w:tc>
          <w:tcPr>
            <w:tcW w:type="dxa" w:w="953"/>
            <w:tcMar>
              <w:top w:type="dxa" w:w="80"/>
              <w:left w:type="dxa" w:w="100"/>
              <w:bottom w:type="dxa" w:w="80"/>
              <w:right w:type="dxa" w:w="100"/>
            </w:tcMar>
            <w:vAlign w:val="center"/>
          </w:tcPr>
          <w:p>
            <w:pPr>
              <w:spacing w:after="0"/>
            </w:pPr>
            <w:r>
              <w:rPr>
                <w:b/>
                <w:bCs/>
              </w:rPr>
              <w:t xml:space="preserve">Cost Structure</w:t>
            </w:r>
          </w:p>
        </w:tc>
        <w:tc>
          <w:tcPr>
            <w:tcW w:type="dxa" w:w="8073"/>
            <w:tcMar>
              <w:top w:type="dxa" w:w="80"/>
              <w:left w:type="dxa" w:w="100"/>
              <w:bottom w:type="dxa" w:w="80"/>
              <w:right w:type="dxa" w:w="100"/>
            </w:tcMar>
            <w:vAlign w:val="center"/>
          </w:tcPr>
          <w:p>
            <w:pPr>
              <w:spacing w:after="0"/>
            </w:pPr>
            <w:r>
              <w:t xml:space="preserve">Technology build &amp; hosting, salaries (ops, support, marketing, management), marketing/customer acquisition spend, payment gateway fees, insurance, office/admin overhead, contractor payouts (a pass-through, not a "cost" in the P&amp;L sense — see Financial Plan (Chapter 6)).</w:t>
            </w:r>
          </w:p>
        </w:tc>
      </w:tr>
    </w:tbl>
    <w:p>
      <w:pPr>
        <w:spacing w:after="200"/>
      </w:pPr>
    </w:p>
    <w:p>
      <w:pPr>
        <w:pStyle w:val="Heading2"/>
        <w:spacing w:after="160" w:before="360"/>
      </w:pPr>
      <w:r>
        <w:t xml:space="preserve">2.3 Who does what — the division of labor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37"/>
        <w:gridCol w:w="4903"/>
        <w:gridCol w:w="1486"/>
      </w:tblGrid>
      <w:tr>
        <w:trPr>
          <w:tblHeader/>
        </w:trPr>
        <w:tc>
          <w:tcPr>
            <w:tcW w:type="dxa" w:w="2637"/>
            <w:shd w:fill="334155" w:color="auto" w:val="clear"/>
            <w:tcMar>
              <w:top w:type="dxa" w:w="80"/>
              <w:left w:type="dxa" w:w="100"/>
              <w:bottom w:type="dxa" w:w="80"/>
              <w:right w:type="dxa" w:w="100"/>
            </w:tcMar>
            <w:vAlign w:val="center"/>
          </w:tcPr>
          <w:p>
            <w:r>
              <w:rPr>
                <w:b/>
                <w:bCs/>
                <w:color w:val="FFFFFF"/>
              </w:rPr>
              <w:t xml:space="preserve">Responsibility</w:t>
            </w:r>
          </w:p>
        </w:tc>
        <w:tc>
          <w:tcPr>
            <w:tcW w:type="dxa" w:w="4903"/>
            <w:shd w:fill="334155" w:color="auto" w:val="clear"/>
            <w:tcMar>
              <w:top w:type="dxa" w:w="80"/>
              <w:left w:type="dxa" w:w="100"/>
              <w:bottom w:type="dxa" w:w="80"/>
              <w:right w:type="dxa" w:w="100"/>
            </w:tcMar>
            <w:vAlign w:val="center"/>
          </w:tcPr>
          <w:p>
            <w:r>
              <w:rPr>
                <w:b/>
                <w:bCs/>
                <w:color w:val="FFFFFF"/>
              </w:rPr>
              <w:t xml:space="preserve">Us (Maintenance Portal)</w:t>
            </w:r>
          </w:p>
        </w:tc>
        <w:tc>
          <w:tcPr>
            <w:tcW w:type="dxa" w:w="1486"/>
            <w:shd w:fill="334155" w:color="auto" w:val="clear"/>
            <w:tcMar>
              <w:top w:type="dxa" w:w="80"/>
              <w:left w:type="dxa" w:w="100"/>
              <w:bottom w:type="dxa" w:w="80"/>
              <w:right w:type="dxa" w:w="100"/>
            </w:tcMar>
            <w:vAlign w:val="center"/>
          </w:tcPr>
          <w:p>
            <w:r>
              <w:rPr>
                <w:b/>
                <w:bCs/>
                <w:color w:val="FFFFFF"/>
              </w:rPr>
              <w:t xml:space="preserve">Contractor Partner</w:t>
            </w:r>
          </w:p>
        </w:tc>
      </w:tr>
      <w:tr>
        <w:tc>
          <w:tcPr>
            <w:tcW w:type="dxa" w:w="2637"/>
            <w:tcMar>
              <w:top w:type="dxa" w:w="80"/>
              <w:left w:type="dxa" w:w="100"/>
              <w:bottom w:type="dxa" w:w="80"/>
              <w:right w:type="dxa" w:w="100"/>
            </w:tcMar>
            <w:vAlign w:val="center"/>
          </w:tcPr>
          <w:p>
            <w:pPr>
              <w:spacing w:after="0"/>
            </w:pPr>
            <w:r>
              <w:t xml:space="preserve">Owns the customer relationship &amp; app</w:t>
            </w:r>
          </w:p>
        </w:tc>
        <w:tc>
          <w:tcPr>
            <w:tcW w:type="dxa" w:w="4903"/>
            <w:tcMar>
              <w:top w:type="dxa" w:w="80"/>
              <w:left w:type="dxa" w:w="100"/>
              <w:bottom w:type="dxa" w:w="80"/>
              <w:right w:type="dxa" w:w="100"/>
            </w:tcMar>
            <w:vAlign w:val="center"/>
          </w:tcPr>
          <w:p>
            <w:pPr>
              <w:spacing w:after="0"/>
            </w:pPr>
            <w:r>
              <w:t xml:space="preserve">Yes</w:t>
            </w:r>
          </w:p>
        </w:tc>
        <w:tc>
          <w:tcPr>
            <w:tcW w:type="dxa" w:w="1486"/>
            <w:tcMar>
              <w:top w:type="dxa" w:w="80"/>
              <w:left w:type="dxa" w:w="100"/>
              <w:bottom w:type="dxa" w:w="80"/>
              <w:right w:type="dxa" w:w="100"/>
            </w:tcMar>
            <w:vAlign w:val="center"/>
          </w:tcPr>
          <w:p>
            <w:pPr>
              <w:spacing w:after="0"/>
            </w:pPr>
            <w:r>
              <w:t xml:space="preserve">No</w:t>
            </w:r>
          </w:p>
        </w:tc>
      </w:tr>
      <w:tr>
        <w:tc>
          <w:tcPr>
            <w:tcW w:type="dxa" w:w="2637"/>
            <w:shd w:fill="F1F5F9" w:color="auto" w:val="clear"/>
            <w:tcMar>
              <w:top w:type="dxa" w:w="80"/>
              <w:left w:type="dxa" w:w="100"/>
              <w:bottom w:type="dxa" w:w="80"/>
              <w:right w:type="dxa" w:w="100"/>
            </w:tcMar>
            <w:vAlign w:val="center"/>
          </w:tcPr>
          <w:p>
            <w:pPr>
              <w:spacing w:after="0"/>
            </w:pPr>
            <w:r>
              <w:t xml:space="preserve">Employs the technician</w:t>
            </w:r>
          </w:p>
        </w:tc>
        <w:tc>
          <w:tcPr>
            <w:tcW w:type="dxa" w:w="4903"/>
            <w:shd w:fill="F1F5F9" w:color="auto" w:val="clear"/>
            <w:tcMar>
              <w:top w:type="dxa" w:w="80"/>
              <w:left w:type="dxa" w:w="100"/>
              <w:bottom w:type="dxa" w:w="80"/>
              <w:right w:type="dxa" w:w="100"/>
            </w:tcMar>
            <w:vAlign w:val="center"/>
          </w:tcPr>
          <w:p>
            <w:pPr>
              <w:spacing w:after="0"/>
            </w:pPr>
            <w:r>
              <w:t xml:space="preserve">No</w:t>
            </w:r>
          </w:p>
        </w:tc>
        <w:tc>
          <w:tcPr>
            <w:tcW w:type="dxa" w:w="1486"/>
            <w:shd w:fill="F1F5F9" w:color="auto" w:val="clear"/>
            <w:tcMar>
              <w:top w:type="dxa" w:w="80"/>
              <w:left w:type="dxa" w:w="100"/>
              <w:bottom w:type="dxa" w:w="80"/>
              <w:right w:type="dxa" w:w="100"/>
            </w:tcMar>
            <w:vAlign w:val="center"/>
          </w:tcPr>
          <w:p>
            <w:pPr>
              <w:spacing w:after="0"/>
            </w:pPr>
            <w:r>
              <w:t xml:space="preserve">Yes</w:t>
            </w:r>
          </w:p>
        </w:tc>
      </w:tr>
      <w:tr>
        <w:tc>
          <w:tcPr>
            <w:tcW w:type="dxa" w:w="2637"/>
            <w:tcMar>
              <w:top w:type="dxa" w:w="80"/>
              <w:left w:type="dxa" w:w="100"/>
              <w:bottom w:type="dxa" w:w="80"/>
              <w:right w:type="dxa" w:w="100"/>
            </w:tcMar>
            <w:vAlign w:val="center"/>
          </w:tcPr>
          <w:p>
            <w:pPr>
              <w:spacing w:after="0"/>
            </w:pPr>
            <w:r>
              <w:t xml:space="preserve">Holds the trade/municipal license to do electrical, plumbing, HVAC work</w:t>
            </w:r>
          </w:p>
        </w:tc>
        <w:tc>
          <w:tcPr>
            <w:tcW w:type="dxa" w:w="4903"/>
            <w:tcMar>
              <w:top w:type="dxa" w:w="80"/>
              <w:left w:type="dxa" w:w="100"/>
              <w:bottom w:type="dxa" w:w="80"/>
              <w:right w:type="dxa" w:w="100"/>
            </w:tcMar>
            <w:vAlign w:val="center"/>
          </w:tcPr>
          <w:p>
            <w:pPr>
              <w:spacing w:after="0"/>
            </w:pPr>
            <w:r>
              <w:t xml:space="preserve">No — not required if we never perform the work ourselves (</w:t>
            </w:r>
            <w:r>
              <w:rPr>
                <w:b/>
                <w:bCs/>
              </w:rPr>
              <w:t xml:space="preserve">confirm with lawyer</w:t>
            </w:r>
            <w:r>
              <w:t xml:space="preserve">, see Feasibility Study (Chapter 4))</w:t>
            </w:r>
          </w:p>
        </w:tc>
        <w:tc>
          <w:tcPr>
            <w:tcW w:type="dxa" w:w="1486"/>
            <w:tcMar>
              <w:top w:type="dxa" w:w="80"/>
              <w:left w:type="dxa" w:w="100"/>
              <w:bottom w:type="dxa" w:w="80"/>
              <w:right w:type="dxa" w:w="100"/>
            </w:tcMar>
            <w:vAlign w:val="center"/>
          </w:tcPr>
          <w:p>
            <w:pPr>
              <w:spacing w:after="0"/>
            </w:pPr>
            <w:r>
              <w:t xml:space="preserve">Yes — mandatory</w:t>
            </w:r>
          </w:p>
        </w:tc>
      </w:tr>
      <w:tr>
        <w:tc>
          <w:tcPr>
            <w:tcW w:type="dxa" w:w="2637"/>
            <w:shd w:fill="F1F5F9" w:color="auto" w:val="clear"/>
            <w:tcMar>
              <w:top w:type="dxa" w:w="80"/>
              <w:left w:type="dxa" w:w="100"/>
              <w:bottom w:type="dxa" w:w="80"/>
              <w:right w:type="dxa" w:w="100"/>
            </w:tcMar>
            <w:vAlign w:val="center"/>
          </w:tcPr>
          <w:p>
            <w:pPr>
              <w:spacing w:after="0"/>
            </w:pPr>
            <w:r>
              <w:t xml:space="preserve">Vets technician competence &amp; background</w:t>
            </w:r>
          </w:p>
        </w:tc>
        <w:tc>
          <w:tcPr>
            <w:tcW w:type="dxa" w:w="4903"/>
            <w:shd w:fill="F1F5F9" w:color="auto" w:val="clear"/>
            <w:tcMar>
              <w:top w:type="dxa" w:w="80"/>
              <w:left w:type="dxa" w:w="100"/>
              <w:bottom w:type="dxa" w:w="80"/>
              <w:right w:type="dxa" w:w="100"/>
            </w:tcMar>
            <w:vAlign w:val="center"/>
          </w:tcPr>
          <w:p>
            <w:pPr>
              <w:spacing w:after="0"/>
            </w:pPr>
            <w:r>
              <w:t xml:space="preserve">Sets the bar &amp; spot-checks</w:t>
            </w:r>
          </w:p>
        </w:tc>
        <w:tc>
          <w:tcPr>
            <w:tcW w:type="dxa" w:w="1486"/>
            <w:shd w:fill="F1F5F9" w:color="auto" w:val="clear"/>
            <w:tcMar>
              <w:top w:type="dxa" w:w="80"/>
              <w:left w:type="dxa" w:w="100"/>
              <w:bottom w:type="dxa" w:w="80"/>
              <w:right w:type="dxa" w:w="100"/>
            </w:tcMar>
            <w:vAlign w:val="center"/>
          </w:tcPr>
          <w:p>
            <w:pPr>
              <w:spacing w:after="0"/>
            </w:pPr>
            <w:r>
              <w:t xml:space="preserve">Does the hiring &amp; day-to-day supervision</w:t>
            </w:r>
          </w:p>
        </w:tc>
      </w:tr>
      <w:tr>
        <w:tc>
          <w:tcPr>
            <w:tcW w:type="dxa" w:w="2637"/>
            <w:tcMar>
              <w:top w:type="dxa" w:w="80"/>
              <w:left w:type="dxa" w:w="100"/>
              <w:bottom w:type="dxa" w:w="80"/>
              <w:right w:type="dxa" w:w="100"/>
            </w:tcMar>
            <w:vAlign w:val="center"/>
          </w:tcPr>
          <w:p>
            <w:pPr>
              <w:spacing w:after="0"/>
            </w:pPr>
            <w:r>
              <w:t xml:space="preserve">Sets/approves pricing shown to customer</w:t>
            </w:r>
          </w:p>
        </w:tc>
        <w:tc>
          <w:tcPr>
            <w:tcW w:type="dxa" w:w="4903"/>
            <w:tcMar>
              <w:top w:type="dxa" w:w="80"/>
              <w:left w:type="dxa" w:w="100"/>
              <w:bottom w:type="dxa" w:w="80"/>
              <w:right w:type="dxa" w:w="100"/>
            </w:tcMar>
            <w:vAlign w:val="center"/>
          </w:tcPr>
          <w:p>
            <w:pPr>
              <w:spacing w:after="0"/>
            </w:pPr>
            <w:r>
              <w:t xml:space="preserve">Sets standard price bands per job type</w:t>
            </w:r>
          </w:p>
        </w:tc>
        <w:tc>
          <w:tcPr>
            <w:tcW w:type="dxa" w:w="1486"/>
            <w:tcMar>
              <w:top w:type="dxa" w:w="80"/>
              <w:left w:type="dxa" w:w="100"/>
              <w:bottom w:type="dxa" w:w="80"/>
              <w:right w:type="dxa" w:w="100"/>
            </w:tcMar>
            <w:vAlign w:val="center"/>
          </w:tcPr>
          <w:p>
            <w:pPr>
              <w:spacing w:after="0"/>
            </w:pPr>
            <w:r>
              <w:t xml:space="preserve">Bids into or accepts our price bands</w:t>
            </w:r>
          </w:p>
        </w:tc>
      </w:tr>
      <w:tr>
        <w:tc>
          <w:tcPr>
            <w:tcW w:type="dxa" w:w="2637"/>
            <w:shd w:fill="F1F5F9" w:color="auto" w:val="clear"/>
            <w:tcMar>
              <w:top w:type="dxa" w:w="80"/>
              <w:left w:type="dxa" w:w="100"/>
              <w:bottom w:type="dxa" w:w="80"/>
              <w:right w:type="dxa" w:w="100"/>
            </w:tcMar>
            <w:vAlign w:val="center"/>
          </w:tcPr>
          <w:p>
            <w:pPr>
              <w:spacing w:after="0"/>
            </w:pPr>
            <w:r>
              <w:t xml:space="preserve">Collects payment from customer</w:t>
            </w:r>
          </w:p>
        </w:tc>
        <w:tc>
          <w:tcPr>
            <w:tcW w:type="dxa" w:w="4903"/>
            <w:shd w:fill="F1F5F9" w:color="auto" w:val="clear"/>
            <w:tcMar>
              <w:top w:type="dxa" w:w="80"/>
              <w:left w:type="dxa" w:w="100"/>
              <w:bottom w:type="dxa" w:w="80"/>
              <w:right w:type="dxa" w:w="100"/>
            </w:tcMar>
            <w:vAlign w:val="center"/>
          </w:tcPr>
          <w:p>
            <w:pPr>
              <w:spacing w:after="0"/>
            </w:pPr>
            <w:r>
              <w:t xml:space="preserve">Yes (via app)</w:t>
            </w:r>
          </w:p>
        </w:tc>
        <w:tc>
          <w:tcPr>
            <w:tcW w:type="dxa" w:w="1486"/>
            <w:shd w:fill="F1F5F9" w:color="auto" w:val="clear"/>
            <w:tcMar>
              <w:top w:type="dxa" w:w="80"/>
              <w:left w:type="dxa" w:w="100"/>
              <w:bottom w:type="dxa" w:w="80"/>
              <w:right w:type="dxa" w:w="100"/>
            </w:tcMar>
            <w:vAlign w:val="center"/>
          </w:tcPr>
          <w:p>
            <w:pPr>
              <w:spacing w:after="0"/>
            </w:pPr>
            <w:r>
              <w:t xml:space="preserve">No — paid out by us</w:t>
            </w:r>
          </w:p>
        </w:tc>
      </w:tr>
      <w:tr>
        <w:tc>
          <w:tcPr>
            <w:tcW w:type="dxa" w:w="2637"/>
            <w:tcMar>
              <w:top w:type="dxa" w:w="80"/>
              <w:left w:type="dxa" w:w="100"/>
              <w:bottom w:type="dxa" w:w="80"/>
              <w:right w:type="dxa" w:w="100"/>
            </w:tcMar>
            <w:vAlign w:val="center"/>
          </w:tcPr>
          <w:p>
            <w:pPr>
              <w:spacing w:after="0"/>
            </w:pPr>
            <w:r>
              <w:t xml:space="preserve">Provides tools, van, spare parts</w:t>
            </w:r>
          </w:p>
        </w:tc>
        <w:tc>
          <w:tcPr>
            <w:tcW w:type="dxa" w:w="4903"/>
            <w:tcMar>
              <w:top w:type="dxa" w:w="80"/>
              <w:left w:type="dxa" w:w="100"/>
              <w:bottom w:type="dxa" w:w="80"/>
              <w:right w:type="dxa" w:w="100"/>
            </w:tcMar>
            <w:vAlign w:val="center"/>
          </w:tcPr>
          <w:p>
            <w:pPr>
              <w:spacing w:after="0"/>
            </w:pPr>
            <w:r>
              <w:t xml:space="preserve">No</w:t>
            </w:r>
          </w:p>
        </w:tc>
        <w:tc>
          <w:tcPr>
            <w:tcW w:type="dxa" w:w="1486"/>
            <w:tcMar>
              <w:top w:type="dxa" w:w="80"/>
              <w:left w:type="dxa" w:w="100"/>
              <w:bottom w:type="dxa" w:w="80"/>
              <w:right w:type="dxa" w:w="100"/>
            </w:tcMar>
            <w:vAlign w:val="center"/>
          </w:tcPr>
          <w:p>
            <w:pPr>
              <w:spacing w:after="0"/>
            </w:pPr>
            <w:r>
              <w:t xml:space="preserve">Yes</w:t>
            </w:r>
          </w:p>
        </w:tc>
      </w:tr>
      <w:tr>
        <w:tc>
          <w:tcPr>
            <w:tcW w:type="dxa" w:w="2637"/>
            <w:shd w:fill="F1F5F9" w:color="auto" w:val="clear"/>
            <w:tcMar>
              <w:top w:type="dxa" w:w="80"/>
              <w:left w:type="dxa" w:w="100"/>
              <w:bottom w:type="dxa" w:w="80"/>
              <w:right w:type="dxa" w:w="100"/>
            </w:tcMar>
            <w:vAlign w:val="center"/>
          </w:tcPr>
          <w:p>
            <w:pPr>
              <w:spacing w:after="0"/>
            </w:pPr>
            <w:r>
              <w:t xml:space="preserve">Handles warranty/comeback visits</w:t>
            </w:r>
          </w:p>
        </w:tc>
        <w:tc>
          <w:tcPr>
            <w:tcW w:type="dxa" w:w="4903"/>
            <w:shd w:fill="F1F5F9" w:color="auto" w:val="clear"/>
            <w:tcMar>
              <w:top w:type="dxa" w:w="80"/>
              <w:left w:type="dxa" w:w="100"/>
              <w:bottom w:type="dxa" w:w="80"/>
              <w:right w:type="dxa" w:w="100"/>
            </w:tcMar>
            <w:vAlign w:val="center"/>
          </w:tcPr>
          <w:p>
            <w:pPr>
              <w:spacing w:after="0"/>
            </w:pPr>
            <w:r>
              <w:t xml:space="preserve">Enforces the policy</w:t>
            </w:r>
          </w:p>
        </w:tc>
        <w:tc>
          <w:tcPr>
            <w:tcW w:type="dxa" w:w="1486"/>
            <w:shd w:fill="F1F5F9" w:color="auto" w:val="clear"/>
            <w:tcMar>
              <w:top w:type="dxa" w:w="80"/>
              <w:left w:type="dxa" w:w="100"/>
              <w:bottom w:type="dxa" w:w="80"/>
              <w:right w:type="dxa" w:w="100"/>
            </w:tcMar>
            <w:vAlign w:val="center"/>
          </w:tcPr>
          <w:p>
            <w:pPr>
              <w:spacing w:after="0"/>
            </w:pPr>
            <w:r>
              <w:t xml:space="preserve">Performs the work</w:t>
            </w:r>
          </w:p>
        </w:tc>
      </w:tr>
      <w:tr>
        <w:tc>
          <w:tcPr>
            <w:tcW w:type="dxa" w:w="2637"/>
            <w:tcMar>
              <w:top w:type="dxa" w:w="80"/>
              <w:left w:type="dxa" w:w="100"/>
              <w:bottom w:type="dxa" w:w="80"/>
              <w:right w:type="dxa" w:w="100"/>
            </w:tcMar>
            <w:vAlign w:val="center"/>
          </w:tcPr>
          <w:p>
            <w:pPr>
              <w:spacing w:after="0"/>
            </w:pPr>
            <w:r>
              <w:t xml:space="preserve">Carries liability insurance for the work performed</w:t>
            </w:r>
          </w:p>
        </w:tc>
        <w:tc>
          <w:tcPr>
            <w:tcW w:type="dxa" w:w="4903"/>
            <w:tcMar>
              <w:top w:type="dxa" w:w="80"/>
              <w:left w:type="dxa" w:w="100"/>
              <w:bottom w:type="dxa" w:w="80"/>
              <w:right w:type="dxa" w:w="100"/>
            </w:tcMar>
            <w:vAlign w:val="center"/>
          </w:tcPr>
          <w:p>
            <w:pPr>
              <w:spacing w:after="0"/>
            </w:pPr>
            <w:r>
              <w:t xml:space="preserve">Requires proof of it</w:t>
            </w:r>
          </w:p>
        </w:tc>
        <w:tc>
          <w:tcPr>
            <w:tcW w:type="dxa" w:w="1486"/>
            <w:tcMar>
              <w:top w:type="dxa" w:w="80"/>
              <w:left w:type="dxa" w:w="100"/>
              <w:bottom w:type="dxa" w:w="80"/>
              <w:right w:type="dxa" w:w="100"/>
            </w:tcMar>
            <w:vAlign w:val="center"/>
          </w:tcPr>
          <w:p>
            <w:pPr>
              <w:spacing w:after="0"/>
            </w:pPr>
            <w:r>
              <w:t xml:space="preserve">Yes — must hold it</w:t>
            </w:r>
          </w:p>
        </w:tc>
      </w:tr>
      <w:tr>
        <w:tc>
          <w:tcPr>
            <w:tcW w:type="dxa" w:w="2637"/>
            <w:shd w:fill="F1F5F9" w:color="auto" w:val="clear"/>
            <w:tcMar>
              <w:top w:type="dxa" w:w="80"/>
              <w:left w:type="dxa" w:w="100"/>
              <w:bottom w:type="dxa" w:w="80"/>
              <w:right w:type="dxa" w:w="100"/>
            </w:tcMar>
            <w:vAlign w:val="center"/>
          </w:tcPr>
          <w:p>
            <w:pPr>
              <w:spacing w:after="0"/>
            </w:pPr>
            <w:r>
              <w:t xml:space="preserve">Handles first-line customer support &amp; dispatch</w:t>
            </w:r>
          </w:p>
        </w:tc>
        <w:tc>
          <w:tcPr>
            <w:tcW w:type="dxa" w:w="4903"/>
            <w:shd w:fill="F1F5F9" w:color="auto" w:val="clear"/>
            <w:tcMar>
              <w:top w:type="dxa" w:w="80"/>
              <w:left w:type="dxa" w:w="100"/>
              <w:bottom w:type="dxa" w:w="80"/>
              <w:right w:type="dxa" w:w="100"/>
            </w:tcMar>
            <w:vAlign w:val="center"/>
          </w:tcPr>
          <w:p>
            <w:pPr>
              <w:spacing w:after="0"/>
            </w:pPr>
            <w:r>
              <w:t xml:space="preserve">Yes</w:t>
            </w:r>
          </w:p>
        </w:tc>
        <w:tc>
          <w:tcPr>
            <w:tcW w:type="dxa" w:w="1486"/>
            <w:shd w:fill="F1F5F9" w:color="auto" w:val="clear"/>
            <w:tcMar>
              <w:top w:type="dxa" w:w="80"/>
              <w:left w:type="dxa" w:w="100"/>
              <w:bottom w:type="dxa" w:w="80"/>
              <w:right w:type="dxa" w:w="100"/>
            </w:tcMar>
            <w:vAlign w:val="center"/>
          </w:tcPr>
          <w:p>
            <w:pPr>
              <w:spacing w:after="0"/>
            </w:pPr>
            <w:r>
              <w:t xml:space="preserve">Receives jobs, updates status</w:t>
            </w:r>
          </w:p>
        </w:tc>
      </w:tr>
    </w:tbl>
    <w:p>
      <w:pPr>
        <w:spacing w:after="200"/>
      </w:pPr>
    </w:p>
    <w:p>
      <w:pPr>
        <w:pStyle w:val="Heading2"/>
        <w:spacing w:after="160" w:before="360"/>
      </w:pPr>
      <w:r>
        <w:t xml:space="preserve">2.4 Revenue streams, explained simply</w:t>
      </w:r>
    </w:p>
    <w:p>
      <w:pPr>
        <w:spacing w:after="80"/>
        <w:ind w:left="720" w:hanging="360"/>
      </w:pPr>
      <w:r>
        <w:t xml:space="preserve">1.  </w:t>
      </w:r>
      <w:r>
        <w:rPr>
          <w:b/>
          <w:bCs/>
        </w:rPr>
        <w:t xml:space="preserve">Commission on completed jobs</w:t>
      </w:r>
      <w:r>
        <w:t xml:space="preserve"> — the main engine. When a contractor completes a SAR 300 plumbing job through the app, we keep a percentage (industry-typical range for on-demand service marketplaces is </w:t>
      </w:r>
      <w:r>
        <w:rPr>
          <w:b/>
          <w:bCs/>
        </w:rPr>
        <w:t xml:space="preserve">15%–25%</w:t>
      </w:r>
      <w:r>
        <w:t xml:space="preserve">; recommended starting point </w:t>
      </w:r>
      <w:r>
        <w:rPr>
          <w:b/>
          <w:bCs/>
        </w:rPr>
        <w:t xml:space="preserve">18%</w:t>
      </w:r>
      <w:r>
        <w:t xml:space="preserve">, adjustable per trade and job size — see Financial Plan (Chapter 6) §pricing for the full logic). We have not found public commission figures for KSA competitors (MAHA, HomeXA, etc. don't publish them), so this should be validated against real contractor conversations during onboarding — contractors will tell you what they consider fair very quickly.</w:t>
      </w:r>
    </w:p>
    <w:p>
      <w:pPr>
        <w:spacing w:after="80"/>
        <w:ind w:left="720" w:hanging="360"/>
      </w:pPr>
      <w:r>
        <w:t xml:space="preserve">2.  </w:t>
      </w:r>
      <w:r>
        <w:rPr>
          <w:b/>
          <w:bCs/>
        </w:rPr>
        <w:t xml:space="preserve">Booking/dispatch fee</w:t>
      </w:r>
      <w:r>
        <w:t xml:space="preserve"> — a small flat fee (suggested </w:t>
      </w:r>
      <w:r>
        <w:rPr>
          <w:b/>
          <w:bCs/>
        </w:rPr>
        <w:t xml:space="preserve">SAR 15–25</w:t>
      </w:r>
      <w:r>
        <w:t xml:space="preserve">) charged to the customer at the point of booking, covering the cost of a technician being dispatched at all (this also discourages no-shows/frivolous bookings, a common problem in this industry).</w:t>
      </w:r>
    </w:p>
    <w:p>
      <w:pPr>
        <w:spacing w:after="80"/>
        <w:ind w:left="720" w:hanging="360"/>
      </w:pPr>
      <w:r>
        <w:t xml:space="preserve">3.  </w:t>
      </w:r>
      <w:r>
        <w:rPr>
          <w:b/>
          <w:bCs/>
        </w:rPr>
        <w:t xml:space="preserve">Maintenance subscription plans</w:t>
      </w:r>
      <w:r>
        <w:t xml:space="preserve"> ("Portal Care") — an annual or semi-annual plan (e.g., 2 AC services/year + priority booking + a discount on parts) sold directly to homeowners. This is the highest-margin, most predictable revenue line once trust is established, and it is standard in this industry (AC preventive-maintenance contracts are already common practice among facility and villa owners in KSA).</w:t>
      </w:r>
    </w:p>
    <w:p>
      <w:pPr>
        <w:spacing w:after="80"/>
        <w:ind w:left="720" w:hanging="360"/>
      </w:pPr>
      <w:r>
        <w:t xml:space="preserve">4.  </w:t>
      </w:r>
      <w:r>
        <w:rPr>
          <w:b/>
          <w:bCs/>
        </w:rPr>
        <w:t xml:space="preserve">Contractor value-added services</w:t>
      </w:r>
      <w:r>
        <w:t xml:space="preserve"> (Phase 2+) — optional paid placement/lead-boost for contractors who want more job volume, once you have enough customer demand that this creates real value for contractors rather than just being an extra cost you're asking them to swallow.</w:t>
      </w:r>
    </w:p>
    <w:p>
      <w:pPr>
        <w:pStyle w:val="Heading2"/>
        <w:spacing w:after="160" w:before="360"/>
      </w:pPr>
      <w:r>
        <w:t xml:space="preserve">2.5 Why "partner" beats "hire" for a first-mover in this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6"/>
        <w:gridCol w:w="3028"/>
        <w:gridCol w:w="4242"/>
      </w:tblGrid>
      <w:tr>
        <w:trPr>
          <w:tblHeader/>
        </w:trPr>
        <w:tc>
          <w:tcPr>
            <w:tcW w:type="dxa" w:w="1756"/>
            <w:shd w:fill="334155" w:color="auto" w:val="clear"/>
            <w:tcMar>
              <w:top w:type="dxa" w:w="80"/>
              <w:left w:type="dxa" w:w="100"/>
              <w:bottom w:type="dxa" w:w="80"/>
              <w:right w:type="dxa" w:w="100"/>
            </w:tcMar>
            <w:vAlign w:val="center"/>
          </w:tcPr>
          <w:p>
            <w:r>
              <w:rPr>
                <w:b/>
                <w:bCs/>
                <w:color w:val="FFFFFF"/>
              </w:rPr>
              <w:t xml:space="preserve"/>
            </w:r>
          </w:p>
        </w:tc>
        <w:tc>
          <w:tcPr>
            <w:tcW w:type="dxa" w:w="3028"/>
            <w:shd w:fill="334155" w:color="auto" w:val="clear"/>
            <w:tcMar>
              <w:top w:type="dxa" w:w="80"/>
              <w:left w:type="dxa" w:w="100"/>
              <w:bottom w:type="dxa" w:w="80"/>
              <w:right w:type="dxa" w:w="100"/>
            </w:tcMar>
            <w:vAlign w:val="center"/>
          </w:tcPr>
          <w:p>
            <w:r>
              <w:rPr>
                <w:b/>
                <w:bCs/>
                <w:color w:val="FFFFFF"/>
              </w:rPr>
              <w:t xml:space="preserve">Partner Model (recommended)</w:t>
            </w:r>
          </w:p>
        </w:tc>
        <w:tc>
          <w:tcPr>
            <w:tcW w:type="dxa" w:w="4242"/>
            <w:shd w:fill="334155" w:color="auto" w:val="clear"/>
            <w:tcMar>
              <w:top w:type="dxa" w:w="80"/>
              <w:left w:type="dxa" w:w="100"/>
              <w:bottom w:type="dxa" w:w="80"/>
              <w:right w:type="dxa" w:w="100"/>
            </w:tcMar>
            <w:vAlign w:val="center"/>
          </w:tcPr>
          <w:p>
            <w:r>
              <w:rPr>
                <w:b/>
                <w:bCs/>
                <w:color w:val="FFFFFF"/>
              </w:rPr>
              <w:t xml:space="preserve">Employ-Your-Own-Technicians Model</w:t>
            </w:r>
          </w:p>
        </w:tc>
      </w:tr>
      <w:tr>
        <w:tc>
          <w:tcPr>
            <w:tcW w:type="dxa" w:w="1756"/>
            <w:tcMar>
              <w:top w:type="dxa" w:w="80"/>
              <w:left w:type="dxa" w:w="100"/>
              <w:bottom w:type="dxa" w:w="80"/>
              <w:right w:type="dxa" w:w="100"/>
            </w:tcMar>
            <w:vAlign w:val="center"/>
          </w:tcPr>
          <w:p>
            <w:pPr>
              <w:spacing w:after="0"/>
            </w:pPr>
            <w:r>
              <w:t xml:space="preserve">Time to launch</w:t>
            </w:r>
          </w:p>
        </w:tc>
        <w:tc>
          <w:tcPr>
            <w:tcW w:type="dxa" w:w="3028"/>
            <w:tcMar>
              <w:top w:type="dxa" w:w="80"/>
              <w:left w:type="dxa" w:w="100"/>
              <w:bottom w:type="dxa" w:w="80"/>
              <w:right w:type="dxa" w:w="100"/>
            </w:tcMar>
            <w:vAlign w:val="center"/>
          </w:tcPr>
          <w:p>
            <w:pPr>
              <w:spacing w:after="0"/>
            </w:pPr>
            <w:r>
              <w:t xml:space="preserve">Months</w:t>
            </w:r>
          </w:p>
        </w:tc>
        <w:tc>
          <w:tcPr>
            <w:tcW w:type="dxa" w:w="4242"/>
            <w:tcMar>
              <w:top w:type="dxa" w:w="80"/>
              <w:left w:type="dxa" w:w="100"/>
              <w:bottom w:type="dxa" w:w="80"/>
              <w:right w:type="dxa" w:w="100"/>
            </w:tcMar>
            <w:vAlign w:val="center"/>
          </w:tcPr>
          <w:p>
            <w:pPr>
              <w:spacing w:after="0"/>
            </w:pPr>
            <w:r>
              <w:t xml:space="preserve">1–2 years (recruiting, training, licensing, fleet, tools)</w:t>
            </w:r>
          </w:p>
        </w:tc>
      </w:tr>
      <w:tr>
        <w:tc>
          <w:tcPr>
            <w:tcW w:type="dxa" w:w="1756"/>
            <w:shd w:fill="F1F5F9" w:color="auto" w:val="clear"/>
            <w:tcMar>
              <w:top w:type="dxa" w:w="80"/>
              <w:left w:type="dxa" w:w="100"/>
              <w:bottom w:type="dxa" w:w="80"/>
              <w:right w:type="dxa" w:w="100"/>
            </w:tcMar>
            <w:vAlign w:val="center"/>
          </w:tcPr>
          <w:p>
            <w:pPr>
              <w:spacing w:after="0"/>
            </w:pPr>
            <w:r>
              <w:t xml:space="preserve">Upfront capital</w:t>
            </w:r>
          </w:p>
        </w:tc>
        <w:tc>
          <w:tcPr>
            <w:tcW w:type="dxa" w:w="3028"/>
            <w:shd w:fill="F1F5F9" w:color="auto" w:val="clear"/>
            <w:tcMar>
              <w:top w:type="dxa" w:w="80"/>
              <w:left w:type="dxa" w:w="100"/>
              <w:bottom w:type="dxa" w:w="80"/>
              <w:right w:type="dxa" w:w="100"/>
            </w:tcMar>
            <w:vAlign w:val="center"/>
          </w:tcPr>
          <w:p>
            <w:pPr>
              <w:spacing w:after="0"/>
            </w:pPr>
            <w:r>
              <w:t xml:space="preserve">Lower (tech + ops team only)</w:t>
            </w:r>
          </w:p>
        </w:tc>
        <w:tc>
          <w:tcPr>
            <w:tcW w:type="dxa" w:w="4242"/>
            <w:shd w:fill="F1F5F9" w:color="auto" w:val="clear"/>
            <w:tcMar>
              <w:top w:type="dxa" w:w="80"/>
              <w:left w:type="dxa" w:w="100"/>
              <w:bottom w:type="dxa" w:w="80"/>
              <w:right w:type="dxa" w:w="100"/>
            </w:tcMar>
            <w:vAlign w:val="center"/>
          </w:tcPr>
          <w:p>
            <w:pPr>
              <w:spacing w:after="0"/>
            </w:pPr>
            <w:r>
              <w:t xml:space="preserve">Much higher (payroll, vans, tool inventory, spare parts stock)</w:t>
            </w:r>
          </w:p>
        </w:tc>
      </w:tr>
      <w:tr>
        <w:tc>
          <w:tcPr>
            <w:tcW w:type="dxa" w:w="1756"/>
            <w:tcMar>
              <w:top w:type="dxa" w:w="80"/>
              <w:left w:type="dxa" w:w="100"/>
              <w:bottom w:type="dxa" w:w="80"/>
              <w:right w:type="dxa" w:w="100"/>
            </w:tcMar>
            <w:vAlign w:val="center"/>
          </w:tcPr>
          <w:p>
            <w:pPr>
              <w:spacing w:after="0"/>
            </w:pPr>
            <w:r>
              <w:t xml:space="preserve">Licensing burden</w:t>
            </w:r>
          </w:p>
        </w:tc>
        <w:tc>
          <w:tcPr>
            <w:tcW w:type="dxa" w:w="3028"/>
            <w:tcMar>
              <w:top w:type="dxa" w:w="80"/>
              <w:left w:type="dxa" w:w="100"/>
              <w:bottom w:type="dxa" w:w="80"/>
              <w:right w:type="dxa" w:w="100"/>
            </w:tcMar>
            <w:vAlign w:val="center"/>
          </w:tcPr>
          <w:p>
            <w:pPr>
              <w:spacing w:after="0"/>
            </w:pPr>
            <w:r>
              <w:t xml:space="preserve">Lower — contractors carry their own trade licenses</w:t>
            </w:r>
          </w:p>
        </w:tc>
        <w:tc>
          <w:tcPr>
            <w:tcW w:type="dxa" w:w="4242"/>
            <w:tcMar>
              <w:top w:type="dxa" w:w="80"/>
              <w:left w:type="dxa" w:w="100"/>
              <w:bottom w:type="dxa" w:w="80"/>
              <w:right w:type="dxa" w:w="100"/>
            </w:tcMar>
            <w:vAlign w:val="center"/>
          </w:tcPr>
          <w:p>
            <w:pPr>
              <w:spacing w:after="0"/>
            </w:pPr>
            <w:r>
              <w:t xml:space="preserve">You must hold SCA/municipal trade licenses yourself</w:t>
            </w:r>
          </w:p>
        </w:tc>
      </w:tr>
      <w:tr>
        <w:tc>
          <w:tcPr>
            <w:tcW w:type="dxa" w:w="1756"/>
            <w:shd w:fill="F1F5F9" w:color="auto" w:val="clear"/>
            <w:tcMar>
              <w:top w:type="dxa" w:w="80"/>
              <w:left w:type="dxa" w:w="100"/>
              <w:bottom w:type="dxa" w:w="80"/>
              <w:right w:type="dxa" w:w="100"/>
            </w:tcMar>
            <w:vAlign w:val="center"/>
          </w:tcPr>
          <w:p>
            <w:pPr>
              <w:spacing w:after="0"/>
            </w:pPr>
            <w:r>
              <w:t xml:space="preserve">Quality control</w:t>
            </w:r>
          </w:p>
        </w:tc>
        <w:tc>
          <w:tcPr>
            <w:tcW w:type="dxa" w:w="3028"/>
            <w:shd w:fill="F1F5F9" w:color="auto" w:val="clear"/>
            <w:tcMar>
              <w:top w:type="dxa" w:w="80"/>
              <w:left w:type="dxa" w:w="100"/>
              <w:bottom w:type="dxa" w:w="80"/>
              <w:right w:type="dxa" w:w="100"/>
            </w:tcMar>
            <w:vAlign w:val="center"/>
          </w:tcPr>
          <w:p>
            <w:pPr>
              <w:spacing w:after="0"/>
            </w:pPr>
            <w:r>
              <w:t xml:space="preserve">Harder — you don't directly manage the technician</w:t>
            </w:r>
          </w:p>
        </w:tc>
        <w:tc>
          <w:tcPr>
            <w:tcW w:type="dxa" w:w="4242"/>
            <w:shd w:fill="F1F5F9" w:color="auto" w:val="clear"/>
            <w:tcMar>
              <w:top w:type="dxa" w:w="80"/>
              <w:left w:type="dxa" w:w="100"/>
              <w:bottom w:type="dxa" w:w="80"/>
              <w:right w:type="dxa" w:w="100"/>
            </w:tcMar>
            <w:vAlign w:val="center"/>
          </w:tcPr>
          <w:p>
            <w:pPr>
              <w:spacing w:after="0"/>
            </w:pPr>
            <w:r>
              <w:t xml:space="preserve">Easier — direct control</w:t>
            </w:r>
          </w:p>
        </w:tc>
      </w:tr>
      <w:tr>
        <w:tc>
          <w:tcPr>
            <w:tcW w:type="dxa" w:w="1756"/>
            <w:tcMar>
              <w:top w:type="dxa" w:w="80"/>
              <w:left w:type="dxa" w:w="100"/>
              <w:bottom w:type="dxa" w:w="80"/>
              <w:right w:type="dxa" w:w="100"/>
            </w:tcMar>
            <w:vAlign w:val="center"/>
          </w:tcPr>
          <w:p>
            <w:pPr>
              <w:spacing w:after="0"/>
            </w:pPr>
            <w:r>
              <w:t xml:space="preserve">Scalability across new cities</w:t>
            </w:r>
          </w:p>
        </w:tc>
        <w:tc>
          <w:tcPr>
            <w:tcW w:type="dxa" w:w="3028"/>
            <w:tcMar>
              <w:top w:type="dxa" w:w="80"/>
              <w:left w:type="dxa" w:w="100"/>
              <w:bottom w:type="dxa" w:w="80"/>
              <w:right w:type="dxa" w:w="100"/>
            </w:tcMar>
            <w:vAlign w:val="center"/>
          </w:tcPr>
          <w:p>
            <w:pPr>
              <w:spacing w:after="0"/>
            </w:pPr>
            <w:r>
              <w:t xml:space="preserve">Fast — sign a local contractor already there</w:t>
            </w:r>
          </w:p>
        </w:tc>
        <w:tc>
          <w:tcPr>
            <w:tcW w:type="dxa" w:w="4242"/>
            <w:tcMar>
              <w:top w:type="dxa" w:w="80"/>
              <w:left w:type="dxa" w:w="100"/>
              <w:bottom w:type="dxa" w:w="80"/>
              <w:right w:type="dxa" w:w="100"/>
            </w:tcMar>
            <w:vAlign w:val="center"/>
          </w:tcPr>
          <w:p>
            <w:pPr>
              <w:spacing w:after="0"/>
            </w:pPr>
            <w:r>
              <w:t xml:space="preserve">Slow — must build presence city by city</w:t>
            </w:r>
          </w:p>
        </w:tc>
      </w:tr>
      <w:tr>
        <w:tc>
          <w:tcPr>
            <w:tcW w:type="dxa" w:w="1756"/>
            <w:shd w:fill="F1F5F9" w:color="auto" w:val="clear"/>
            <w:tcMar>
              <w:top w:type="dxa" w:w="80"/>
              <w:left w:type="dxa" w:w="100"/>
              <w:bottom w:type="dxa" w:w="80"/>
              <w:right w:type="dxa" w:w="100"/>
            </w:tcMar>
            <w:vAlign w:val="center"/>
          </w:tcPr>
          <w:p>
            <w:pPr>
              <w:spacing w:after="0"/>
            </w:pPr>
            <w:r>
              <w:t xml:space="preserve">Margin per job</w:t>
            </w:r>
          </w:p>
        </w:tc>
        <w:tc>
          <w:tcPr>
            <w:tcW w:type="dxa" w:w="3028"/>
            <w:shd w:fill="F1F5F9" w:color="auto" w:val="clear"/>
            <w:tcMar>
              <w:top w:type="dxa" w:w="80"/>
              <w:left w:type="dxa" w:w="100"/>
              <w:bottom w:type="dxa" w:w="80"/>
              <w:right w:type="dxa" w:w="100"/>
            </w:tcMar>
            <w:vAlign w:val="center"/>
          </w:tcPr>
          <w:p>
            <w:pPr>
              <w:spacing w:after="0"/>
            </w:pPr>
            <w:r>
              <w:t xml:space="preserve">Lower (you only take a commission)</w:t>
            </w:r>
          </w:p>
        </w:tc>
        <w:tc>
          <w:tcPr>
            <w:tcW w:type="dxa" w:w="4242"/>
            <w:shd w:fill="F1F5F9" w:color="auto" w:val="clear"/>
            <w:tcMar>
              <w:top w:type="dxa" w:w="80"/>
              <w:left w:type="dxa" w:w="100"/>
              <w:bottom w:type="dxa" w:w="80"/>
              <w:right w:type="dxa" w:w="100"/>
            </w:tcMar>
            <w:vAlign w:val="center"/>
          </w:tcPr>
          <w:p>
            <w:pPr>
              <w:spacing w:after="0"/>
            </w:pPr>
            <w:r>
              <w:t xml:space="preserve">Higher (you keep the full job value) — </w:t>
            </w:r>
            <w:r>
              <w:rPr>
                <w:i/>
                <w:iCs/>
              </w:rPr>
              <w:t xml:space="preserve">if</w:t>
            </w:r>
            <w:r>
              <w:t xml:space="preserve"> you can run it efficiently</w:t>
            </w:r>
          </w:p>
        </w:tc>
      </w:tr>
    </w:tbl>
    <w:p>
      <w:pPr>
        <w:spacing w:after="200"/>
      </w:pPr>
    </w:p>
    <w:p>
      <w:pPr>
        <w:spacing w:after="160"/>
      </w:pPr>
      <w:r>
        <w:rPr>
          <w:b/>
          <w:bCs/>
        </w:rPr>
        <w:t xml:space="preserve">Recommendation</w:t>
      </w:r>
      <w:r>
        <w:t xml:space="preserve">: start partner-only. Once you have volume and data (which contractors are reliable, which job types are highest-margin, which cities are strongest), you can selectively bring specific high-volume, high-margin service lines in-house later (a common playbook: many marketplaces gradually vertically integrate their best-performing categories once proven).</w:t>
      </w:r>
    </w:p>
    <w:p>
      <w:pPr>
        <w:pStyle w:val="Heading2"/>
        <w:spacing w:after="160" w:before="360"/>
      </w:pPr>
      <w:r>
        <w:t xml:space="preserve">2.6 Residential now, corporate later — why the sequencing makes sense</w:t>
      </w:r>
    </w:p>
    <w:p>
      <w:pPr>
        <w:spacing w:after="160"/>
      </w:pPr>
      <w:r>
        <w:t xml:space="preserve">Corporate/facility clients (offices, retail, small compounds) want the same core service but with different needs: consolidated monthly invoicing, multi-site contracts, faster SLAs, and often a dedicated account manager. Going after them from day one would split your limited launch budget and dilute focus. The recommended path:</w:t>
      </w:r>
    </w:p>
    <w:p>
      <w:pPr>
        <w:spacing w:after="80"/>
        <w:ind w:left="720" w:hanging="360"/>
      </w:pPr>
      <w:r>
        <w:t xml:space="preserve">1.  </w:t>
      </w:r>
      <w:r>
        <w:rPr>
          <w:b/>
          <w:bCs/>
        </w:rPr>
        <w:t xml:space="preserve">Phase 1</w:t>
      </w:r>
      <w:r>
        <w:t xml:space="preserve">: prove the model on residential customers, where booking is simpler (single unit, one decision-maker, pay-per-job).</w:t>
      </w:r>
    </w:p>
    <w:p>
      <w:pPr>
        <w:spacing w:after="80"/>
        <w:ind w:left="720" w:hanging="360"/>
      </w:pPr>
      <w:r>
        <w:t xml:space="preserve">2.  </w:t>
      </w:r>
      <w:r>
        <w:rPr>
          <w:b/>
          <w:bCs/>
        </w:rPr>
        <w:t xml:space="preserve">Phase 2</w:t>
      </w:r>
      <w:r>
        <w:t xml:space="preserve">: once you have a reliable contractor network and operations playbook, corporate clients become an easier upsell — you already have the technicians and the trust; you're mainly adding a billing/contract layer (monthly invoicing instead of per-job payment) and a slightly more formal SLA (already largely covered in SLA Templates (Chapter 8), since B2B SLAs are a stricter version of the same document).</w:t>
      </w:r>
    </w:p>
    <w:p>
      <w:pPr>
        <w:pStyle w:val="Heading1"/>
        <w:pageBreakBefore/>
        <w:spacing w:after="240" w:before="0"/>
      </w:pPr>
      <w:r>
        <w:t xml:space="preserve">3. Market Research</w:t>
      </w:r>
    </w:p>
    <w:p>
      <w:pPr>
        <w:pStyle w:val="Heading2"/>
        <w:spacing w:after="160" w:before="360"/>
      </w:pPr>
      <w:r>
        <w:t xml:space="preserve">3.1 The market size, in plain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3"/>
        <w:gridCol w:w="5157"/>
        <w:gridCol w:w="1366"/>
      </w:tblGrid>
      <w:tr>
        <w:trPr>
          <w:tblHeader/>
        </w:trPr>
        <w:tc>
          <w:tcPr>
            <w:tcW w:type="dxa" w:w="2503"/>
            <w:shd w:fill="334155" w:color="auto" w:val="clear"/>
            <w:tcMar>
              <w:top w:type="dxa" w:w="80"/>
              <w:left w:type="dxa" w:w="100"/>
              <w:bottom w:type="dxa" w:w="80"/>
              <w:right w:type="dxa" w:w="100"/>
            </w:tcMar>
            <w:vAlign w:val="center"/>
          </w:tcPr>
          <w:p>
            <w:r>
              <w:rPr>
                <w:b/>
                <w:bCs/>
                <w:color w:val="FFFFFF"/>
              </w:rPr>
              <w:t xml:space="preserve">City</w:t>
            </w:r>
          </w:p>
        </w:tc>
        <w:tc>
          <w:tcPr>
            <w:tcW w:type="dxa" w:w="5157"/>
            <w:shd w:fill="334155" w:color="auto" w:val="clear"/>
            <w:tcMar>
              <w:top w:type="dxa" w:w="80"/>
              <w:left w:type="dxa" w:w="100"/>
              <w:bottom w:type="dxa" w:w="80"/>
              <w:right w:type="dxa" w:w="100"/>
            </w:tcMar>
            <w:vAlign w:val="center"/>
          </w:tcPr>
          <w:p>
            <w:r>
              <w:rPr>
                <w:b/>
                <w:bCs/>
                <w:color w:val="FFFFFF"/>
              </w:rPr>
              <w:t xml:space="preserve">Metro-area population (~2025)</w:t>
            </w:r>
          </w:p>
        </w:tc>
        <w:tc>
          <w:tcPr>
            <w:tcW w:type="dxa" w:w="1366"/>
            <w:shd w:fill="334155" w:color="auto" w:val="clear"/>
            <w:tcMar>
              <w:top w:type="dxa" w:w="80"/>
              <w:left w:type="dxa" w:w="100"/>
              <w:bottom w:type="dxa" w:w="80"/>
              <w:right w:type="dxa" w:w="100"/>
            </w:tcMar>
            <w:vAlign w:val="center"/>
          </w:tcPr>
          <w:p>
            <w:r>
              <w:rPr>
                <w:b/>
                <w:bCs/>
                <w:color w:val="FFFFFF"/>
              </w:rPr>
              <w:t xml:space="preserve">Phase</w:t>
            </w:r>
          </w:p>
        </w:tc>
      </w:tr>
      <w:tr>
        <w:tc>
          <w:tcPr>
            <w:tcW w:type="dxa" w:w="2503"/>
            <w:tcMar>
              <w:top w:type="dxa" w:w="80"/>
              <w:left w:type="dxa" w:w="100"/>
              <w:bottom w:type="dxa" w:w="80"/>
              <w:right w:type="dxa" w:w="100"/>
            </w:tcMar>
            <w:vAlign w:val="center"/>
          </w:tcPr>
          <w:p>
            <w:pPr>
              <w:spacing w:after="0"/>
            </w:pPr>
            <w:r>
              <w:t xml:space="preserve">Riyadh</w:t>
            </w:r>
          </w:p>
        </w:tc>
        <w:tc>
          <w:tcPr>
            <w:tcW w:type="dxa" w:w="5157"/>
            <w:tcMar>
              <w:top w:type="dxa" w:w="80"/>
              <w:left w:type="dxa" w:w="100"/>
              <w:bottom w:type="dxa" w:w="80"/>
              <w:right w:type="dxa" w:w="100"/>
            </w:tcMar>
            <w:vAlign w:val="center"/>
          </w:tcPr>
          <w:p>
            <w:pPr>
              <w:spacing w:after="0"/>
            </w:pPr>
            <w:r>
              <w:t xml:space="preserve">~7.95 million</w:t>
            </w:r>
          </w:p>
        </w:tc>
        <w:tc>
          <w:tcPr>
            <w:tcW w:type="dxa" w:w="1366"/>
            <w:tcMar>
              <w:top w:type="dxa" w:w="80"/>
              <w:left w:type="dxa" w:w="100"/>
              <w:bottom w:type="dxa" w:w="80"/>
              <w:right w:type="dxa" w:w="100"/>
            </w:tcMar>
            <w:vAlign w:val="center"/>
          </w:tcPr>
          <w:p>
            <w:pPr>
              <w:spacing w:after="0"/>
            </w:pPr>
            <w:r>
              <w:t xml:space="preserve">Phase 1</w:t>
            </w:r>
          </w:p>
        </w:tc>
      </w:tr>
      <w:tr>
        <w:tc>
          <w:tcPr>
            <w:tcW w:type="dxa" w:w="2503"/>
            <w:shd w:fill="F1F5F9" w:color="auto" w:val="clear"/>
            <w:tcMar>
              <w:top w:type="dxa" w:w="80"/>
              <w:left w:type="dxa" w:w="100"/>
              <w:bottom w:type="dxa" w:w="80"/>
              <w:right w:type="dxa" w:w="100"/>
            </w:tcMar>
            <w:vAlign w:val="center"/>
          </w:tcPr>
          <w:p>
            <w:pPr>
              <w:spacing w:after="0"/>
            </w:pPr>
            <w:r>
              <w:t xml:space="preserve">Jeddah</w:t>
            </w:r>
          </w:p>
        </w:tc>
        <w:tc>
          <w:tcPr>
            <w:tcW w:type="dxa" w:w="5157"/>
            <w:shd w:fill="F1F5F9" w:color="auto" w:val="clear"/>
            <w:tcMar>
              <w:top w:type="dxa" w:w="80"/>
              <w:left w:type="dxa" w:w="100"/>
              <w:bottom w:type="dxa" w:w="80"/>
              <w:right w:type="dxa" w:w="100"/>
            </w:tcMar>
            <w:vAlign w:val="center"/>
          </w:tcPr>
          <w:p>
            <w:pPr>
              <w:spacing w:after="0"/>
            </w:pPr>
            <w:r>
              <w:t xml:space="preserve">~4.7 million</w:t>
            </w:r>
          </w:p>
        </w:tc>
        <w:tc>
          <w:tcPr>
            <w:tcW w:type="dxa" w:w="1366"/>
            <w:shd w:fill="F1F5F9" w:color="auto" w:val="clear"/>
            <w:tcMar>
              <w:top w:type="dxa" w:w="80"/>
              <w:left w:type="dxa" w:w="100"/>
              <w:bottom w:type="dxa" w:w="80"/>
              <w:right w:type="dxa" w:w="100"/>
            </w:tcMar>
            <w:vAlign w:val="center"/>
          </w:tcPr>
          <w:p>
            <w:pPr>
              <w:spacing w:after="0"/>
            </w:pPr>
            <w:r>
              <w:t xml:space="preserve">Phase 1</w:t>
            </w:r>
          </w:p>
        </w:tc>
      </w:tr>
      <w:tr>
        <w:tc>
          <w:tcPr>
            <w:tcW w:type="dxa" w:w="2503"/>
            <w:tcMar>
              <w:top w:type="dxa" w:w="80"/>
              <w:left w:type="dxa" w:w="100"/>
              <w:bottom w:type="dxa" w:w="80"/>
              <w:right w:type="dxa" w:w="100"/>
            </w:tcMar>
            <w:vAlign w:val="center"/>
          </w:tcPr>
          <w:p>
            <w:pPr>
              <w:spacing w:after="0"/>
            </w:pPr>
            <w:r>
              <w:t xml:space="preserve">Dammam–Khobar–Dhahran conurbation</w:t>
            </w:r>
          </w:p>
        </w:tc>
        <w:tc>
          <w:tcPr>
            <w:tcW w:type="dxa" w:w="5157"/>
            <w:tcMar>
              <w:top w:type="dxa" w:w="80"/>
              <w:left w:type="dxa" w:w="100"/>
              <w:bottom w:type="dxa" w:w="80"/>
              <w:right w:type="dxa" w:w="100"/>
            </w:tcMar>
            <w:vAlign w:val="center"/>
          </w:tcPr>
          <w:p>
            <w:pPr>
              <w:spacing w:after="0"/>
            </w:pPr>
            <w:r>
              <w:t xml:space="preserve">~1.38 million</w:t>
            </w:r>
          </w:p>
        </w:tc>
        <w:tc>
          <w:tcPr>
            <w:tcW w:type="dxa" w:w="1366"/>
            <w:tcMar>
              <w:top w:type="dxa" w:w="80"/>
              <w:left w:type="dxa" w:w="100"/>
              <w:bottom w:type="dxa" w:w="80"/>
              <w:right w:type="dxa" w:w="100"/>
            </w:tcMar>
            <w:vAlign w:val="center"/>
          </w:tcPr>
          <w:p>
            <w:pPr>
              <w:spacing w:after="0"/>
            </w:pPr>
            <w:r>
              <w:t xml:space="preserve">Phase 1</w:t>
            </w:r>
          </w:p>
        </w:tc>
      </w:tr>
      <w:tr>
        <w:tc>
          <w:tcPr>
            <w:tcW w:type="dxa" w:w="2503"/>
            <w:shd w:fill="F1F5F9" w:color="auto" w:val="clear"/>
            <w:tcMar>
              <w:top w:type="dxa" w:w="80"/>
              <w:left w:type="dxa" w:w="100"/>
              <w:bottom w:type="dxa" w:w="80"/>
              <w:right w:type="dxa" w:w="100"/>
            </w:tcMar>
            <w:vAlign w:val="center"/>
          </w:tcPr>
          <w:p>
            <w:pPr>
              <w:spacing w:after="0"/>
            </w:pPr>
            <w:r>
              <w:t xml:space="preserve">Madinah, Taif, Jubail</w:t>
            </w:r>
          </w:p>
        </w:tc>
        <w:tc>
          <w:tcPr>
            <w:tcW w:type="dxa" w:w="5157"/>
            <w:shd w:fill="F1F5F9" w:color="auto" w:val="clear"/>
            <w:tcMar>
              <w:top w:type="dxa" w:w="80"/>
              <w:left w:type="dxa" w:w="100"/>
              <w:bottom w:type="dxa" w:w="80"/>
              <w:right w:type="dxa" w:w="100"/>
            </w:tcMar>
            <w:vAlign w:val="center"/>
          </w:tcPr>
          <w:p>
            <w:pPr>
              <w:spacing w:after="0"/>
            </w:pPr>
            <w:r>
              <w:t xml:space="preserve">Mid-size cities, each in the several-hundred-thousand to ~1.5M range</w:t>
            </w:r>
          </w:p>
        </w:tc>
        <w:tc>
          <w:tcPr>
            <w:tcW w:type="dxa" w:w="1366"/>
            <w:shd w:fill="F1F5F9" w:color="auto" w:val="clear"/>
            <w:tcMar>
              <w:top w:type="dxa" w:w="80"/>
              <w:left w:type="dxa" w:w="100"/>
              <w:bottom w:type="dxa" w:w="80"/>
              <w:right w:type="dxa" w:w="100"/>
            </w:tcMar>
            <w:vAlign w:val="center"/>
          </w:tcPr>
          <w:p>
            <w:pPr>
              <w:spacing w:after="0"/>
            </w:pPr>
            <w:r>
              <w:t xml:space="preserve">Phase 2</w:t>
            </w:r>
          </w:p>
        </w:tc>
      </w:tr>
    </w:tbl>
    <w:p>
      <w:pPr>
        <w:spacing w:after="200"/>
      </w:pPr>
    </w:p>
    <w:p>
      <w:pPr>
        <w:spacing w:after="160"/>
      </w:pPr>
      <w:r>
        <w:rPr>
          <w:i/>
          <w:iCs/>
        </w:rPr>
        <w:t xml:space="preserve">Sources: World Population Review, Macrotrends city population series, GlobalMediaInsight Saudi population statistics 2026 (see citations at the bottom of this document). Household-count data (a more precise proxy for "number of homes needing maintenance") was not available at city level in open sources during this research — GASTAT (the General Authority for Statistics) publishes household survey data periodically; </w:t>
      </w:r>
      <w:r>
        <w:rPr>
          <w:b/>
          <w:bCs/>
          <w:i/>
          <w:iCs/>
        </w:rPr>
        <w:t xml:space="preserve">getting the latest GASTAT household count per city is a cheap, high-value next step</w:t>
      </w:r>
      <w:r>
        <w:rPr>
          <w:i/>
          <w:iCs/>
        </w:rPr>
        <w:t xml:space="preserve"> before you finalize sizing for a bank or investor deck.</w:t>
      </w:r>
    </w:p>
    <w:p>
      <w:pPr>
        <w:spacing w:after="160"/>
      </w:pPr>
      <w:r>
        <w:rPr>
          <w:b/>
          <w:bCs/>
        </w:rPr>
        <w:t xml:space="preserve">Rule-of-thumb sizing</w:t>
      </w:r>
      <w:r>
        <w:t xml:space="preserve">: Saudi household size averages roughly 5–6 people nationally (higher than most Western markets), so Phase 1's ~14 million combined metro population implies </w:t>
      </w:r>
      <w:r>
        <w:rPr>
          <w:b/>
          <w:bCs/>
        </w:rPr>
        <w:t xml:space="preserve">roughly 2.3–2.8 million households</w:t>
      </w:r>
      <w:r>
        <w:t xml:space="preserve"> across Jeddah, Riyadh, and Dammam. Even a conservative assumption that 1% of households book one paid maintenance job per month through the app represents 23,000–28,000 jobs/month at scale — useful as a "sky's the limit" ceiling, not a Year-1 forecast (see Financial Plan (Chapter 6) for realistic Year-1 volume assumptions).</w:t>
      </w:r>
    </w:p>
    <w:p>
      <w:pPr>
        <w:pStyle w:val="Heading2"/>
        <w:spacing w:after="160" w:before="360"/>
      </w:pPr>
      <w:r>
        <w:t xml:space="preserve">3.2 Why demand exists right now</w:t>
      </w:r>
    </w:p>
    <w:p>
      <w:pPr>
        <w:pStyle w:val="ListParagraph"/>
        <w:numPr>
          <w:ilvl w:val="0"/>
          <w:numId w:val="2"/>
        </w:numPr>
        <w:spacing w:after="80"/>
      </w:pPr>
      <w:r>
        <w:rPr>
          <w:b/>
          <w:bCs/>
        </w:rPr>
        <w:t xml:space="preserve">Vision 2030 housing push</w:t>
      </w:r>
      <w:r>
        <w:t xml:space="preserve">: home-ownership targets and new residential development have significantly grown the stock of owner-occupied villas and apartments, which age and need maintenance on a predictable cycle (AC units, water heaters, plumbing fixtures all have known service lifespans).</w:t>
      </w:r>
    </w:p>
    <w:p>
      <w:pPr>
        <w:pStyle w:val="ListParagraph"/>
        <w:numPr>
          <w:ilvl w:val="0"/>
          <w:numId w:val="2"/>
        </w:numPr>
        <w:spacing w:after="80"/>
      </w:pPr>
      <w:r>
        <w:rPr>
          <w:b/>
          <w:bCs/>
        </w:rPr>
        <w:t xml:space="preserve">Climate reality</w:t>
      </w:r>
      <w:r>
        <w:t xml:space="preserve">: HVAC is not optional in Saudi Arabia — air conditioning maintenance is one of the highest-frequency, highest-willingness-to-pay categories, especially before and during summer peak (a strong seasonal marketing hook).</w:t>
      </w:r>
    </w:p>
    <w:p>
      <w:pPr>
        <w:pStyle w:val="ListParagraph"/>
        <w:numPr>
          <w:ilvl w:val="0"/>
          <w:numId w:val="2"/>
        </w:numPr>
        <w:spacing w:after="80"/>
      </w:pPr>
      <w:r>
        <w:rPr>
          <w:b/>
          <w:bCs/>
        </w:rPr>
        <w:t xml:space="preserve">Urban lifestyle shift</w:t>
      </w:r>
      <w:r>
        <w:t xml:space="preserve">: dual-income households and a younger, more app-native population increasingly prefer booking a vetted technician on a phone over calling around for word-of-mouth referrals or flagging down a random "sabbak" (handyman) truck.</w:t>
      </w:r>
    </w:p>
    <w:p>
      <w:pPr>
        <w:pStyle w:val="ListParagraph"/>
        <w:numPr>
          <w:ilvl w:val="0"/>
          <w:numId w:val="2"/>
        </w:numPr>
        <w:spacing w:after="80"/>
      </w:pPr>
      <w:r>
        <w:rPr>
          <w:b/>
          <w:bCs/>
        </w:rPr>
        <w:t xml:space="preserve">Labor market structure</w:t>
      </w:r>
      <w:r>
        <w:t xml:space="preserve">: most residential trade labor in KSA is performed by expatriate technicians employed by small-to-mid maintenance companies, not by individual freelance citizens (freelance licensing — the "Maroof"/Freelance Work Document route — is restricted to Saudi nationals and covers ~120 approved professions; it is </w:t>
      </w:r>
      <w:r>
        <w:rPr>
          <w:b/>
          <w:bCs/>
        </w:rPr>
        <w:t xml:space="preserve">not</w:t>
      </w:r>
      <w:r>
        <w:t xml:space="preserve"> the mechanism most electrical/plumbing/HVAC technicians would use). This is exactly why the "partner with existing companies" model fits the actual labor market structure, rather than fighting it.</w:t>
      </w:r>
    </w:p>
    <w:p>
      <w:pPr>
        <w:pStyle w:val="Heading2"/>
        <w:spacing w:after="160" w:before="360"/>
      </w:pPr>
      <w:r>
        <w:t xml:space="preserve">3.3 Who's already in this market (competitive landscape)</w:t>
      </w:r>
    </w:p>
    <w:p>
      <w:pPr>
        <w:spacing w:after="160"/>
      </w:pPr>
      <w:r>
        <w:t xml:space="preserve">This is a real, active market — not a blank slate. Current or recent players identified in this research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70"/>
        <w:gridCol w:w="2459"/>
        <w:gridCol w:w="5097"/>
      </w:tblGrid>
      <w:tr>
        <w:trPr>
          <w:tblHeader/>
        </w:trPr>
        <w:tc>
          <w:tcPr>
            <w:tcW w:type="dxa" w:w="1470"/>
            <w:shd w:fill="334155" w:color="auto" w:val="clear"/>
            <w:tcMar>
              <w:top w:type="dxa" w:w="80"/>
              <w:left w:type="dxa" w:w="100"/>
              <w:bottom w:type="dxa" w:w="80"/>
              <w:right w:type="dxa" w:w="100"/>
            </w:tcMar>
            <w:vAlign w:val="center"/>
          </w:tcPr>
          <w:p>
            <w:r>
              <w:rPr>
                <w:b/>
                <w:bCs/>
                <w:color w:val="FFFFFF"/>
              </w:rPr>
              <w:t xml:space="preserve">Player</w:t>
            </w:r>
          </w:p>
        </w:tc>
        <w:tc>
          <w:tcPr>
            <w:tcW w:type="dxa" w:w="2459"/>
            <w:shd w:fill="334155" w:color="auto" w:val="clear"/>
            <w:tcMar>
              <w:top w:type="dxa" w:w="80"/>
              <w:left w:type="dxa" w:w="100"/>
              <w:bottom w:type="dxa" w:w="80"/>
              <w:right w:type="dxa" w:w="100"/>
            </w:tcMar>
            <w:vAlign w:val="center"/>
          </w:tcPr>
          <w:p>
            <w:r>
              <w:rPr>
                <w:b/>
                <w:bCs/>
                <w:color w:val="FFFFFF"/>
              </w:rPr>
              <w:t xml:space="preserve">What they appear to do</w:t>
            </w:r>
          </w:p>
        </w:tc>
        <w:tc>
          <w:tcPr>
            <w:tcW w:type="dxa" w:w="5097"/>
            <w:shd w:fill="334155" w:color="auto" w:val="clear"/>
            <w:tcMar>
              <w:top w:type="dxa" w:w="80"/>
              <w:left w:type="dxa" w:w="100"/>
              <w:bottom w:type="dxa" w:w="80"/>
              <w:right w:type="dxa" w:w="100"/>
            </w:tcMar>
            <w:vAlign w:val="center"/>
          </w:tcPr>
          <w:p>
            <w:r>
              <w:rPr>
                <w:b/>
                <w:bCs/>
                <w:color w:val="FFFFFF"/>
              </w:rPr>
              <w:t xml:space="preserve">What we can learn / where the gap is</w:t>
            </w:r>
          </w:p>
        </w:tc>
      </w:tr>
      <w:tr>
        <w:tc>
          <w:tcPr>
            <w:tcW w:type="dxa" w:w="1470"/>
            <w:tcMar>
              <w:top w:type="dxa" w:w="80"/>
              <w:left w:type="dxa" w:w="100"/>
              <w:bottom w:type="dxa" w:w="80"/>
              <w:right w:type="dxa" w:w="100"/>
            </w:tcMar>
            <w:vAlign w:val="center"/>
          </w:tcPr>
          <w:p>
            <w:pPr>
              <w:spacing w:after="0"/>
            </w:pPr>
            <w:r>
              <w:rPr>
                <w:b/>
                <w:bCs/>
              </w:rPr>
              <w:t xml:space="preserve">MAHA</w:t>
            </w:r>
          </w:p>
        </w:tc>
        <w:tc>
          <w:tcPr>
            <w:tcW w:type="dxa" w:w="2459"/>
            <w:tcMar>
              <w:top w:type="dxa" w:w="80"/>
              <w:left w:type="dxa" w:w="100"/>
              <w:bottom w:type="dxa" w:w="80"/>
              <w:right w:type="dxa" w:w="100"/>
            </w:tcMar>
            <w:vAlign w:val="center"/>
          </w:tcPr>
          <w:p>
            <w:pPr>
              <w:spacing w:after="0"/>
            </w:pPr>
            <w:r>
              <w:t xml:space="preserve">On-demand home maintenance &amp; property services app; electrical, plumbing, AC, painting, carpentry</w:t>
            </w:r>
          </w:p>
        </w:tc>
        <w:tc>
          <w:tcPr>
            <w:tcW w:type="dxa" w:w="5097"/>
            <w:tcMar>
              <w:top w:type="dxa" w:w="80"/>
              <w:left w:type="dxa" w:w="100"/>
              <w:bottom w:type="dxa" w:w="80"/>
              <w:right w:type="dxa" w:w="100"/>
            </w:tcMar>
            <w:vAlign w:val="center"/>
          </w:tcPr>
          <w:p>
            <w:pPr>
              <w:spacing w:after="0"/>
            </w:pPr>
            <w:r>
              <w:t xml:space="preserve">Multi-trade like our plan — a direct comparable to study closely (download the app, book a test job if possible, read App Store/Google Play reviews for complaint patterns)</w:t>
            </w:r>
          </w:p>
        </w:tc>
      </w:tr>
      <w:tr>
        <w:tc>
          <w:tcPr>
            <w:tcW w:type="dxa" w:w="1470"/>
            <w:shd w:fill="F1F5F9" w:color="auto" w:val="clear"/>
            <w:tcMar>
              <w:top w:type="dxa" w:w="80"/>
              <w:left w:type="dxa" w:w="100"/>
              <w:bottom w:type="dxa" w:w="80"/>
              <w:right w:type="dxa" w:w="100"/>
            </w:tcMar>
            <w:vAlign w:val="center"/>
          </w:tcPr>
          <w:p>
            <w:pPr>
              <w:spacing w:after="0"/>
            </w:pPr>
            <w:r>
              <w:rPr>
                <w:b/>
                <w:bCs/>
              </w:rPr>
              <w:t xml:space="preserve">HomeXA</w:t>
            </w:r>
          </w:p>
        </w:tc>
        <w:tc>
          <w:tcPr>
            <w:tcW w:type="dxa" w:w="2459"/>
            <w:shd w:fill="F1F5F9" w:color="auto" w:val="clear"/>
            <w:tcMar>
              <w:top w:type="dxa" w:w="80"/>
              <w:left w:type="dxa" w:w="100"/>
              <w:bottom w:type="dxa" w:w="80"/>
              <w:right w:type="dxa" w:w="100"/>
            </w:tcMar>
            <w:vAlign w:val="center"/>
          </w:tcPr>
          <w:p>
            <w:pPr>
              <w:spacing w:after="0"/>
            </w:pPr>
            <w:r>
              <w:t xml:space="preserve">Professional home &amp; facility maintenance booking platform</w:t>
            </w:r>
          </w:p>
        </w:tc>
        <w:tc>
          <w:tcPr>
            <w:tcW w:type="dxa" w:w="5097"/>
            <w:shd w:fill="F1F5F9" w:color="auto" w:val="clear"/>
            <w:tcMar>
              <w:top w:type="dxa" w:w="80"/>
              <w:left w:type="dxa" w:w="100"/>
              <w:bottom w:type="dxa" w:w="80"/>
              <w:right w:type="dxa" w:w="100"/>
            </w:tcMar>
            <w:vAlign w:val="center"/>
          </w:tcPr>
          <w:p>
            <w:pPr>
              <w:spacing w:after="0"/>
            </w:pPr>
            <w:r>
              <w:t xml:space="preserve">Also multi-trade; appears to target both homes and buildings/facilities — worth benchmarking their B2B angle for our Phase 2 corporate expansion</w:t>
            </w:r>
          </w:p>
        </w:tc>
      </w:tr>
      <w:tr>
        <w:tc>
          <w:tcPr>
            <w:tcW w:type="dxa" w:w="1470"/>
            <w:tcMar>
              <w:top w:type="dxa" w:w="80"/>
              <w:left w:type="dxa" w:w="100"/>
              <w:bottom w:type="dxa" w:w="80"/>
              <w:right w:type="dxa" w:w="100"/>
            </w:tcMar>
            <w:vAlign w:val="center"/>
          </w:tcPr>
          <w:p>
            <w:pPr>
              <w:spacing w:after="0"/>
            </w:pPr>
            <w:r>
              <w:rPr>
                <w:b/>
                <w:bCs/>
              </w:rPr>
              <w:t xml:space="preserve">Fix Riyadh Now</w:t>
            </w:r>
          </w:p>
        </w:tc>
        <w:tc>
          <w:tcPr>
            <w:tcW w:type="dxa" w:w="2459"/>
            <w:tcMar>
              <w:top w:type="dxa" w:w="80"/>
              <w:left w:type="dxa" w:w="100"/>
              <w:bottom w:type="dxa" w:w="80"/>
              <w:right w:type="dxa" w:w="100"/>
            </w:tcMar>
            <w:vAlign w:val="center"/>
          </w:tcPr>
          <w:p>
            <w:pPr>
              <w:spacing w:after="0"/>
            </w:pPr>
            <w:r>
              <w:t xml:space="preserve">Riyadh-specific 24/7 electrical &amp; plumbing for residential buildings</w:t>
            </w:r>
          </w:p>
        </w:tc>
        <w:tc>
          <w:tcPr>
            <w:tcW w:type="dxa" w:w="5097"/>
            <w:tcMar>
              <w:top w:type="dxa" w:w="80"/>
              <w:left w:type="dxa" w:w="100"/>
              <w:bottom w:type="dxa" w:w="80"/>
              <w:right w:type="dxa" w:w="100"/>
            </w:tcMar>
            <w:vAlign w:val="center"/>
          </w:tcPr>
          <w:p>
            <w:pPr>
              <w:spacing w:after="0"/>
            </w:pPr>
            <w:r>
              <w:t xml:space="preserve">Single-city, single-trade-pair focus — suggests city-specific players exist and a multi-city, multi-trade platform is a genuine differentiator</w:t>
            </w:r>
          </w:p>
        </w:tc>
      </w:tr>
      <w:tr>
        <w:tc>
          <w:tcPr>
            <w:tcW w:type="dxa" w:w="1470"/>
            <w:shd w:fill="F1F5F9" w:color="auto" w:val="clear"/>
            <w:tcMar>
              <w:top w:type="dxa" w:w="80"/>
              <w:left w:type="dxa" w:w="100"/>
              <w:bottom w:type="dxa" w:w="80"/>
              <w:right w:type="dxa" w:w="100"/>
            </w:tcMar>
            <w:vAlign w:val="center"/>
          </w:tcPr>
          <w:p>
            <w:pPr>
              <w:spacing w:after="0"/>
            </w:pPr>
            <w:r>
              <w:rPr>
                <w:b/>
                <w:bCs/>
              </w:rPr>
              <w:t xml:space="preserve">Ajeer</w:t>
            </w:r>
          </w:p>
        </w:tc>
        <w:tc>
          <w:tcPr>
            <w:tcW w:type="dxa" w:w="2459"/>
            <w:shd w:fill="F1F5F9" w:color="auto" w:val="clear"/>
            <w:tcMar>
              <w:top w:type="dxa" w:w="80"/>
              <w:left w:type="dxa" w:w="100"/>
              <w:bottom w:type="dxa" w:w="80"/>
              <w:right w:type="dxa" w:w="100"/>
            </w:tcMar>
            <w:vAlign w:val="center"/>
          </w:tcPr>
          <w:p>
            <w:pPr>
              <w:spacing w:after="0"/>
            </w:pPr>
            <w:r>
              <w:t xml:space="preserve">AC, plumbing, electrical maintenance "plans" nationwide</w:t>
            </w:r>
          </w:p>
        </w:tc>
        <w:tc>
          <w:tcPr>
            <w:tcW w:type="dxa" w:w="5097"/>
            <w:shd w:fill="F1F5F9" w:color="auto" w:val="clear"/>
            <w:tcMar>
              <w:top w:type="dxa" w:w="80"/>
              <w:left w:type="dxa" w:w="100"/>
              <w:bottom w:type="dxa" w:w="80"/>
              <w:right w:type="dxa" w:w="100"/>
            </w:tcMar>
            <w:vAlign w:val="center"/>
          </w:tcPr>
          <w:p>
            <w:pPr>
              <w:spacing w:after="0"/>
            </w:pPr>
            <w:r>
              <w:t xml:space="preserve">Direct comparable; their "plans" language supports our subscription revenue stream idea</w:t>
            </w:r>
          </w:p>
        </w:tc>
      </w:tr>
      <w:tr>
        <w:tc>
          <w:tcPr>
            <w:tcW w:type="dxa" w:w="1470"/>
            <w:tcMar>
              <w:top w:type="dxa" w:w="80"/>
              <w:left w:type="dxa" w:w="100"/>
              <w:bottom w:type="dxa" w:w="80"/>
              <w:right w:type="dxa" w:w="100"/>
            </w:tcMar>
            <w:vAlign w:val="center"/>
          </w:tcPr>
          <w:p>
            <w:pPr>
              <w:spacing w:after="0"/>
            </w:pPr>
            <w:r>
              <w:rPr>
                <w:b/>
                <w:bCs/>
              </w:rPr>
              <w:t xml:space="preserve">Noon Home Services</w:t>
            </w:r>
          </w:p>
        </w:tc>
        <w:tc>
          <w:tcPr>
            <w:tcW w:type="dxa" w:w="2459"/>
            <w:tcMar>
              <w:top w:type="dxa" w:w="80"/>
              <w:left w:type="dxa" w:w="100"/>
              <w:bottom w:type="dxa" w:w="80"/>
              <w:right w:type="dxa" w:w="100"/>
            </w:tcMar>
            <w:vAlign w:val="center"/>
          </w:tcPr>
          <w:p>
            <w:pPr>
              <w:spacing w:after="0"/>
            </w:pPr>
            <w:r>
              <w:t xml:space="preserve">Home services vertical from Noon (major KSA e-commerce platform)</w:t>
            </w:r>
          </w:p>
        </w:tc>
        <w:tc>
          <w:tcPr>
            <w:tcW w:type="dxa" w:w="5097"/>
            <w:tcMar>
              <w:top w:type="dxa" w:w="80"/>
              <w:left w:type="dxa" w:w="100"/>
              <w:bottom w:type="dxa" w:w="80"/>
              <w:right w:type="dxa" w:w="100"/>
            </w:tcMar>
            <w:vAlign w:val="center"/>
          </w:tcPr>
          <w:p>
            <w:pPr>
              <w:spacing w:after="0"/>
            </w:pPr>
            <w:r>
              <w:t xml:space="preserve">A well-capitalized, trusted consumer brand entering the space is a signal the category is validated — but also a serious long-term competitive threat given Noon's brand recognition and logistics muscle</w:t>
            </w:r>
          </w:p>
        </w:tc>
      </w:tr>
      <w:tr>
        <w:tc>
          <w:tcPr>
            <w:tcW w:type="dxa" w:w="1470"/>
            <w:shd w:fill="F1F5F9" w:color="auto" w:val="clear"/>
            <w:tcMar>
              <w:top w:type="dxa" w:w="80"/>
              <w:left w:type="dxa" w:w="100"/>
              <w:bottom w:type="dxa" w:w="80"/>
              <w:right w:type="dxa" w:w="100"/>
            </w:tcMar>
            <w:vAlign w:val="center"/>
          </w:tcPr>
          <w:p>
            <w:pPr>
              <w:spacing w:after="0"/>
            </w:pPr>
            <w:r>
              <w:rPr>
                <w:b/>
                <w:bCs/>
              </w:rPr>
              <w:t xml:space="preserve">Albaap</w:t>
            </w:r>
          </w:p>
        </w:tc>
        <w:tc>
          <w:tcPr>
            <w:tcW w:type="dxa" w:w="2459"/>
            <w:shd w:fill="F1F5F9" w:color="auto" w:val="clear"/>
            <w:tcMar>
              <w:top w:type="dxa" w:w="80"/>
              <w:left w:type="dxa" w:w="100"/>
              <w:bottom w:type="dxa" w:w="80"/>
              <w:right w:type="dxa" w:w="100"/>
            </w:tcMar>
            <w:vAlign w:val="center"/>
          </w:tcPr>
          <w:p>
            <w:pPr>
              <w:spacing w:after="0"/>
            </w:pPr>
            <w:r>
              <w:t xml:space="preserve">Home services app</w:t>
            </w:r>
          </w:p>
        </w:tc>
        <w:tc>
          <w:tcPr>
            <w:tcW w:type="dxa" w:w="5097"/>
            <w:shd w:fill="F1F5F9" w:color="auto" w:val="clear"/>
            <w:tcMar>
              <w:top w:type="dxa" w:w="80"/>
              <w:left w:type="dxa" w:w="100"/>
              <w:bottom w:type="dxa" w:w="80"/>
              <w:right w:type="dxa" w:w="100"/>
            </w:tcMar>
            <w:vAlign w:val="center"/>
          </w:tcPr>
          <w:p>
            <w:pPr>
              <w:spacing w:after="0"/>
            </w:pPr>
            <w:r>
              <w:t xml:space="preserve">Another established competitor to review</w:t>
            </w:r>
          </w:p>
        </w:tc>
      </w:tr>
      <w:tr>
        <w:tc>
          <w:tcPr>
            <w:tcW w:type="dxa" w:w="1470"/>
            <w:tcMar>
              <w:top w:type="dxa" w:w="80"/>
              <w:left w:type="dxa" w:w="100"/>
              <w:bottom w:type="dxa" w:w="80"/>
              <w:right w:type="dxa" w:w="100"/>
            </w:tcMar>
            <w:vAlign w:val="center"/>
          </w:tcPr>
          <w:p>
            <w:pPr>
              <w:spacing w:after="0"/>
            </w:pPr>
            <w:r>
              <w:rPr>
                <w:b/>
                <w:bCs/>
              </w:rPr>
              <w:t xml:space="preserve">Muheel (Abdul Latif Jameel)</w:t>
            </w:r>
          </w:p>
        </w:tc>
        <w:tc>
          <w:tcPr>
            <w:tcW w:type="dxa" w:w="2459"/>
            <w:tcMar>
              <w:top w:type="dxa" w:w="80"/>
              <w:left w:type="dxa" w:w="100"/>
              <w:bottom w:type="dxa" w:w="80"/>
              <w:right w:type="dxa" w:w="100"/>
            </w:tcMar>
            <w:vAlign w:val="center"/>
          </w:tcPr>
          <w:p>
            <w:pPr>
              <w:spacing w:after="0"/>
            </w:pPr>
            <w:r>
              <w:t xml:space="preserve">App-based maintenance service launched by a major, long-established Saudi conglomerate</w:t>
            </w:r>
          </w:p>
        </w:tc>
        <w:tc>
          <w:tcPr>
            <w:tcW w:type="dxa" w:w="5097"/>
            <w:tcMar>
              <w:top w:type="dxa" w:w="80"/>
              <w:left w:type="dxa" w:w="100"/>
              <w:bottom w:type="dxa" w:w="80"/>
              <w:right w:type="dxa" w:w="100"/>
            </w:tcMar>
            <w:vAlign w:val="center"/>
          </w:tcPr>
          <w:p>
            <w:pPr>
              <w:spacing w:after="0"/>
            </w:pPr>
            <w:r>
              <w:t xml:space="preserve">Signals institutional/corporate confidence in this category; also a well-funded competitor to watch</w:t>
            </w:r>
          </w:p>
        </w:tc>
      </w:tr>
      <w:tr>
        <w:tc>
          <w:tcPr>
            <w:tcW w:type="dxa" w:w="1470"/>
            <w:shd w:fill="F1F5F9" w:color="auto" w:val="clear"/>
            <w:tcMar>
              <w:top w:type="dxa" w:w="80"/>
              <w:left w:type="dxa" w:w="100"/>
              <w:bottom w:type="dxa" w:w="80"/>
              <w:right w:type="dxa" w:w="100"/>
            </w:tcMar>
            <w:vAlign w:val="center"/>
          </w:tcPr>
          <w:p>
            <w:pPr>
              <w:spacing w:after="0"/>
            </w:pPr>
            <w:r>
              <w:rPr>
                <w:b/>
                <w:bCs/>
              </w:rPr>
              <w:t xml:space="preserve">"Plumber &amp; Electrician" (regional apps, e.g. Al-Kharj)</w:t>
            </w:r>
          </w:p>
        </w:tc>
        <w:tc>
          <w:tcPr>
            <w:tcW w:type="dxa" w:w="2459"/>
            <w:shd w:fill="F1F5F9" w:color="auto" w:val="clear"/>
            <w:tcMar>
              <w:top w:type="dxa" w:w="80"/>
              <w:left w:type="dxa" w:w="100"/>
              <w:bottom w:type="dxa" w:w="80"/>
              <w:right w:type="dxa" w:w="100"/>
            </w:tcMar>
            <w:vAlign w:val="center"/>
          </w:tcPr>
          <w:p>
            <w:pPr>
              <w:spacing w:after="0"/>
            </w:pPr>
            <w:r>
              <w:t xml:space="preserve">Smaller, hyper-local single-city apps</w:t>
            </w:r>
          </w:p>
        </w:tc>
        <w:tc>
          <w:tcPr>
            <w:tcW w:type="dxa" w:w="5097"/>
            <w:shd w:fill="F1F5F9" w:color="auto" w:val="clear"/>
            <w:tcMar>
              <w:top w:type="dxa" w:w="80"/>
              <w:left w:type="dxa" w:w="100"/>
              <w:bottom w:type="dxa" w:w="80"/>
              <w:right w:type="dxa" w:w="100"/>
            </w:tcMar>
            <w:vAlign w:val="center"/>
          </w:tcPr>
          <w:p>
            <w:pPr>
              <w:spacing w:after="0"/>
            </w:pPr>
            <w:r>
              <w:t xml:space="preserve">Shows the market is fragmented enough for small local players to exist — reinforces that no one has "won" multi-city trust yet</w:t>
            </w:r>
          </w:p>
        </w:tc>
      </w:tr>
    </w:tbl>
    <w:p>
      <w:pPr>
        <w:spacing w:after="200"/>
      </w:pPr>
    </w:p>
    <w:p>
      <w:pPr>
        <w:spacing w:after="160"/>
      </w:pPr>
      <w:r>
        <w:rPr>
          <w:b/>
          <w:bCs/>
        </w:rPr>
        <w:t xml:space="preserve">What this tells us</w:t>
      </w:r>
      <w:r>
        <w:t xml:space="preserve">: the category is validated (multiple funded players, including one backed by a major conglomerate), but it is fragmented across single-city or single-trade players, with even the multi-trade national players not obviously dominant or trusted as a household name yet. </w:t>
      </w:r>
      <w:r>
        <w:rPr>
          <w:b/>
          <w:bCs/>
        </w:rPr>
        <w:t xml:space="preserve">The opening is not "invent a new category" — it's "execute better than a fragmented field on trust, SLA reliability, and multi-city + multi-trade convenience."</w:t>
      </w:r>
      <w:r>
        <w:t xml:space="preserve"> Before finalizing your go-to-market plan, we strongly recommend a hands-on competitive audit: download MAHA, HomeXA, Ajeer, and Noon Home Services, book at least one real test job each if feasible, and log price, response time, and technician experience — this is qualitative work no desk research can substitute for.</w:t>
      </w:r>
    </w:p>
    <w:p>
      <w:pPr>
        <w:pStyle w:val="Heading2"/>
        <w:spacing w:after="160" w:before="360"/>
      </w:pPr>
      <w:r>
        <w:t xml:space="preserve">3.4 Customer segments and what each one wants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3"/>
        <w:gridCol w:w="4214"/>
        <w:gridCol w:w="3429"/>
      </w:tblGrid>
      <w:tr>
        <w:trPr>
          <w:tblHeader/>
        </w:trPr>
        <w:tc>
          <w:tcPr>
            <w:tcW w:type="dxa" w:w="1383"/>
            <w:shd w:fill="334155" w:color="auto" w:val="clear"/>
            <w:tcMar>
              <w:top w:type="dxa" w:w="80"/>
              <w:left w:type="dxa" w:w="100"/>
              <w:bottom w:type="dxa" w:w="80"/>
              <w:right w:type="dxa" w:w="100"/>
            </w:tcMar>
            <w:vAlign w:val="center"/>
          </w:tcPr>
          <w:p>
            <w:r>
              <w:rPr>
                <w:b/>
                <w:bCs/>
                <w:color w:val="FFFFFF"/>
              </w:rPr>
              <w:t xml:space="preserve">Segment</w:t>
            </w:r>
          </w:p>
        </w:tc>
        <w:tc>
          <w:tcPr>
            <w:tcW w:type="dxa" w:w="4214"/>
            <w:shd w:fill="334155" w:color="auto" w:val="clear"/>
            <w:tcMar>
              <w:top w:type="dxa" w:w="80"/>
              <w:left w:type="dxa" w:w="100"/>
              <w:bottom w:type="dxa" w:w="80"/>
              <w:right w:type="dxa" w:w="100"/>
            </w:tcMar>
            <w:vAlign w:val="center"/>
          </w:tcPr>
          <w:p>
            <w:r>
              <w:rPr>
                <w:b/>
                <w:bCs/>
                <w:color w:val="FFFFFF"/>
              </w:rPr>
              <w:t xml:space="preserve">What they care about most</w:t>
            </w:r>
          </w:p>
        </w:tc>
        <w:tc>
          <w:tcPr>
            <w:tcW w:type="dxa" w:w="3429"/>
            <w:shd w:fill="334155" w:color="auto" w:val="clear"/>
            <w:tcMar>
              <w:top w:type="dxa" w:w="80"/>
              <w:left w:type="dxa" w:w="100"/>
              <w:bottom w:type="dxa" w:w="80"/>
              <w:right w:type="dxa" w:w="100"/>
            </w:tcMar>
            <w:vAlign w:val="center"/>
          </w:tcPr>
          <w:p>
            <w:r>
              <w:rPr>
                <w:b/>
                <w:bCs/>
                <w:color w:val="FFFFFF"/>
              </w:rPr>
              <w:t xml:space="preserve">Implication for us</w:t>
            </w:r>
          </w:p>
        </w:tc>
      </w:tr>
      <w:tr>
        <w:tc>
          <w:tcPr>
            <w:tcW w:type="dxa" w:w="1383"/>
            <w:tcMar>
              <w:top w:type="dxa" w:w="80"/>
              <w:left w:type="dxa" w:w="100"/>
              <w:bottom w:type="dxa" w:w="80"/>
              <w:right w:type="dxa" w:w="100"/>
            </w:tcMar>
            <w:vAlign w:val="center"/>
          </w:tcPr>
          <w:p>
            <w:pPr>
              <w:spacing w:after="0"/>
            </w:pPr>
            <w:r>
              <w:t xml:space="preserve">Villa owners (often families, higher income)</w:t>
            </w:r>
          </w:p>
        </w:tc>
        <w:tc>
          <w:tcPr>
            <w:tcW w:type="dxa" w:w="4214"/>
            <w:tcMar>
              <w:top w:type="dxa" w:w="80"/>
              <w:left w:type="dxa" w:w="100"/>
              <w:bottom w:type="dxa" w:w="80"/>
              <w:right w:type="dxa" w:w="100"/>
            </w:tcMar>
            <w:vAlign w:val="center"/>
          </w:tcPr>
          <w:p>
            <w:pPr>
              <w:spacing w:after="0"/>
            </w:pPr>
            <w:r>
              <w:t xml:space="preserve">Reliability, trust, a known technician for recurring jobs, avoiding damage/theft risk from letting a stranger in</w:t>
            </w:r>
          </w:p>
        </w:tc>
        <w:tc>
          <w:tcPr>
            <w:tcW w:type="dxa" w:w="3429"/>
            <w:tcMar>
              <w:top w:type="dxa" w:w="80"/>
              <w:left w:type="dxa" w:w="100"/>
              <w:bottom w:type="dxa" w:w="80"/>
              <w:right w:type="dxa" w:w="100"/>
            </w:tcMar>
            <w:vAlign w:val="center"/>
          </w:tcPr>
          <w:p>
            <w:pPr>
              <w:spacing w:after="0"/>
            </w:pPr>
            <w:r>
              <w:t xml:space="preserve">Emphasize vetting, ID verification, ratings, and a subscription/recurring relationship</w:t>
            </w:r>
          </w:p>
        </w:tc>
      </w:tr>
      <w:tr>
        <w:tc>
          <w:tcPr>
            <w:tcW w:type="dxa" w:w="1383"/>
            <w:shd w:fill="F1F5F9" w:color="auto" w:val="clear"/>
            <w:tcMar>
              <w:top w:type="dxa" w:w="80"/>
              <w:left w:type="dxa" w:w="100"/>
              <w:bottom w:type="dxa" w:w="80"/>
              <w:right w:type="dxa" w:w="100"/>
            </w:tcMar>
            <w:vAlign w:val="center"/>
          </w:tcPr>
          <w:p>
            <w:pPr>
              <w:spacing w:after="0"/>
            </w:pPr>
            <w:r>
              <w:t xml:space="preserve">Apartment renters/tenants</w:t>
            </w:r>
          </w:p>
        </w:tc>
        <w:tc>
          <w:tcPr>
            <w:tcW w:type="dxa" w:w="4214"/>
            <w:shd w:fill="F1F5F9" w:color="auto" w:val="clear"/>
            <w:tcMar>
              <w:top w:type="dxa" w:w="80"/>
              <w:left w:type="dxa" w:w="100"/>
              <w:bottom w:type="dxa" w:w="80"/>
              <w:right w:type="dxa" w:w="100"/>
            </w:tcMar>
            <w:vAlign w:val="center"/>
          </w:tcPr>
          <w:p>
            <w:pPr>
              <w:spacing w:after="0"/>
            </w:pPr>
            <w:r>
              <w:t xml:space="preserve">Speed, price transparency, minimal hassle (may not want to negotiate with landlord over cost)</w:t>
            </w:r>
          </w:p>
        </w:tc>
        <w:tc>
          <w:tcPr>
            <w:tcW w:type="dxa" w:w="3429"/>
            <w:shd w:fill="F1F5F9" w:color="auto" w:val="clear"/>
            <w:tcMar>
              <w:top w:type="dxa" w:w="80"/>
              <w:left w:type="dxa" w:w="100"/>
              <w:bottom w:type="dxa" w:w="80"/>
              <w:right w:type="dxa" w:w="100"/>
            </w:tcMar>
            <w:vAlign w:val="center"/>
          </w:tcPr>
          <w:p>
            <w:pPr>
              <w:spacing w:after="0"/>
            </w:pPr>
            <w:r>
              <w:t xml:space="preserve">Emphasize instant upfront pricing and fast response time</w:t>
            </w:r>
          </w:p>
        </w:tc>
      </w:tr>
      <w:tr>
        <w:tc>
          <w:tcPr>
            <w:tcW w:type="dxa" w:w="1383"/>
            <w:tcMar>
              <w:top w:type="dxa" w:w="80"/>
              <w:left w:type="dxa" w:w="100"/>
              <w:bottom w:type="dxa" w:w="80"/>
              <w:right w:type="dxa" w:w="100"/>
            </w:tcMar>
            <w:vAlign w:val="center"/>
          </w:tcPr>
          <w:p>
            <w:pPr>
              <w:spacing w:after="0"/>
            </w:pPr>
            <w:r>
              <w:t xml:space="preserve">Expatriate households</w:t>
            </w:r>
          </w:p>
        </w:tc>
        <w:tc>
          <w:tcPr>
            <w:tcW w:type="dxa" w:w="4214"/>
            <w:tcMar>
              <w:top w:type="dxa" w:w="80"/>
              <w:left w:type="dxa" w:w="100"/>
              <w:bottom w:type="dxa" w:w="80"/>
              <w:right w:type="dxa" w:w="100"/>
            </w:tcMar>
            <w:vAlign w:val="center"/>
          </w:tcPr>
          <w:p>
            <w:pPr>
              <w:spacing w:after="0"/>
            </w:pPr>
            <w:r>
              <w:t xml:space="preserve">English-language support, digital payment convenience, unfamiliarity with local informal-referral networks (so more reliant on an app)</w:t>
            </w:r>
          </w:p>
        </w:tc>
        <w:tc>
          <w:tcPr>
            <w:tcW w:type="dxa" w:w="3429"/>
            <w:tcMar>
              <w:top w:type="dxa" w:w="80"/>
              <w:left w:type="dxa" w:w="100"/>
              <w:bottom w:type="dxa" w:w="80"/>
              <w:right w:type="dxa" w:w="100"/>
            </w:tcMar>
            <w:vAlign w:val="center"/>
          </w:tcPr>
          <w:p>
            <w:pPr>
              <w:spacing w:after="0"/>
            </w:pPr>
            <w:r>
              <w:t xml:space="preserve">Strong bilingual UX; a key early-adopter segment, since they're less likely to have an existing trusted "guy"</w:t>
            </w:r>
          </w:p>
        </w:tc>
      </w:tr>
      <w:tr>
        <w:tc>
          <w:tcPr>
            <w:tcW w:type="dxa" w:w="1383"/>
            <w:shd w:fill="F1F5F9" w:color="auto" w:val="clear"/>
            <w:tcMar>
              <w:top w:type="dxa" w:w="80"/>
              <w:left w:type="dxa" w:w="100"/>
              <w:bottom w:type="dxa" w:w="80"/>
              <w:right w:type="dxa" w:w="100"/>
            </w:tcMar>
            <w:vAlign w:val="center"/>
          </w:tcPr>
          <w:p>
            <w:pPr>
              <w:spacing w:after="0"/>
            </w:pPr>
            <w:r>
              <w:t xml:space="preserve">Landlords managing multiple units</w:t>
            </w:r>
          </w:p>
        </w:tc>
        <w:tc>
          <w:tcPr>
            <w:tcW w:type="dxa" w:w="4214"/>
            <w:shd w:fill="F1F5F9" w:color="auto" w:val="clear"/>
            <w:tcMar>
              <w:top w:type="dxa" w:w="80"/>
              <w:left w:type="dxa" w:w="100"/>
              <w:bottom w:type="dxa" w:w="80"/>
              <w:right w:type="dxa" w:w="100"/>
            </w:tcMar>
            <w:vAlign w:val="center"/>
          </w:tcPr>
          <w:p>
            <w:pPr>
              <w:spacing w:after="0"/>
            </w:pPr>
            <w:r>
              <w:t xml:space="preserve">Volume, consolidated invoicing, consistent quality across scattered properties</w:t>
            </w:r>
          </w:p>
        </w:tc>
        <w:tc>
          <w:tcPr>
            <w:tcW w:type="dxa" w:w="3429"/>
            <w:shd w:fill="F1F5F9" w:color="auto" w:val="clear"/>
            <w:tcMar>
              <w:top w:type="dxa" w:w="80"/>
              <w:left w:type="dxa" w:w="100"/>
              <w:bottom w:type="dxa" w:w="80"/>
              <w:right w:type="dxa" w:w="100"/>
            </w:tcMar>
            <w:vAlign w:val="center"/>
          </w:tcPr>
          <w:p>
            <w:pPr>
              <w:spacing w:after="0"/>
            </w:pPr>
            <w:r>
              <w:t xml:space="preserve">A natural bridge segment toward the eventual corporate/facility offering</w:t>
            </w:r>
          </w:p>
        </w:tc>
      </w:tr>
    </w:tbl>
    <w:p>
      <w:pPr>
        <w:spacing w:after="200"/>
      </w:pPr>
    </w:p>
    <w:p>
      <w:pPr>
        <w:pStyle w:val="Heading2"/>
        <w:spacing w:after="160" w:before="360"/>
      </w:pPr>
      <w:r>
        <w:t xml:space="preserve">3.5 Seasonality and demand patterns to plan around</w:t>
      </w:r>
    </w:p>
    <w:p>
      <w:pPr>
        <w:pStyle w:val="ListParagraph"/>
        <w:numPr>
          <w:ilvl w:val="0"/>
          <w:numId w:val="2"/>
        </w:numPr>
        <w:spacing w:after="80"/>
      </w:pPr>
      <w:r>
        <w:rPr>
          <w:b/>
          <w:bCs/>
        </w:rPr>
        <w:t xml:space="preserve">HVAC</w:t>
      </w:r>
      <w:r>
        <w:t xml:space="preserve"> demand spikes hard from ~March through September (AC servicing, breakdowns during peak heat) — this is your single best marketing and cash-flow-planning driver.</w:t>
      </w:r>
    </w:p>
    <w:p>
      <w:pPr>
        <w:pStyle w:val="ListParagraph"/>
        <w:numPr>
          <w:ilvl w:val="0"/>
          <w:numId w:val="2"/>
        </w:numPr>
        <w:spacing w:after="80"/>
      </w:pPr>
      <w:r>
        <w:rPr>
          <w:b/>
          <w:bCs/>
        </w:rPr>
        <w:t xml:space="preserve">Electrical and plumbing</w:t>
      </w:r>
      <w:r>
        <w:t xml:space="preserve"> are more evenly distributed year-round but see a bump around Ramadan/Eid and school-year-start as households prepare their homes for guests/family visits.</w:t>
      </w:r>
    </w:p>
    <w:p>
      <w:pPr>
        <w:pStyle w:val="ListParagraph"/>
        <w:numPr>
          <w:ilvl w:val="0"/>
          <w:numId w:val="2"/>
        </w:numPr>
        <w:spacing w:after="80"/>
      </w:pPr>
      <w:r>
        <w:rPr>
          <w:b/>
          <w:bCs/>
        </w:rPr>
        <w:t xml:space="preserve">Civil finishes (paint/tiling)</w:t>
      </w:r>
      <w:r>
        <w:t xml:space="preserve"> tend to cluster around move-in/move-out cycles and just before major holidays.</w:t>
      </w:r>
    </w:p>
    <w:p>
      <w:pPr>
        <w:spacing w:after="160"/>
      </w:pPr>
      <w:r>
        <w:t xml:space="preserve">Plan Phase 1 launch timing to land </w:t>
      </w:r>
      <w:r>
        <w:rPr>
          <w:b/>
          <w:bCs/>
        </w:rPr>
        <w:t xml:space="preserve">before the summer AC season</w:t>
      </w:r>
      <w:r>
        <w:t xml:space="preserve"> if at all possible — being the app people already trust when the first heatwave hits is a major acquisition advantage.</w:t>
      </w:r>
    </w:p>
    <w:p>
      <w:pPr>
        <w:pStyle w:val="Heading2"/>
        <w:spacing w:after="160" w:before="360"/>
      </w:pPr>
      <w:r>
        <w:t xml:space="preserve">3.6 Where this research is strong vs. where you should spend more before finalizing investor materials</w:t>
      </w:r>
    </w:p>
    <w:p>
      <w:pPr>
        <w:spacing w:after="160"/>
      </w:pPr>
      <w:r>
        <w:rPr>
          <w:b/>
          <w:bCs/>
        </w:rPr>
        <w:t xml:space="preserve">Strong / usable as-is</w:t>
      </w:r>
      <w:r>
        <w:t xml:space="preserve">: regulatory landscape, competitor identification, city-level population sizing, revenue-model precedent, seasonality.</w:t>
      </w:r>
    </w:p>
    <w:p>
      <w:pPr>
        <w:spacing w:after="160"/>
      </w:pPr>
      <w:r>
        <w:rPr>
          <w:b/>
          <w:bCs/>
        </w:rPr>
        <w:t xml:space="preserve">Needs primary research before a bank/investor pitch</w:t>
      </w:r>
      <w:r>
        <w:t xml:space="preserve">:</w:t>
      </w:r>
    </w:p>
    <w:p>
      <w:pPr>
        <w:pStyle w:val="ListParagraph"/>
        <w:numPr>
          <w:ilvl w:val="0"/>
          <w:numId w:val="2"/>
        </w:numPr>
        <w:spacing w:after="80"/>
      </w:pPr>
      <w:r>
        <w:t xml:space="preserve">Exact household counts per city (GASTAT direct request or purchase of a market report)</w:t>
      </w:r>
    </w:p>
    <w:p>
      <w:pPr>
        <w:pStyle w:val="ListParagraph"/>
        <w:numPr>
          <w:ilvl w:val="0"/>
          <w:numId w:val="2"/>
        </w:numPr>
        <w:spacing w:after="80"/>
      </w:pPr>
      <w:r>
        <w:t xml:space="preserve">Mystery-shopping actual competitor pricing and response times</w:t>
      </w:r>
    </w:p>
    <w:p>
      <w:pPr>
        <w:pStyle w:val="ListParagraph"/>
        <w:numPr>
          <w:ilvl w:val="0"/>
          <w:numId w:val="2"/>
        </w:numPr>
        <w:spacing w:after="80"/>
      </w:pPr>
      <w:r>
        <w:t xml:space="preserve">Direct conversations with 10–15 candidate contractor companies on what commission % and payment terms they'd actually accept (desk research could not find published commission rates for any competitor)</w:t>
      </w:r>
    </w:p>
    <w:p>
      <w:pPr>
        <w:pStyle w:val="ListParagraph"/>
        <w:numPr>
          <w:ilvl w:val="0"/>
          <w:numId w:val="2"/>
        </w:numPr>
        <w:spacing w:after="80"/>
      </w:pPr>
      <w:r>
        <w:t xml:space="preserve">A simple customer survey/landing-page smoke test (a "coming soon, join the waitlist" page with paid social ads is a cheap way to measure real demand before writing a large check for app development — this is expanded on in Recommendations &amp; Roadmap (Chapter 9))</w:t>
      </w:r>
    </w:p>
    <w:p>
      <w:pPr>
        <w:pBdr>
          <w:bottom w:val="single" w:color="999999" w:sz="6" w:space="1"/>
        </w:pBdr>
        <w:spacing w:after="200" w:before="200"/>
      </w:pPr>
    </w:p>
    <w:p>
      <w:pPr>
        <w:pStyle w:val="Heading3"/>
        <w:spacing w:after="160" w:before="360"/>
      </w:pPr>
      <w:r>
        <w:t xml:space="preserve">Sources consulted</w:t>
      </w:r>
    </w:p>
    <w:p>
      <w:pPr>
        <w:pStyle w:val="ListParagraph"/>
        <w:numPr>
          <w:ilvl w:val="0"/>
          <w:numId w:val="2"/>
        </w:numPr>
        <w:spacing w:after="80"/>
      </w:pPr>
      <w:r>
        <w:t xml:space="preserve">Population: </w:t>
      </w:r>
      <w:hyperlink w:history="1" r:id="rIdvosvtssovxowueupz-bl3">
        <w:r>
          <w:rPr>
            <w:rStyle w:val="Hyperlink"/>
          </w:rPr>
          <w:t xml:space="preserve">World Population Review – Saudi Arabia cities</w:t>
        </w:r>
      </w:hyperlink>
      <w:r>
        <w:t xml:space="preserve">, </w:t>
      </w:r>
      <w:hyperlink w:history="1" r:id="rIdxq1hdu0vynaa_sqe_pkcq">
        <w:r>
          <w:rPr>
            <w:rStyle w:val="Hyperlink"/>
          </w:rPr>
          <w:t xml:space="preserve">Macrotrends – Riyadh</w:t>
        </w:r>
      </w:hyperlink>
      <w:r>
        <w:t xml:space="preserve">, </w:t>
      </w:r>
      <w:hyperlink w:history="1" r:id="rIdeawgqtu_0xkzjdvt6pv0j">
        <w:r>
          <w:rPr>
            <w:rStyle w:val="Hyperlink"/>
          </w:rPr>
          <w:t xml:space="preserve">Macrotrends – Dammam</w:t>
        </w:r>
      </w:hyperlink>
      <w:r>
        <w:t xml:space="preserve">, </w:t>
      </w:r>
      <w:hyperlink w:history="1" r:id="rIdwtwtkluq8hzlfyhphpuuu">
        <w:r>
          <w:rPr>
            <w:rStyle w:val="Hyperlink"/>
          </w:rPr>
          <w:t xml:space="preserve">GlobalMediaInsight – Saudi Arabia Population Statistics 2026</w:t>
        </w:r>
      </w:hyperlink>
    </w:p>
    <w:p>
      <w:pPr>
        <w:pStyle w:val="ListParagraph"/>
        <w:numPr>
          <w:ilvl w:val="0"/>
          <w:numId w:val="2"/>
        </w:numPr>
        <w:spacing w:after="80"/>
      </w:pPr>
      <w:r>
        <w:t xml:space="preserve">Competitors: </w:t>
      </w:r>
      <w:hyperlink w:history="1" r:id="rId9q4kfa_ltiqiuhtjbcvrj">
        <w:r>
          <w:rPr>
            <w:rStyle w:val="Hyperlink"/>
          </w:rPr>
          <w:t xml:space="preserve">MAHA (Google Play)</w:t>
        </w:r>
      </w:hyperlink>
      <w:r>
        <w:t xml:space="preserve">, </w:t>
      </w:r>
      <w:hyperlink w:history="1" r:id="rIdal5mm8zyt-wob0j_vgfpb">
        <w:r>
          <w:rPr>
            <w:rStyle w:val="Hyperlink"/>
          </w:rPr>
          <w:t xml:space="preserve">HomeXA</w:t>
        </w:r>
      </w:hyperlink>
      <w:r>
        <w:t xml:space="preserve">, </w:t>
      </w:r>
      <w:hyperlink w:history="1" r:id="rIddthsks-s_9kc4wnzmsxl4">
        <w:r>
          <w:rPr>
            <w:rStyle w:val="Hyperlink"/>
          </w:rPr>
          <w:t xml:space="preserve">Fix Riyadh Now (Google Play)</w:t>
        </w:r>
      </w:hyperlink>
      <w:r>
        <w:t xml:space="preserve">, </w:t>
      </w:r>
      <w:hyperlink w:history="1" r:id="rIddlkr-h_2ixu54mfvrngeq">
        <w:r>
          <w:rPr>
            <w:rStyle w:val="Hyperlink"/>
          </w:rPr>
          <w:t xml:space="preserve">Ajeer (Google Play)</w:t>
        </w:r>
      </w:hyperlink>
      <w:r>
        <w:t xml:space="preserve">, </w:t>
      </w:r>
      <w:hyperlink w:history="1" r:id="rIdbe4wl2iwfw-wucszsrpa7">
        <w:r>
          <w:rPr>
            <w:rStyle w:val="Hyperlink"/>
          </w:rPr>
          <w:t xml:space="preserve">Noon Home Services coverage</w:t>
        </w:r>
      </w:hyperlink>
      <w:r>
        <w:t xml:space="preserve">, </w:t>
      </w:r>
      <w:hyperlink w:history="1" r:id="rIdwttbetcql87hfysgc2e5c">
        <w:r>
          <w:rPr>
            <w:rStyle w:val="Hyperlink"/>
          </w:rPr>
          <w:t xml:space="preserve">Albaap (App Store)</w:t>
        </w:r>
      </w:hyperlink>
      <w:r>
        <w:t xml:space="preserve">, </w:t>
      </w:r>
      <w:hyperlink w:history="1" r:id="rId-odvqoaorwocvou7qq4z0">
        <w:r>
          <w:rPr>
            <w:rStyle w:val="Hyperlink"/>
          </w:rPr>
          <w:t xml:space="preserve">Muheel launch – Abdul Latif Jameel</w:t>
        </w:r>
      </w:hyperlink>
    </w:p>
    <w:p>
      <w:pPr>
        <w:pStyle w:val="ListParagraph"/>
        <w:numPr>
          <w:ilvl w:val="0"/>
          <w:numId w:val="2"/>
        </w:numPr>
        <w:spacing w:after="80"/>
      </w:pPr>
      <w:r>
        <w:t xml:space="preserve">Freelance licensing: </w:t>
      </w:r>
      <w:hyperlink w:history="1" r:id="rId_mcybebc49kkmn_ttzxus">
        <w:r>
          <w:rPr>
            <w:rStyle w:val="Hyperlink"/>
          </w:rPr>
          <w:t xml:space="preserve">Motaded – Saudi Freelance Regulations Guide 2026</w:t>
        </w:r>
      </w:hyperlink>
    </w:p>
    <w:p>
      <w:pPr>
        <w:pStyle w:val="Heading1"/>
        <w:pageBreakBefore/>
        <w:spacing w:after="240" w:before="0"/>
      </w:pPr>
      <w:r>
        <w:t xml:space="preserve">4. Feasibility Study</w:t>
      </w:r>
    </w:p>
    <w:p>
      <w:pPr>
        <w:spacing w:after="160"/>
      </w:pPr>
      <w:r>
        <w:t xml:space="preserve">A feasibility study answers one question from four angles: </w:t>
      </w:r>
      <w:r>
        <w:rPr>
          <w:b/>
          <w:bCs/>
        </w:rPr>
        <w:t xml:space="preserve">"Can this actually be done, realistically?"</w:t>
      </w:r>
      <w:r>
        <w:t xml:space="preserve"> Below, each angle is scored plainly (Green = clear path, Yellow = doable but needs specific action, Red = a real obstacle to solve before proceeding).</w:t>
      </w:r>
    </w:p>
    <w:p>
      <w:pPr>
        <w:pStyle w:val="Heading2"/>
        <w:spacing w:after="160" w:before="360"/>
      </w:pPr>
      <w:r>
        <w:t xml:space="preserve">4.1 Technical feasibility — 🟢 Green, with a build-vs-buy decision to make</w:t>
      </w:r>
    </w:p>
    <w:p>
      <w:pPr>
        <w:spacing w:after="160"/>
      </w:pPr>
      <w:r>
        <w:t xml:space="preserve">Building a two-sided marketplace app (customer app + contractor/technician app + admin dashboard) is a well-understood problem — this is not novel technology. The core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62"/>
        <w:gridCol w:w="3182"/>
        <w:gridCol w:w="4182"/>
      </w:tblGrid>
      <w:tr>
        <w:trPr>
          <w:tblHeader/>
        </w:trPr>
        <w:tc>
          <w:tcPr>
            <w:tcW w:type="dxa" w:w="1662"/>
            <w:shd w:fill="334155" w:color="auto" w:val="clear"/>
            <w:tcMar>
              <w:top w:type="dxa" w:w="80"/>
              <w:left w:type="dxa" w:w="100"/>
              <w:bottom w:type="dxa" w:w="80"/>
              <w:right w:type="dxa" w:w="100"/>
            </w:tcMar>
            <w:vAlign w:val="center"/>
          </w:tcPr>
          <w:p>
            <w:r>
              <w:rPr>
                <w:b/>
                <w:bCs/>
                <w:color w:val="FFFFFF"/>
              </w:rPr>
              <w:t xml:space="preserve">Component</w:t>
            </w:r>
          </w:p>
        </w:tc>
        <w:tc>
          <w:tcPr>
            <w:tcW w:type="dxa" w:w="3182"/>
            <w:shd w:fill="334155" w:color="auto" w:val="clear"/>
            <w:tcMar>
              <w:top w:type="dxa" w:w="80"/>
              <w:left w:type="dxa" w:w="100"/>
              <w:bottom w:type="dxa" w:w="80"/>
              <w:right w:type="dxa" w:w="100"/>
            </w:tcMar>
            <w:vAlign w:val="center"/>
          </w:tcPr>
          <w:p>
            <w:r>
              <w:rPr>
                <w:b/>
                <w:bCs/>
                <w:color w:val="FFFFFF"/>
              </w:rPr>
              <w:t xml:space="preserve">Purpose</w:t>
            </w:r>
          </w:p>
        </w:tc>
        <w:tc>
          <w:tcPr>
            <w:tcW w:type="dxa" w:w="4182"/>
            <w:shd w:fill="334155" w:color="auto" w:val="clear"/>
            <w:tcMar>
              <w:top w:type="dxa" w:w="80"/>
              <w:left w:type="dxa" w:w="100"/>
              <w:bottom w:type="dxa" w:w="80"/>
              <w:right w:type="dxa" w:w="100"/>
            </w:tcMar>
            <w:vAlign w:val="center"/>
          </w:tcPr>
          <w:p>
            <w:r>
              <w:rPr>
                <w:b/>
                <w:bCs/>
                <w:color w:val="FFFFFF"/>
              </w:rPr>
              <w:t xml:space="preserve">Build complexity</w:t>
            </w:r>
          </w:p>
        </w:tc>
      </w:tr>
      <w:tr>
        <w:tc>
          <w:tcPr>
            <w:tcW w:type="dxa" w:w="1662"/>
            <w:tcMar>
              <w:top w:type="dxa" w:w="80"/>
              <w:left w:type="dxa" w:w="100"/>
              <w:bottom w:type="dxa" w:w="80"/>
              <w:right w:type="dxa" w:w="100"/>
            </w:tcMar>
            <w:vAlign w:val="center"/>
          </w:tcPr>
          <w:p>
            <w:pPr>
              <w:spacing w:after="0"/>
            </w:pPr>
            <w:r>
              <w:t xml:space="preserve">Customer app (iOS + Android)</w:t>
            </w:r>
          </w:p>
        </w:tc>
        <w:tc>
          <w:tcPr>
            <w:tcW w:type="dxa" w:w="3182"/>
            <w:tcMar>
              <w:top w:type="dxa" w:w="80"/>
              <w:left w:type="dxa" w:w="100"/>
              <w:bottom w:type="dxa" w:w="80"/>
              <w:right w:type="dxa" w:w="100"/>
            </w:tcMar>
            <w:vAlign w:val="center"/>
          </w:tcPr>
          <w:p>
            <w:pPr>
              <w:spacing w:after="0"/>
            </w:pPr>
            <w:r>
              <w:t xml:space="preserve">Browse services, book, track job, pay, rate</w:t>
            </w:r>
          </w:p>
        </w:tc>
        <w:tc>
          <w:tcPr>
            <w:tcW w:type="dxa" w:w="4182"/>
            <w:tcMar>
              <w:top w:type="dxa" w:w="80"/>
              <w:left w:type="dxa" w:w="100"/>
              <w:bottom w:type="dxa" w:w="80"/>
              <w:right w:type="dxa" w:w="100"/>
            </w:tcMar>
            <w:vAlign w:val="center"/>
          </w:tcPr>
          <w:p>
            <w:pPr>
              <w:spacing w:after="0"/>
            </w:pPr>
            <w:r>
              <w:t xml:space="preserve">Medium — standard booking-app UX patterns</w:t>
            </w:r>
          </w:p>
        </w:tc>
      </w:tr>
      <w:tr>
        <w:tc>
          <w:tcPr>
            <w:tcW w:type="dxa" w:w="1662"/>
            <w:shd w:fill="F1F5F9" w:color="auto" w:val="clear"/>
            <w:tcMar>
              <w:top w:type="dxa" w:w="80"/>
              <w:left w:type="dxa" w:w="100"/>
              <w:bottom w:type="dxa" w:w="80"/>
              <w:right w:type="dxa" w:w="100"/>
            </w:tcMar>
            <w:vAlign w:val="center"/>
          </w:tcPr>
          <w:p>
            <w:pPr>
              <w:spacing w:after="0"/>
            </w:pPr>
            <w:r>
              <w:t xml:space="preserve">Technician/contractor app or portal</w:t>
            </w:r>
          </w:p>
        </w:tc>
        <w:tc>
          <w:tcPr>
            <w:tcW w:type="dxa" w:w="3182"/>
            <w:shd w:fill="F1F5F9" w:color="auto" w:val="clear"/>
            <w:tcMar>
              <w:top w:type="dxa" w:w="80"/>
              <w:left w:type="dxa" w:w="100"/>
              <w:bottom w:type="dxa" w:w="80"/>
              <w:right w:type="dxa" w:w="100"/>
            </w:tcMar>
            <w:vAlign w:val="center"/>
          </w:tcPr>
          <w:p>
            <w:pPr>
              <w:spacing w:after="0"/>
            </w:pPr>
            <w:r>
              <w:t xml:space="preserve">Receive job, accept/decline, update status, get paid</w:t>
            </w:r>
          </w:p>
        </w:tc>
        <w:tc>
          <w:tcPr>
            <w:tcW w:type="dxa" w:w="4182"/>
            <w:shd w:fill="F1F5F9" w:color="auto" w:val="clear"/>
            <w:tcMar>
              <w:top w:type="dxa" w:w="80"/>
              <w:left w:type="dxa" w:w="100"/>
              <w:bottom w:type="dxa" w:w="80"/>
              <w:right w:type="dxa" w:w="100"/>
            </w:tcMar>
            <w:vAlign w:val="center"/>
          </w:tcPr>
          <w:p>
            <w:pPr>
              <w:spacing w:after="0"/>
            </w:pPr>
            <w:r>
              <w:t xml:space="preserve">Medium</w:t>
            </w:r>
          </w:p>
        </w:tc>
      </w:tr>
      <w:tr>
        <w:tc>
          <w:tcPr>
            <w:tcW w:type="dxa" w:w="1662"/>
            <w:tcMar>
              <w:top w:type="dxa" w:w="80"/>
              <w:left w:type="dxa" w:w="100"/>
              <w:bottom w:type="dxa" w:w="80"/>
              <w:right w:type="dxa" w:w="100"/>
            </w:tcMar>
            <w:vAlign w:val="center"/>
          </w:tcPr>
          <w:p>
            <w:pPr>
              <w:spacing w:after="0"/>
            </w:pPr>
            <w:r>
              <w:t xml:space="preserve">Admin/ops dashboard</w:t>
            </w:r>
          </w:p>
        </w:tc>
        <w:tc>
          <w:tcPr>
            <w:tcW w:type="dxa" w:w="3182"/>
            <w:tcMar>
              <w:top w:type="dxa" w:w="80"/>
              <w:left w:type="dxa" w:w="100"/>
              <w:bottom w:type="dxa" w:w="80"/>
              <w:right w:type="dxa" w:w="100"/>
            </w:tcMar>
            <w:vAlign w:val="center"/>
          </w:tcPr>
          <w:p>
            <w:pPr>
              <w:spacing w:after="0"/>
            </w:pPr>
            <w:r>
              <w:t xml:space="preserve">Dispatch oversight, contractor management, disputes, reporting</w:t>
            </w:r>
          </w:p>
        </w:tc>
        <w:tc>
          <w:tcPr>
            <w:tcW w:type="dxa" w:w="4182"/>
            <w:tcMar>
              <w:top w:type="dxa" w:w="80"/>
              <w:left w:type="dxa" w:w="100"/>
              <w:bottom w:type="dxa" w:w="80"/>
              <w:right w:type="dxa" w:w="100"/>
            </w:tcMar>
            <w:vAlign w:val="center"/>
          </w:tcPr>
          <w:p>
            <w:pPr>
              <w:spacing w:after="0"/>
            </w:pPr>
            <w:r>
              <w:t xml:space="preserve">Medium</w:t>
            </w:r>
          </w:p>
        </w:tc>
      </w:tr>
      <w:tr>
        <w:tc>
          <w:tcPr>
            <w:tcW w:type="dxa" w:w="1662"/>
            <w:shd w:fill="F1F5F9" w:color="auto" w:val="clear"/>
            <w:tcMar>
              <w:top w:type="dxa" w:w="80"/>
              <w:left w:type="dxa" w:w="100"/>
              <w:bottom w:type="dxa" w:w="80"/>
              <w:right w:type="dxa" w:w="100"/>
            </w:tcMar>
            <w:vAlign w:val="center"/>
          </w:tcPr>
          <w:p>
            <w:pPr>
              <w:spacing w:after="0"/>
            </w:pPr>
            <w:r>
              <w:t xml:space="preserve">Payment integration</w:t>
            </w:r>
          </w:p>
        </w:tc>
        <w:tc>
          <w:tcPr>
            <w:tcW w:type="dxa" w:w="3182"/>
            <w:shd w:fill="F1F5F9" w:color="auto" w:val="clear"/>
            <w:tcMar>
              <w:top w:type="dxa" w:w="80"/>
              <w:left w:type="dxa" w:w="100"/>
              <w:bottom w:type="dxa" w:w="80"/>
              <w:right w:type="dxa" w:w="100"/>
            </w:tcMar>
            <w:vAlign w:val="center"/>
          </w:tcPr>
          <w:p>
            <w:pPr>
              <w:spacing w:after="0"/>
            </w:pPr>
            <w:r>
              <w:t xml:space="preserve">Collect from customer, hold in escrow-like flow, pay out contractor</w:t>
            </w:r>
          </w:p>
        </w:tc>
        <w:tc>
          <w:tcPr>
            <w:tcW w:type="dxa" w:w="4182"/>
            <w:shd w:fill="F1F5F9" w:color="auto" w:val="clear"/>
            <w:tcMar>
              <w:top w:type="dxa" w:w="80"/>
              <w:left w:type="dxa" w:w="100"/>
              <w:bottom w:type="dxa" w:w="80"/>
              <w:right w:type="dxa" w:w="100"/>
            </w:tcMar>
            <w:vAlign w:val="center"/>
          </w:tcPr>
          <w:p>
            <w:pPr>
              <w:spacing w:after="0"/>
            </w:pPr>
            <w:r>
              <w:t xml:space="preserve">Requires a licensed KSA payment gateway partner (see §4.3) — do not build this yourself</w:t>
            </w:r>
          </w:p>
        </w:tc>
      </w:tr>
      <w:tr>
        <w:tc>
          <w:tcPr>
            <w:tcW w:type="dxa" w:w="1662"/>
            <w:tcMar>
              <w:top w:type="dxa" w:w="80"/>
              <w:left w:type="dxa" w:w="100"/>
              <w:bottom w:type="dxa" w:w="80"/>
              <w:right w:type="dxa" w:w="100"/>
            </w:tcMar>
            <w:vAlign w:val="center"/>
          </w:tcPr>
          <w:p>
            <w:pPr>
              <w:spacing w:after="0"/>
            </w:pPr>
            <w:r>
              <w:t xml:space="preserve">Backend/cloud infrastructure</w:t>
            </w:r>
          </w:p>
        </w:tc>
        <w:tc>
          <w:tcPr>
            <w:tcW w:type="dxa" w:w="3182"/>
            <w:tcMar>
              <w:top w:type="dxa" w:w="80"/>
              <w:left w:type="dxa" w:w="100"/>
              <w:bottom w:type="dxa" w:w="80"/>
              <w:right w:type="dxa" w:w="100"/>
            </w:tcMar>
            <w:vAlign w:val="center"/>
          </w:tcPr>
          <w:p>
            <w:pPr>
              <w:spacing w:after="0"/>
            </w:pPr>
            <w:r>
              <w:t xml:space="preserve">Everything else runs on this</w:t>
            </w:r>
          </w:p>
        </w:tc>
        <w:tc>
          <w:tcPr>
            <w:tcW w:type="dxa" w:w="4182"/>
            <w:tcMar>
              <w:top w:type="dxa" w:w="80"/>
              <w:left w:type="dxa" w:w="100"/>
              <w:bottom w:type="dxa" w:w="80"/>
              <w:right w:type="dxa" w:w="100"/>
            </w:tcMar>
            <w:vAlign w:val="center"/>
          </w:tcPr>
          <w:p>
            <w:pPr>
              <w:spacing w:after="0"/>
            </w:pPr>
            <w:r>
              <w:t xml:space="preserve">Standard cloud hosting (AWS/Azure/local KSA data-center options — see PDPL note in §4.3)</w:t>
            </w:r>
          </w:p>
        </w:tc>
      </w:tr>
    </w:tbl>
    <w:p>
      <w:pPr>
        <w:spacing w:after="200"/>
      </w:pPr>
    </w:p>
    <w:p>
      <w:pPr>
        <w:spacing w:after="160"/>
      </w:pPr>
      <w:r>
        <w:rPr>
          <w:b/>
          <w:bCs/>
        </w:rPr>
        <w:t xml:space="preserve">Build options, ranked by our recommendation</w:t>
      </w:r>
      <w:r>
        <w:t xml:space="preserve">:</w:t>
      </w:r>
    </w:p>
    <w:p>
      <w:pPr>
        <w:spacing w:after="80"/>
        <w:ind w:left="720" w:hanging="360"/>
      </w:pPr>
      <w:r>
        <w:t xml:space="preserve">1.  </w:t>
      </w:r>
      <w:r>
        <w:rPr>
          <w:b/>
          <w:bCs/>
        </w:rPr>
        <w:t xml:space="preserve">No-code/low-code MVP first</w:t>
      </w:r>
      <w:r>
        <w:t xml:space="preserve"> (e.g., a simple booking website + WhatsApp Business + a small manual dispatch team) — fastest, cheapest, validates demand before big spend. Strongly recommended as Phase 0 (see Recommendations &amp; Roadmap (Chapter 9)).</w:t>
      </w:r>
    </w:p>
    <w:p>
      <w:pPr>
        <w:spacing w:after="80"/>
        <w:ind w:left="720" w:hanging="360"/>
      </w:pPr>
      <w:r>
        <w:t xml:space="preserve">2.  </w:t>
      </w:r>
      <w:r>
        <w:rPr>
          <w:b/>
          <w:bCs/>
        </w:rPr>
        <w:t xml:space="preserve">Outsourced development agency</w:t>
      </w:r>
      <w:r>
        <w:t xml:space="preserve"> for the full app — faster than hiring an in-house team from scratch, but requires careful vendor selection and a clear spec (this plan, plus a proper Product Requirements Document, is exactly what you'd hand them).</w:t>
      </w:r>
    </w:p>
    <w:p>
      <w:pPr>
        <w:spacing w:after="80"/>
        <w:ind w:left="720" w:hanging="360"/>
      </w:pPr>
      <w:r>
        <w:t xml:space="preserve">3.  </w:t>
      </w:r>
      <w:r>
        <w:rPr>
          <w:b/>
          <w:bCs/>
        </w:rPr>
        <w:t xml:space="preserve">In-house dev team</w:t>
      </w:r>
      <w:r>
        <w:t xml:space="preserve"> — most control, but slowest and most expensive to stand up; only worth it once you have proven demand and are scaling past Phase 1.</w:t>
      </w:r>
    </w:p>
    <w:p>
      <w:pPr>
        <w:spacing w:after="160"/>
      </w:pPr>
      <w:r>
        <w:t xml:space="preserve">This plan </w:t>
      </w:r>
      <w:r>
        <w:rPr>
          <w:b/>
          <w:bCs/>
        </w:rPr>
        <w:t xml:space="preserve">cannot write your app's code or select your specific developer</w:t>
      </w:r>
      <w:r>
        <w:t xml:space="preserve"> — that is a software engineering engagement. What it </w:t>
      </w:r>
      <w:r>
        <w:rPr>
          <w:i/>
          <w:iCs/>
        </w:rPr>
        <w:t xml:space="preserve">can</w:t>
      </w:r>
      <w:r>
        <w:t xml:space="preserve"> do is hand a development partner a clear brief (this document set) so they can scope and quote accurately.</w:t>
      </w:r>
    </w:p>
    <w:p>
      <w:pPr>
        <w:pStyle w:val="Heading2"/>
        <w:spacing w:after="160" w:before="360"/>
      </w:pPr>
      <w:r>
        <w:t xml:space="preserve">4.2 Operational feasibility — 🟡 Yellow — doable, but this is where most of these businesses actually fail</w:t>
      </w:r>
    </w:p>
    <w:p>
      <w:pPr>
        <w:spacing w:after="160"/>
      </w:pPr>
      <w:r>
        <w:t xml:space="preserve">The technology is the easy part. The hard part is </w:t>
      </w:r>
      <w:r>
        <w:rPr>
          <w:b/>
          <w:bCs/>
        </w:rPr>
        <w:t xml:space="preserve">operations</w:t>
      </w:r>
      <w:r>
        <w:t xml:space="preserve">: recruiting good contractors, keeping quality consistent, and handling the inevitable disputes (a technician doesn't show up, does a bad job, damages something, or a customer refuses to pay).</w:t>
      </w:r>
    </w:p>
    <w:p>
      <w:pPr>
        <w:spacing w:after="160"/>
      </w:pPr>
      <w:r>
        <w:t xml:space="preserve">Key operational functions you must staff or build a process for before launch:</w:t>
      </w:r>
    </w:p>
    <w:p>
      <w:pPr>
        <w:pStyle w:val="ListParagraph"/>
        <w:numPr>
          <w:ilvl w:val="0"/>
          <w:numId w:val="2"/>
        </w:numPr>
        <w:spacing w:after="80"/>
      </w:pPr>
      <w:r>
        <w:rPr>
          <w:b/>
          <w:bCs/>
        </w:rPr>
        <w:t xml:space="preserve">Contractor recruitment &amp; vetting</w:t>
      </w:r>
      <w:r>
        <w:t xml:space="preserve"> — a real, in-person or video-verified process to check each partner company's licenses, insurance, and a sample of their technicians' work history/references. (See Partnership Framework (Chapter 7).)</w:t>
      </w:r>
    </w:p>
    <w:p>
      <w:pPr>
        <w:pStyle w:val="ListParagraph"/>
        <w:numPr>
          <w:ilvl w:val="0"/>
          <w:numId w:val="2"/>
        </w:numPr>
        <w:spacing w:after="80"/>
      </w:pPr>
      <w:r>
        <w:rPr>
          <w:b/>
          <w:bCs/>
        </w:rPr>
        <w:t xml:space="preserve">Dispatch</w:t>
      </w:r>
      <w:r>
        <w:t xml:space="preserve"> — matching an incoming job to the right available contractor by trade, location, and current load. At launch, this can be a person on a laptop with a simple dashboard; it does not need to be a complex algorithm on day one.</w:t>
      </w:r>
    </w:p>
    <w:p>
      <w:pPr>
        <w:pStyle w:val="ListParagraph"/>
        <w:numPr>
          <w:ilvl w:val="0"/>
          <w:numId w:val="2"/>
        </w:numPr>
        <w:spacing w:after="80"/>
      </w:pPr>
      <w:r>
        <w:rPr>
          <w:b/>
          <w:bCs/>
        </w:rPr>
        <w:t xml:space="preserve">Quality control</w:t>
      </w:r>
      <w:r>
        <w:t xml:space="preserve"> — mystery-shopping your own contractors periodically, monitoring ratings, and having a clear "three strikes" policy for underperformers.</w:t>
      </w:r>
    </w:p>
    <w:p>
      <w:pPr>
        <w:pStyle w:val="ListParagraph"/>
        <w:numPr>
          <w:ilvl w:val="0"/>
          <w:numId w:val="2"/>
        </w:numPr>
        <w:spacing w:after="80"/>
      </w:pPr>
      <w:r>
        <w:rPr>
          <w:b/>
          <w:bCs/>
        </w:rPr>
        <w:t xml:space="preserve">Dispute resolution &amp; guarantees</w:t>
      </w:r>
      <w:r>
        <w:t xml:space="preserve"> — a documented, fast process for "the technician broke something" or "the job wasn't done properly," including who pays (this is where insurance and contractor deposits/holdbacks matter — detailed in SLA Templates (Chapter 8)).</w:t>
      </w:r>
    </w:p>
    <w:p>
      <w:pPr>
        <w:pStyle w:val="ListParagraph"/>
        <w:numPr>
          <w:ilvl w:val="0"/>
          <w:numId w:val="2"/>
        </w:numPr>
        <w:spacing w:after="80"/>
      </w:pPr>
      <w:r>
        <w:rPr>
          <w:b/>
          <w:bCs/>
        </w:rPr>
        <w:t xml:space="preserve">Customer support</w:t>
      </w:r>
      <w:r>
        <w:t xml:space="preserve"> — Arabic + English phone/chat coverage during working hours at minimum, ideally extending toward the emergency-repair hours customers actually need (a burst pipe at 9pm is a real scenario).</w:t>
      </w:r>
    </w:p>
    <w:p>
      <w:pPr>
        <w:spacing w:after="160"/>
      </w:pPr>
      <w:r>
        <w:rPr>
          <w:b/>
          <w:bCs/>
        </w:rPr>
        <w:t xml:space="preserve">Verdict</w:t>
      </w:r>
      <w:r>
        <w:t xml:space="preserve">: feasible, but budget real headcount for this from day one (see Financial Plan (Chapter 6) staffing plan) — do not assume the app runs itself.</w:t>
      </w:r>
    </w:p>
    <w:p>
      <w:pPr>
        <w:pStyle w:val="Heading2"/>
        <w:spacing w:after="160" w:before="360"/>
      </w:pPr>
      <w:r>
        <w:t xml:space="preserve">4.3 Legal &amp; regulatory feasibility — 🟡 Yellow — feasible, but several items must be confirmed by a licensed Saudi lawyer before launch</w:t>
      </w:r>
    </w:p>
    <w:p>
      <w:pPr>
        <w:spacing w:after="160"/>
      </w:pPr>
      <w:r>
        <w:t xml:space="preserve">This is the section where "the plan can tell you what to check, but cannot check it for you" applies most strongly. Here is the landscape as researched, with what needs professional confirmation clearly flagged: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7"/>
        <w:gridCol w:w="3924"/>
        <w:gridCol w:w="3925"/>
      </w:tblGrid>
      <w:tr>
        <w:trPr>
          <w:tblHeader/>
        </w:trPr>
        <w:tc>
          <w:tcPr>
            <w:tcW w:type="dxa" w:w="1177"/>
            <w:shd w:fill="334155" w:color="auto" w:val="clear"/>
            <w:tcMar>
              <w:top w:type="dxa" w:w="80"/>
              <w:left w:type="dxa" w:w="100"/>
              <w:bottom w:type="dxa" w:w="80"/>
              <w:right w:type="dxa" w:w="100"/>
            </w:tcMar>
            <w:vAlign w:val="center"/>
          </w:tcPr>
          <w:p>
            <w:r>
              <w:rPr>
                <w:b/>
                <w:bCs/>
                <w:color w:val="FFFFFF"/>
              </w:rPr>
              <w:t xml:space="preserve">Requirement</w:t>
            </w:r>
          </w:p>
        </w:tc>
        <w:tc>
          <w:tcPr>
            <w:tcW w:type="dxa" w:w="3924"/>
            <w:shd w:fill="334155" w:color="auto" w:val="clear"/>
            <w:tcMar>
              <w:top w:type="dxa" w:w="80"/>
              <w:left w:type="dxa" w:w="100"/>
              <w:bottom w:type="dxa" w:w="80"/>
              <w:right w:type="dxa" w:w="100"/>
            </w:tcMar>
            <w:vAlign w:val="center"/>
          </w:tcPr>
          <w:p>
            <w:r>
              <w:rPr>
                <w:b/>
                <w:bCs/>
                <w:color w:val="FFFFFF"/>
              </w:rPr>
              <w:t xml:space="preserve">What we found</w:t>
            </w:r>
          </w:p>
        </w:tc>
        <w:tc>
          <w:tcPr>
            <w:tcW w:type="dxa" w:w="3925"/>
            <w:shd w:fill="334155" w:color="auto" w:val="clear"/>
            <w:tcMar>
              <w:top w:type="dxa" w:w="80"/>
              <w:left w:type="dxa" w:w="100"/>
              <w:bottom w:type="dxa" w:w="80"/>
              <w:right w:type="dxa" w:w="100"/>
            </w:tcMar>
            <w:vAlign w:val="center"/>
          </w:tcPr>
          <w:p>
            <w:r>
              <w:rPr>
                <w:b/>
                <w:bCs/>
                <w:color w:val="FFFFFF"/>
              </w:rPr>
              <w:t xml:space="preserve">Action needed</w:t>
            </w:r>
          </w:p>
        </w:tc>
      </w:tr>
      <w:tr>
        <w:tc>
          <w:tcPr>
            <w:tcW w:type="dxa" w:w="1177"/>
            <w:tcMar>
              <w:top w:type="dxa" w:w="80"/>
              <w:left w:type="dxa" w:w="100"/>
              <w:bottom w:type="dxa" w:w="80"/>
              <w:right w:type="dxa" w:w="100"/>
            </w:tcMar>
            <w:vAlign w:val="center"/>
          </w:tcPr>
          <w:p>
            <w:pPr>
              <w:spacing w:after="0"/>
            </w:pPr>
            <w:r>
              <w:rPr>
                <w:b/>
                <w:bCs/>
              </w:rPr>
              <w:t xml:space="preserve">Commercial Registration (CR)</w:t>
            </w:r>
          </w:p>
        </w:tc>
        <w:tc>
          <w:tcPr>
            <w:tcW w:type="dxa" w:w="3924"/>
            <w:tcMar>
              <w:top w:type="dxa" w:w="80"/>
              <w:left w:type="dxa" w:w="100"/>
              <w:bottom w:type="dxa" w:w="80"/>
              <w:right w:type="dxa" w:w="100"/>
            </w:tcMar>
            <w:vAlign w:val="center"/>
          </w:tcPr>
          <w:p>
            <w:pPr>
              <w:spacing w:after="0"/>
            </w:pPr>
            <w:r>
              <w:t xml:space="preserve">Any company operating in Saudi Arabia needs a CR from the Ministry of Commerce, with an activity code matching what you actually do (likely an e-commerce/marketplace/services-intermediary classification, not a "contracting" classification).</w:t>
            </w:r>
          </w:p>
        </w:tc>
        <w:tc>
          <w:tcPr>
            <w:tcW w:type="dxa" w:w="3925"/>
            <w:tcMar>
              <w:top w:type="dxa" w:w="80"/>
              <w:left w:type="dxa" w:w="100"/>
              <w:bottom w:type="dxa" w:w="80"/>
              <w:right w:type="dxa" w:w="100"/>
            </w:tcMar>
            <w:vAlign w:val="center"/>
          </w:tcPr>
          <w:p>
            <w:pPr>
              <w:spacing w:after="0"/>
            </w:pPr>
            <w:r>
              <w:rPr>
                <w:b/>
                <w:bCs/>
              </w:rPr>
              <w:t xml:space="preserve">Must be filed by, or with, a Saudi corporate lawyer or licensed business-setup consultancy.</w:t>
            </w:r>
            <w:r>
              <w:t xml:space="preserve"> Get written confirmation of the correct activity code for a "marketplace connecting customers to third-party maintenance contractors" — this determines a lot of what follows.</w:t>
            </w:r>
          </w:p>
        </w:tc>
      </w:tr>
      <w:tr>
        <w:tc>
          <w:tcPr>
            <w:tcW w:type="dxa" w:w="1177"/>
            <w:shd w:fill="F1F5F9" w:color="auto" w:val="clear"/>
            <w:tcMar>
              <w:top w:type="dxa" w:w="80"/>
              <w:left w:type="dxa" w:w="100"/>
              <w:bottom w:type="dxa" w:w="80"/>
              <w:right w:type="dxa" w:w="100"/>
            </w:tcMar>
            <w:vAlign w:val="center"/>
          </w:tcPr>
          <w:p>
            <w:pPr>
              <w:spacing w:after="0"/>
            </w:pPr>
            <w:r>
              <w:rPr>
                <w:b/>
                <w:bCs/>
              </w:rPr>
              <w:t xml:space="preserve">Maroof e-commerce verification</w:t>
            </w:r>
          </w:p>
        </w:tc>
        <w:tc>
          <w:tcPr>
            <w:tcW w:type="dxa" w:w="3924"/>
            <w:shd w:fill="F1F5F9" w:color="auto" w:val="clear"/>
            <w:tcMar>
              <w:top w:type="dxa" w:w="80"/>
              <w:left w:type="dxa" w:w="100"/>
              <w:bottom w:type="dxa" w:w="80"/>
              <w:right w:type="dxa" w:w="100"/>
            </w:tcMar>
            <w:vAlign w:val="center"/>
          </w:tcPr>
          <w:p>
            <w:pPr>
              <w:spacing w:after="0"/>
            </w:pPr>
            <w:r>
              <w:t xml:space="preserve">A Ministry of Commerce platform verifying your business is real and licensed; increasingly required by payment gateways and builds customer trust.</w:t>
            </w:r>
          </w:p>
        </w:tc>
        <w:tc>
          <w:tcPr>
            <w:tcW w:type="dxa" w:w="3925"/>
            <w:shd w:fill="F1F5F9" w:color="auto" w:val="clear"/>
            <w:tcMar>
              <w:top w:type="dxa" w:w="80"/>
              <w:left w:type="dxa" w:w="100"/>
              <w:bottom w:type="dxa" w:w="80"/>
              <w:right w:type="dxa" w:w="100"/>
            </w:tcMar>
            <w:vAlign w:val="center"/>
          </w:tcPr>
          <w:p>
            <w:pPr>
              <w:spacing w:after="0"/>
            </w:pPr>
            <w:r>
              <w:t xml:space="preserve">Register once your CR is issued — a straightforward step your ops/admin lead can typically handle without a lawyer.</w:t>
            </w:r>
          </w:p>
        </w:tc>
      </w:tr>
      <w:tr>
        <w:tc>
          <w:tcPr>
            <w:tcW w:type="dxa" w:w="1177"/>
            <w:tcMar>
              <w:top w:type="dxa" w:w="80"/>
              <w:left w:type="dxa" w:w="100"/>
              <w:bottom w:type="dxa" w:w="80"/>
              <w:right w:type="dxa" w:w="100"/>
            </w:tcMar>
            <w:vAlign w:val="center"/>
          </w:tcPr>
          <w:p>
            <w:pPr>
              <w:spacing w:after="0"/>
            </w:pPr>
            <w:r>
              <w:rPr>
                <w:b/>
                <w:bCs/>
              </w:rPr>
              <w:t xml:space="preserve">Do we need our own contracting/trade license (SCA, municipal)?</w:t>
            </w:r>
          </w:p>
        </w:tc>
        <w:tc>
          <w:tcPr>
            <w:tcW w:type="dxa" w:w="3924"/>
            <w:tcMar>
              <w:top w:type="dxa" w:w="80"/>
              <w:left w:type="dxa" w:w="100"/>
              <w:bottom w:type="dxa" w:w="80"/>
              <w:right w:type="dxa" w:w="100"/>
            </w:tcMar>
            <w:vAlign w:val="center"/>
          </w:tcPr>
          <w:p>
            <w:pPr>
              <w:spacing w:after="0"/>
            </w:pPr>
            <w:r>
              <w:t xml:space="preserve">Saudi Contractors Authority (SCA) licenses and Balady (municipal) trade licenses apply to companies that </w:t>
            </w:r>
            <w:r>
              <w:rPr>
                <w:i/>
                <w:iCs/>
              </w:rPr>
              <w:t xml:space="preserve">perform</w:t>
            </w:r>
            <w:r>
              <w:t xml:space="preserve"> electrical/plumbing/HVAC/construction work. Since our model never has our own staff touching a customer's wiring or pipes — </w:t>
            </w:r>
            <w:r>
              <w:rPr>
                <w:b/>
                <w:bCs/>
              </w:rPr>
              <w:t xml:space="preserve">we are the booking platform, the contractor is the licensed tradesperson</w:t>
            </w:r>
            <w:r>
              <w:t xml:space="preserve"> — the plain reading is that we do not need our own SCA/trade license.</w:t>
            </w:r>
          </w:p>
        </w:tc>
        <w:tc>
          <w:tcPr>
            <w:tcW w:type="dxa" w:w="3925"/>
            <w:tcMar>
              <w:top w:type="dxa" w:w="80"/>
              <w:left w:type="dxa" w:w="100"/>
              <w:bottom w:type="dxa" w:w="80"/>
              <w:right w:type="dxa" w:w="100"/>
            </w:tcMar>
            <w:vAlign w:val="center"/>
          </w:tcPr>
          <w:p>
            <w:pPr>
              <w:spacing w:after="0"/>
            </w:pPr>
            <w:r>
              <w:rPr>
                <w:b/>
                <w:bCs/>
              </w:rPr>
              <w:t xml:space="preserve">This must be confirmed in writing by a Saudi corporate lawyer before you rely on it.</w:t>
            </w:r>
            <w:r>
              <w:t xml:space="preserve"> This single point is the most important legal question in this entire plan — get it answered first, since it affects your CR activity code, your contracts, and your risk exposure.</w:t>
            </w:r>
          </w:p>
        </w:tc>
      </w:tr>
      <w:tr>
        <w:tc>
          <w:tcPr>
            <w:tcW w:type="dxa" w:w="1177"/>
            <w:shd w:fill="F1F5F9" w:color="auto" w:val="clear"/>
            <w:tcMar>
              <w:top w:type="dxa" w:w="80"/>
              <w:left w:type="dxa" w:w="100"/>
              <w:bottom w:type="dxa" w:w="80"/>
              <w:right w:type="dxa" w:w="100"/>
            </w:tcMar>
            <w:vAlign w:val="center"/>
          </w:tcPr>
          <w:p>
            <w:pPr>
              <w:spacing w:after="0"/>
            </w:pPr>
            <w:r>
              <w:rPr>
                <w:b/>
                <w:bCs/>
              </w:rPr>
              <w:t xml:space="preserve">Contractor partner licensing</w:t>
            </w:r>
          </w:p>
        </w:tc>
        <w:tc>
          <w:tcPr>
            <w:tcW w:type="dxa" w:w="3924"/>
            <w:shd w:fill="F1F5F9" w:color="auto" w:val="clear"/>
            <w:tcMar>
              <w:top w:type="dxa" w:w="80"/>
              <w:left w:type="dxa" w:w="100"/>
              <w:bottom w:type="dxa" w:w="80"/>
              <w:right w:type="dxa" w:w="100"/>
            </w:tcMar>
            <w:vAlign w:val="center"/>
          </w:tcPr>
          <w:p>
            <w:pPr>
              <w:spacing w:after="0"/>
            </w:pPr>
            <w:r>
              <w:t xml:space="preserve">Every partner contractor company must independently hold its own valid Balady municipal license, and where applicable, Civil Defense approval and an SCA classification for its trade and scale.</w:t>
            </w:r>
          </w:p>
        </w:tc>
        <w:tc>
          <w:tcPr>
            <w:tcW w:type="dxa" w:w="3925"/>
            <w:shd w:fill="F1F5F9" w:color="auto" w:val="clear"/>
            <w:tcMar>
              <w:top w:type="dxa" w:w="80"/>
              <w:left w:type="dxa" w:w="100"/>
              <w:bottom w:type="dxa" w:w="80"/>
              <w:right w:type="dxa" w:w="100"/>
            </w:tcMar>
            <w:vAlign w:val="center"/>
          </w:tcPr>
          <w:p>
            <w:pPr>
              <w:spacing w:after="0"/>
            </w:pPr>
            <w:r>
              <w:t xml:space="preserve">Build license verification into onboarding (see Partnership Framework (Chapter 7)) — check the Balady platform / Wathq business-verification portal for each partner before signing them, and re-verify annually.</w:t>
            </w:r>
          </w:p>
        </w:tc>
      </w:tr>
      <w:tr>
        <w:tc>
          <w:tcPr>
            <w:tcW w:type="dxa" w:w="1177"/>
            <w:tcMar>
              <w:top w:type="dxa" w:w="80"/>
              <w:left w:type="dxa" w:w="100"/>
              <w:bottom w:type="dxa" w:w="80"/>
              <w:right w:type="dxa" w:w="100"/>
            </w:tcMar>
            <w:vAlign w:val="center"/>
          </w:tcPr>
          <w:p>
            <w:pPr>
              <w:spacing w:after="0"/>
            </w:pPr>
            <w:r>
              <w:rPr>
                <w:b/>
                <w:bCs/>
              </w:rPr>
              <w:t xml:space="preserve">Payment processing</w:t>
            </w:r>
          </w:p>
        </w:tc>
        <w:tc>
          <w:tcPr>
            <w:tcW w:type="dxa" w:w="3924"/>
            <w:tcMar>
              <w:top w:type="dxa" w:w="80"/>
              <w:left w:type="dxa" w:w="100"/>
              <w:bottom w:type="dxa" w:w="80"/>
              <w:right w:type="dxa" w:w="100"/>
            </w:tcMar>
            <w:vAlign w:val="center"/>
          </w:tcPr>
          <w:p>
            <w:pPr>
              <w:spacing w:after="0"/>
            </w:pPr>
            <w:r>
              <w:t xml:space="preserve">Saudi Arabia requires a SAMA (Saudi Central Bank)–licensed/regulated payment service provider for collecting and disbursing funds; you cannot legally run your own unlicensed payment rails. Established local gateways include names such as Moyasar, PayTabs, HyperPay, and Tap Payments.</w:t>
            </w:r>
          </w:p>
        </w:tc>
        <w:tc>
          <w:tcPr>
            <w:tcW w:type="dxa" w:w="3925"/>
            <w:tcMar>
              <w:top w:type="dxa" w:w="80"/>
              <w:left w:type="dxa" w:w="100"/>
              <w:bottom w:type="dxa" w:w="80"/>
              <w:right w:type="dxa" w:w="100"/>
            </w:tcMar>
            <w:vAlign w:val="center"/>
          </w:tcPr>
          <w:p>
            <w:pPr>
              <w:spacing w:after="0"/>
            </w:pPr>
            <w:r>
              <w:t xml:space="preserve">Engage a licensed KSA payment gateway directly — this is a standard integration, not a custom legal negotiation, but confirm current SAMA-licensed status of whichever provider you choose.</w:t>
            </w:r>
          </w:p>
        </w:tc>
      </w:tr>
      <w:tr>
        <w:tc>
          <w:tcPr>
            <w:tcW w:type="dxa" w:w="1177"/>
            <w:shd w:fill="F1F5F9" w:color="auto" w:val="clear"/>
            <w:tcMar>
              <w:top w:type="dxa" w:w="80"/>
              <w:left w:type="dxa" w:w="100"/>
              <w:bottom w:type="dxa" w:w="80"/>
              <w:right w:type="dxa" w:w="100"/>
            </w:tcMar>
            <w:vAlign w:val="center"/>
          </w:tcPr>
          <w:p>
            <w:pPr>
              <w:spacing w:after="0"/>
            </w:pPr>
            <w:r>
              <w:rPr>
                <w:b/>
                <w:bCs/>
              </w:rPr>
              <w:t xml:space="preserve">VAT (Value Added Tax)</w:t>
            </w:r>
          </w:p>
        </w:tc>
        <w:tc>
          <w:tcPr>
            <w:tcW w:type="dxa" w:w="3924"/>
            <w:shd w:fill="F1F5F9" w:color="auto" w:val="clear"/>
            <w:tcMar>
              <w:top w:type="dxa" w:w="80"/>
              <w:left w:type="dxa" w:w="100"/>
              <w:bottom w:type="dxa" w:w="80"/>
              <w:right w:type="dxa" w:w="100"/>
            </w:tcMar>
            <w:vAlign w:val="center"/>
          </w:tcPr>
          <w:p>
            <w:pPr>
              <w:spacing w:after="0"/>
            </w:pPr>
            <w:r>
              <w:t xml:space="preserve">Standard VAT rate is 15%, administered by ZATCA (Zakat, Tax and Customs Authority). Mandatory registration once taxable turnover exceeds SAR 375,000/year; voluntary registration available above SAR 187,500/year (useful pre-revenue, to reclaim input VAT on setup costs).</w:t>
            </w:r>
          </w:p>
        </w:tc>
        <w:tc>
          <w:tcPr>
            <w:tcW w:type="dxa" w:w="3925"/>
            <w:shd w:fill="F1F5F9" w:color="auto" w:val="clear"/>
            <w:tcMar>
              <w:top w:type="dxa" w:w="80"/>
              <w:left w:type="dxa" w:w="100"/>
              <w:bottom w:type="dxa" w:w="80"/>
              <w:right w:type="dxa" w:w="100"/>
            </w:tcMar>
            <w:vAlign w:val="center"/>
          </w:tcPr>
          <w:p>
            <w:pPr>
              <w:spacing w:after="0"/>
            </w:pPr>
            <w:r>
              <w:t xml:space="preserve">Register with ZATCA at the appropriate threshold; use a licensed accountant for e-invoicing compliance (ZATCA mandates structured e-invoicing) from day one.</w:t>
            </w:r>
          </w:p>
        </w:tc>
      </w:tr>
      <w:tr>
        <w:tc>
          <w:tcPr>
            <w:tcW w:type="dxa" w:w="1177"/>
            <w:tcMar>
              <w:top w:type="dxa" w:w="80"/>
              <w:left w:type="dxa" w:w="100"/>
              <w:bottom w:type="dxa" w:w="80"/>
              <w:right w:type="dxa" w:w="100"/>
            </w:tcMar>
            <w:vAlign w:val="center"/>
          </w:tcPr>
          <w:p>
            <w:pPr>
              <w:spacing w:after="0"/>
            </w:pPr>
            <w:r>
              <w:rPr>
                <w:b/>
                <w:bCs/>
              </w:rPr>
              <w:t xml:space="preserve">Zakat / Corporate tax</w:t>
            </w:r>
          </w:p>
        </w:tc>
        <w:tc>
          <w:tcPr>
            <w:tcW w:type="dxa" w:w="3924"/>
            <w:tcMar>
              <w:top w:type="dxa" w:w="80"/>
              <w:left w:type="dxa" w:w="100"/>
              <w:bottom w:type="dxa" w:w="80"/>
              <w:right w:type="dxa" w:w="100"/>
            </w:tcMar>
            <w:vAlign w:val="center"/>
          </w:tcPr>
          <w:p>
            <w:pPr>
              <w:spacing w:after="0"/>
            </w:pPr>
            <w:r>
              <w:t xml:space="preserve">Saudi/GCC-national shareholders' share of profit is subject to Zakat (2.5% of the Zakat base); non-Saudi/non-GCC shareholders' share is subject to 20% corporate income tax. Relevant if you take on a foreign investor or co-founder.</w:t>
            </w:r>
          </w:p>
        </w:tc>
        <w:tc>
          <w:tcPr>
            <w:tcW w:type="dxa" w:w="3925"/>
            <w:tcMar>
              <w:top w:type="dxa" w:w="80"/>
              <w:left w:type="dxa" w:w="100"/>
              <w:bottom w:type="dxa" w:w="80"/>
              <w:right w:type="dxa" w:w="100"/>
            </w:tcMar>
            <w:vAlign w:val="center"/>
          </w:tcPr>
          <w:p>
            <w:pPr>
              <w:spacing w:after="0"/>
            </w:pPr>
            <w:r>
              <w:t xml:space="preserve">Confirm your specific ownership structure's tax treatment with an accountant before finalizing your cap table.</w:t>
            </w:r>
          </w:p>
        </w:tc>
      </w:tr>
      <w:tr>
        <w:tc>
          <w:tcPr>
            <w:tcW w:type="dxa" w:w="1177"/>
            <w:shd w:fill="F1F5F9" w:color="auto" w:val="clear"/>
            <w:tcMar>
              <w:top w:type="dxa" w:w="80"/>
              <w:left w:type="dxa" w:w="100"/>
              <w:bottom w:type="dxa" w:w="80"/>
              <w:right w:type="dxa" w:w="100"/>
            </w:tcMar>
            <w:vAlign w:val="center"/>
          </w:tcPr>
          <w:p>
            <w:pPr>
              <w:spacing w:after="0"/>
            </w:pPr>
            <w:r>
              <w:rPr>
                <w:b/>
                <w:bCs/>
              </w:rPr>
              <w:t xml:space="preserve">Foreign ownership (if any founder/investor is non-Saudi)</w:t>
            </w:r>
          </w:p>
        </w:tc>
        <w:tc>
          <w:tcPr>
            <w:tcW w:type="dxa" w:w="3924"/>
            <w:shd w:fill="F1F5F9" w:color="auto" w:val="clear"/>
            <w:tcMar>
              <w:top w:type="dxa" w:w="80"/>
              <w:left w:type="dxa" w:w="100"/>
              <w:bottom w:type="dxa" w:w="80"/>
              <w:right w:type="dxa" w:w="100"/>
            </w:tcMar>
            <w:vAlign w:val="center"/>
          </w:tcPr>
          <w:p>
            <w:pPr>
              <w:spacing w:after="0"/>
            </w:pPr>
            <w:r>
              <w:t xml:space="preserve">Saudi Arabia generally requires a MISA (Ministry of Investment) foreign investment license for non-Saudi-owned or part-owned companies; 100% foreign ownership is permitted in most services sectors under current investment law.</w:t>
            </w:r>
          </w:p>
        </w:tc>
        <w:tc>
          <w:tcPr>
            <w:tcW w:type="dxa" w:w="3925"/>
            <w:shd w:fill="F1F5F9" w:color="auto" w:val="clear"/>
            <w:tcMar>
              <w:top w:type="dxa" w:w="80"/>
              <w:left w:type="dxa" w:w="100"/>
              <w:bottom w:type="dxa" w:w="80"/>
              <w:right w:type="dxa" w:w="100"/>
            </w:tcMar>
            <w:vAlign w:val="center"/>
          </w:tcPr>
          <w:p>
            <w:pPr>
              <w:spacing w:after="0"/>
            </w:pPr>
            <w:r>
              <w:t xml:space="preserve">If any owner is not a Saudi/GCC national, confirm MISA licensing requirements and timeline with a corporate lawyer as an early, parallel-track item — this can take several weeks and should not be a launch-week surprise.</w:t>
            </w:r>
          </w:p>
        </w:tc>
      </w:tr>
      <w:tr>
        <w:tc>
          <w:tcPr>
            <w:tcW w:type="dxa" w:w="1177"/>
            <w:tcMar>
              <w:top w:type="dxa" w:w="80"/>
              <w:left w:type="dxa" w:w="100"/>
              <w:bottom w:type="dxa" w:w="80"/>
              <w:right w:type="dxa" w:w="100"/>
            </w:tcMar>
            <w:vAlign w:val="center"/>
          </w:tcPr>
          <w:p>
            <w:pPr>
              <w:spacing w:after="0"/>
            </w:pPr>
            <w:r>
              <w:rPr>
                <w:b/>
                <w:bCs/>
              </w:rPr>
              <w:t xml:space="preserve">Labor law / Saudization (Nitaqat)</w:t>
            </w:r>
          </w:p>
        </w:tc>
        <w:tc>
          <w:tcPr>
            <w:tcW w:type="dxa" w:w="3924"/>
            <w:tcMar>
              <w:top w:type="dxa" w:w="80"/>
              <w:left w:type="dxa" w:w="100"/>
              <w:bottom w:type="dxa" w:w="80"/>
              <w:right w:type="dxa" w:w="100"/>
            </w:tcMar>
            <w:vAlign w:val="center"/>
          </w:tcPr>
          <w:p>
            <w:pPr>
              <w:spacing w:after="0"/>
            </w:pPr>
            <w:r>
              <w:t xml:space="preserve">Any staff you directly employ (ops, support, marketing — not contractor technicians, since they're employed by the partner companies) count toward your company's Nitaqat Saudization quota, which affects visa issuance for any non-Saudi hires.</w:t>
            </w:r>
          </w:p>
        </w:tc>
        <w:tc>
          <w:tcPr>
            <w:tcW w:type="dxa" w:w="3925"/>
            <w:tcMar>
              <w:top w:type="dxa" w:w="80"/>
              <w:left w:type="dxa" w:w="100"/>
              <w:bottom w:type="dxa" w:w="80"/>
              <w:right w:type="dxa" w:w="100"/>
            </w:tcMar>
            <w:vAlign w:val="center"/>
          </w:tcPr>
          <w:p>
            <w:pPr>
              <w:spacing w:after="0"/>
            </w:pPr>
            <w:r>
              <w:t xml:space="preserve">Plan your Phase 1 hiring mix (see Financial Plan (Chapter 6)) with Nitaqat in mind from day one; a licensed HR/legal consultant can model your specific quota band.</w:t>
            </w:r>
          </w:p>
        </w:tc>
      </w:tr>
      <w:tr>
        <w:tc>
          <w:tcPr>
            <w:tcW w:type="dxa" w:w="1177"/>
            <w:shd w:fill="F1F5F9" w:color="auto" w:val="clear"/>
            <w:tcMar>
              <w:top w:type="dxa" w:w="80"/>
              <w:left w:type="dxa" w:w="100"/>
              <w:bottom w:type="dxa" w:w="80"/>
              <w:right w:type="dxa" w:w="100"/>
            </w:tcMar>
            <w:vAlign w:val="center"/>
          </w:tcPr>
          <w:p>
            <w:pPr>
              <w:spacing w:after="0"/>
            </w:pPr>
            <w:r>
              <w:rPr>
                <w:b/>
                <w:bCs/>
              </w:rPr>
              <w:t xml:space="preserve">Data protection (PDPL)</w:t>
            </w:r>
          </w:p>
        </w:tc>
        <w:tc>
          <w:tcPr>
            <w:tcW w:type="dxa" w:w="3924"/>
            <w:shd w:fill="F1F5F9" w:color="auto" w:val="clear"/>
            <w:tcMar>
              <w:top w:type="dxa" w:w="80"/>
              <w:left w:type="dxa" w:w="100"/>
              <w:bottom w:type="dxa" w:w="80"/>
              <w:right w:type="dxa" w:w="100"/>
            </w:tcMar>
            <w:vAlign w:val="center"/>
          </w:tcPr>
          <w:p>
            <w:pPr>
              <w:spacing w:after="0"/>
            </w:pPr>
            <w:r>
              <w:t xml:space="preserve">Saudi Arabia's Personal Data Protection Law (administered by SDAIA) governs how you collect, store, and process customer personal data (names, addresses, phone numbers, home-access details) — a materially important compliance area given how sensitive "which homes are empty/occupied when" data is.</w:t>
            </w:r>
          </w:p>
        </w:tc>
        <w:tc>
          <w:tcPr>
            <w:tcW w:type="dxa" w:w="3925"/>
            <w:shd w:fill="F1F5F9" w:color="auto" w:val="clear"/>
            <w:tcMar>
              <w:top w:type="dxa" w:w="80"/>
              <w:left w:type="dxa" w:w="100"/>
              <w:bottom w:type="dxa" w:w="80"/>
              <w:right w:type="dxa" w:w="100"/>
            </w:tcMar>
            <w:vAlign w:val="center"/>
          </w:tcPr>
          <w:p>
            <w:pPr>
              <w:spacing w:after="0"/>
            </w:pPr>
            <w:r>
              <w:t xml:space="preserve">Build PDPL-compliant data handling into the app from the design stage (this is a software/legal co-design task) — retrofitting privacy compliance later is far more expensive.</w:t>
            </w:r>
          </w:p>
        </w:tc>
      </w:tr>
    </w:tbl>
    <w:p>
      <w:pPr>
        <w:spacing w:after="200"/>
      </w:pPr>
    </w:p>
    <w:p>
      <w:pPr>
        <w:pStyle w:val="Heading2"/>
        <w:spacing w:after="160" w:before="360"/>
      </w:pPr>
      <w:r>
        <w:t xml:space="preserve">4.4 Financial feasibility — 🟢 Green, provided funding is secured before committing to full app development</w:t>
      </w:r>
    </w:p>
    <w:p>
      <w:pPr>
        <w:spacing w:after="160"/>
      </w:pPr>
      <w:r>
        <w:t xml:space="preserve">The unit economics work on paper (commission + booking fee per job, low marginal cost per additional job once the platform exists) — see Financial Plan (Chapter 6) for the full model. The real financial risk is </w:t>
      </w:r>
      <w:r>
        <w:rPr>
          <w:b/>
          <w:bCs/>
        </w:rPr>
        <w:t xml:space="preserve">not</w:t>
      </w:r>
      <w:r>
        <w:t xml:space="preserve"> "can this be profitable eventually" — comparable marketplaces in this category clearly are — it's </w:t>
      </w:r>
      <w:r>
        <w:rPr>
          <w:b/>
          <w:bCs/>
        </w:rPr>
        <w:t xml:space="preserve">"do we have enough runway to survive the slow ramp-up before density (enough contractors and enough customers in the same city) kicks in."</w:t>
      </w:r>
      <w:r>
        <w:t xml:space="preserve"> This is why the Financial Plan models a conservative multi-month ramp and why the Recommendations document pushes hard for a lean, staged spend rather than committing the full budget to app development on day one.</w:t>
      </w:r>
    </w:p>
    <w:p>
      <w:pPr>
        <w:pStyle w:val="Heading2"/>
        <w:spacing w:after="160" w:before="360"/>
      </w:pPr>
      <w:r>
        <w:t xml:space="preserve">4.5 Overall feasibility verdict</w:t>
      </w:r>
    </w:p>
    <w:p>
      <w:pPr>
        <w:spacing w:after="160"/>
      </w:pPr>
      <w:r>
        <w:rPr>
          <w:b/>
          <w:bCs/>
        </w:rPr>
        <w:t xml:space="preserve">Feasible, with three specific pre-launch gates</w:t>
      </w:r>
      <w:r>
        <w:t xml:space="preserve">, all detailed further in Recommendations &amp; Roadmap (Chapter 9):</w:t>
      </w:r>
    </w:p>
    <w:p>
      <w:pPr>
        <w:spacing w:after="80"/>
        <w:ind w:left="720" w:hanging="360"/>
      </w:pPr>
      <w:r>
        <w:t xml:space="preserve">1.  </w:t>
      </w:r>
      <w:r>
        <w:t xml:space="preserve">Written legal confirmation of your licensing position (do you need your own trade license — almost certainly no, but get it in writing).</w:t>
      </w:r>
    </w:p>
    <w:p>
      <w:pPr>
        <w:spacing w:after="80"/>
        <w:ind w:left="720" w:hanging="360"/>
      </w:pPr>
      <w:r>
        <w:t xml:space="preserve">2.  </w:t>
      </w:r>
      <w:r>
        <w:t xml:space="preserve">Secured funding for at least a Phase 0 lean launch (see Financial Plan (Chapter 6)).</w:t>
      </w:r>
    </w:p>
    <w:p>
      <w:pPr>
        <w:spacing w:after="80"/>
        <w:ind w:left="720" w:hanging="360"/>
      </w:pPr>
      <w:r>
        <w:t xml:space="preserve">3.  </w:t>
      </w:r>
      <w:r>
        <w:t xml:space="preserve">Signed agreements with at least 3–5 contractor partners per trade, per city, before public launch — an app with no reliable supply side fails immediately on its first bad reviews.</w:t>
      </w:r>
    </w:p>
    <w:p>
      <w:pPr>
        <w:pBdr>
          <w:bottom w:val="single" w:color="999999" w:sz="6" w:space="1"/>
        </w:pBdr>
        <w:spacing w:after="200" w:before="200"/>
      </w:pPr>
    </w:p>
    <w:p>
      <w:pPr>
        <w:pStyle w:val="Heading3"/>
        <w:spacing w:after="160" w:before="360"/>
      </w:pPr>
      <w:r>
        <w:t xml:space="preserve">Sources consulted</w:t>
      </w:r>
    </w:p>
    <w:p>
      <w:pPr>
        <w:spacing w:after="160"/>
      </w:pPr>
      <w:hyperlink w:history="1" r:id="rIdyn_r3eooa-iwchallepka">
        <w:r>
          <w:rPr>
            <w:rStyle w:val="Hyperlink"/>
          </w:rPr>
          <w:t xml:space="preserve">SCA Licensing Guide for Contractors – Lexology</w:t>
        </w:r>
      </w:hyperlink>
      <w:r>
        <w:t xml:space="preserve">, </w:t>
      </w:r>
      <w:hyperlink w:history="1" r:id="rIds5eeubjry0gqdyy41yymn">
        <w:r>
          <w:rPr>
            <w:rStyle w:val="Hyperlink"/>
          </w:rPr>
          <w:t xml:space="preserve">Civil Defense License Guide 2025</w:t>
        </w:r>
      </w:hyperlink>
      <w:r>
        <w:t xml:space="preserve">, </w:t>
      </w:r>
      <w:hyperlink w:history="1" r:id="rId00vsmpm2osvehdyuuuixq">
        <w:r>
          <w:rPr>
            <w:rStyle w:val="Hyperlink"/>
          </w:rPr>
          <w:t xml:space="preserve">Maroof Business Verification Guide 2026</w:t>
        </w:r>
      </w:hyperlink>
      <w:r>
        <w:t xml:space="preserve">, </w:t>
      </w:r>
      <w:hyperlink w:history="1" r:id="rIdkzlro7x6faq7-xkxdbuzf">
        <w:r>
          <w:rPr>
            <w:rStyle w:val="Hyperlink"/>
          </w:rPr>
          <w:t xml:space="preserve">VAT Rate Saudi Arabia 2026 – Vision2030.ai</w:t>
        </w:r>
      </w:hyperlink>
      <w:r>
        <w:t xml:space="preserve">, </w:t>
      </w:r>
      <w:hyperlink w:history="1" r:id="rIdk-qyl1q_ytkdaxtj5ojyo">
        <w:r>
          <w:rPr>
            <w:rStyle w:val="Hyperlink"/>
          </w:rPr>
          <w:t xml:space="preserve">Saudi Arabia Tax Guide 2026 – House of Saud</w:t>
        </w:r>
      </w:hyperlink>
      <w:r>
        <w:t xml:space="preserve">, </w:t>
      </w:r>
      <w:hyperlink w:history="1" r:id="rId2zovcuflitbikepfyyg0h">
        <w:r>
          <w:rPr>
            <w:rStyle w:val="Hyperlink"/>
          </w:rPr>
          <w:t xml:space="preserve">Motaded – Saudi Freelance Regulations Guide 2026</w:t>
        </w:r>
      </w:hyperlink>
    </w:p>
    <w:p>
      <w:pPr>
        <w:pStyle w:val="Heading1"/>
        <w:pageBreakBefore/>
        <w:spacing w:after="240" w:before="0"/>
      </w:pPr>
      <w:r>
        <w:t xml:space="preserve">5. Risk Analysis</w:t>
      </w:r>
    </w:p>
    <w:p>
      <w:pPr>
        <w:spacing w:after="160"/>
      </w:pPr>
      <w:r>
        <w:t xml:space="preserve">Each risk below is rated </w:t>
      </w:r>
      <w:r>
        <w:rPr>
          <w:b/>
          <w:bCs/>
        </w:rPr>
        <w:t xml:space="preserve">Likelihood</w:t>
      </w:r>
      <w:r>
        <w:t xml:space="preserve"> (Low/Medium/High) × </w:t>
      </w:r>
      <w:r>
        <w:rPr>
          <w:b/>
          <w:bCs/>
        </w:rPr>
        <w:t xml:space="preserve">Impact</w:t>
      </w:r>
      <w:r>
        <w:t xml:space="preserve"> (Low/Medium/High), with a plain-English mitigation. Sorted roughly by overall severity.</w:t>
      </w:r>
    </w:p>
    <w:p>
      <w:pPr>
        <w:pStyle w:val="Heading2"/>
        <w:spacing w:after="160" w:before="360"/>
      </w:pPr>
      <w:r>
        <w:t xml:space="preserve">5.1 Supply-side risks (contractors)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7"/>
        <w:gridCol w:w="977"/>
        <w:gridCol w:w="427"/>
        <w:gridCol w:w="4485"/>
      </w:tblGrid>
      <w:tr>
        <w:trPr>
          <w:tblHeader/>
        </w:trPr>
        <w:tc>
          <w:tcPr>
            <w:tcW w:type="dxa" w:w="3137"/>
            <w:shd w:fill="334155" w:color="auto" w:val="clear"/>
            <w:tcMar>
              <w:top w:type="dxa" w:w="80"/>
              <w:left w:type="dxa" w:w="100"/>
              <w:bottom w:type="dxa" w:w="80"/>
              <w:right w:type="dxa" w:w="100"/>
            </w:tcMar>
            <w:vAlign w:val="center"/>
          </w:tcPr>
          <w:p>
            <w:r>
              <w:rPr>
                <w:b/>
                <w:bCs/>
                <w:color w:val="FFFFFF"/>
              </w:rPr>
              <w:t xml:space="preserve">Risk</w:t>
            </w:r>
          </w:p>
        </w:tc>
        <w:tc>
          <w:tcPr>
            <w:tcW w:type="dxa" w:w="977"/>
            <w:shd w:fill="334155" w:color="auto" w:val="clear"/>
            <w:tcMar>
              <w:top w:type="dxa" w:w="80"/>
              <w:left w:type="dxa" w:w="100"/>
              <w:bottom w:type="dxa" w:w="80"/>
              <w:right w:type="dxa" w:w="100"/>
            </w:tcMar>
            <w:vAlign w:val="center"/>
          </w:tcPr>
          <w:p>
            <w:r>
              <w:rPr>
                <w:b/>
                <w:bCs/>
                <w:color w:val="FFFFFF"/>
              </w:rPr>
              <w:t xml:space="preserve">Likelihood</w:t>
            </w:r>
          </w:p>
        </w:tc>
        <w:tc>
          <w:tcPr>
            <w:tcW w:type="dxa" w:w="427"/>
            <w:shd w:fill="334155" w:color="auto" w:val="clear"/>
            <w:tcMar>
              <w:top w:type="dxa" w:w="80"/>
              <w:left w:type="dxa" w:w="100"/>
              <w:bottom w:type="dxa" w:w="80"/>
              <w:right w:type="dxa" w:w="100"/>
            </w:tcMar>
            <w:vAlign w:val="center"/>
          </w:tcPr>
          <w:p>
            <w:r>
              <w:rPr>
                <w:b/>
                <w:bCs/>
                <w:color w:val="FFFFFF"/>
              </w:rPr>
              <w:t xml:space="preserve">Impact</w:t>
            </w:r>
          </w:p>
        </w:tc>
        <w:tc>
          <w:tcPr>
            <w:tcW w:type="dxa" w:w="4485"/>
            <w:shd w:fill="334155" w:color="auto" w:val="clear"/>
            <w:tcMar>
              <w:top w:type="dxa" w:w="80"/>
              <w:left w:type="dxa" w:w="100"/>
              <w:bottom w:type="dxa" w:w="80"/>
              <w:right w:type="dxa" w:w="100"/>
            </w:tcMar>
            <w:vAlign w:val="center"/>
          </w:tcPr>
          <w:p>
            <w:r>
              <w:rPr>
                <w:b/>
                <w:bCs/>
                <w:color w:val="FFFFFF"/>
              </w:rPr>
              <w:t xml:space="preserve">Mitigation</w:t>
            </w:r>
          </w:p>
        </w:tc>
      </w:tr>
      <w:tr>
        <w:tc>
          <w:tcPr>
            <w:tcW w:type="dxa" w:w="3137"/>
            <w:tcMar>
              <w:top w:type="dxa" w:w="80"/>
              <w:left w:type="dxa" w:w="100"/>
              <w:bottom w:type="dxa" w:w="80"/>
              <w:right w:type="dxa" w:w="100"/>
            </w:tcMar>
            <w:vAlign w:val="center"/>
          </w:tcPr>
          <w:p>
            <w:pPr>
              <w:spacing w:after="0"/>
            </w:pPr>
            <w:r>
              <w:rPr>
                <w:b/>
                <w:bCs/>
              </w:rPr>
              <w:t xml:space="preserve">Not enough good contractors sign up</w:t>
            </w:r>
            <w:r>
              <w:t xml:space="preserve"> — the whole model fails if you can't get 3–5+ reliable partners per trade per city</w:t>
            </w:r>
          </w:p>
        </w:tc>
        <w:tc>
          <w:tcPr>
            <w:tcW w:type="dxa" w:w="977"/>
            <w:tcMar>
              <w:top w:type="dxa" w:w="80"/>
              <w:left w:type="dxa" w:w="100"/>
              <w:bottom w:type="dxa" w:w="80"/>
              <w:right w:type="dxa" w:w="100"/>
            </w:tcMar>
            <w:vAlign w:val="center"/>
          </w:tcPr>
          <w:p>
            <w:pPr>
              <w:spacing w:after="0"/>
            </w:pPr>
            <w:r>
              <w:t xml:space="preserve">Medium</w:t>
            </w:r>
          </w:p>
        </w:tc>
        <w:tc>
          <w:tcPr>
            <w:tcW w:type="dxa" w:w="427"/>
            <w:tcMar>
              <w:top w:type="dxa" w:w="80"/>
              <w:left w:type="dxa" w:w="100"/>
              <w:bottom w:type="dxa" w:w="80"/>
              <w:right w:type="dxa" w:w="100"/>
            </w:tcMar>
            <w:vAlign w:val="center"/>
          </w:tcPr>
          <w:p>
            <w:pPr>
              <w:spacing w:after="0"/>
            </w:pPr>
            <w:r>
              <w:t xml:space="preserve">High</w:t>
            </w:r>
          </w:p>
        </w:tc>
        <w:tc>
          <w:tcPr>
            <w:tcW w:type="dxa" w:w="4485"/>
            <w:tcMar>
              <w:top w:type="dxa" w:w="80"/>
              <w:left w:type="dxa" w:w="100"/>
              <w:bottom w:type="dxa" w:w="80"/>
              <w:right w:type="dxa" w:w="100"/>
            </w:tcMar>
            <w:vAlign w:val="center"/>
          </w:tcPr>
          <w:p>
            <w:pPr>
              <w:spacing w:after="0"/>
            </w:pPr>
            <w:r>
              <w:t xml:space="preserve">Start recruiting contractors 2–3 months </w:t>
            </w:r>
            <w:r>
              <w:rPr>
                <w:i/>
                <w:iCs/>
              </w:rPr>
              <w:t xml:space="preserve">before</w:t>
            </w:r>
            <w:r>
              <w:t xml:space="preserve"> public launch; over-recruit in Phase 1 (aim for more partners than you think you need, since some will underperform or churn); offer a genuinely attractive early-partner deal (lower commission for the first cohort, guaranteed minimum job flow if possible)</w:t>
            </w:r>
          </w:p>
        </w:tc>
      </w:tr>
      <w:tr>
        <w:tc>
          <w:tcPr>
            <w:tcW w:type="dxa" w:w="3137"/>
            <w:shd w:fill="F1F5F9" w:color="auto" w:val="clear"/>
            <w:tcMar>
              <w:top w:type="dxa" w:w="80"/>
              <w:left w:type="dxa" w:w="100"/>
              <w:bottom w:type="dxa" w:w="80"/>
              <w:right w:type="dxa" w:w="100"/>
            </w:tcMar>
            <w:vAlign w:val="center"/>
          </w:tcPr>
          <w:p>
            <w:pPr>
              <w:spacing w:after="0"/>
            </w:pPr>
            <w:r>
              <w:rPr>
                <w:b/>
                <w:bCs/>
              </w:rPr>
              <w:t xml:space="preserve">A partner technician does poor or unsafe work, or damages property</w:t>
            </w:r>
          </w:p>
        </w:tc>
        <w:tc>
          <w:tcPr>
            <w:tcW w:type="dxa" w:w="977"/>
            <w:shd w:fill="F1F5F9" w:color="auto" w:val="clear"/>
            <w:tcMar>
              <w:top w:type="dxa" w:w="80"/>
              <w:left w:type="dxa" w:w="100"/>
              <w:bottom w:type="dxa" w:w="80"/>
              <w:right w:type="dxa" w:w="100"/>
            </w:tcMar>
            <w:vAlign w:val="center"/>
          </w:tcPr>
          <w:p>
            <w:pPr>
              <w:spacing w:after="0"/>
            </w:pPr>
            <w:r>
              <w:t xml:space="preserve">Medium</w:t>
            </w:r>
          </w:p>
        </w:tc>
        <w:tc>
          <w:tcPr>
            <w:tcW w:type="dxa" w:w="427"/>
            <w:shd w:fill="F1F5F9" w:color="auto" w:val="clear"/>
            <w:tcMar>
              <w:top w:type="dxa" w:w="80"/>
              <w:left w:type="dxa" w:w="100"/>
              <w:bottom w:type="dxa" w:w="80"/>
              <w:right w:type="dxa" w:w="100"/>
            </w:tcMar>
            <w:vAlign w:val="center"/>
          </w:tcPr>
          <w:p>
            <w:pPr>
              <w:spacing w:after="0"/>
            </w:pPr>
            <w:r>
              <w:t xml:space="preserve">High</w:t>
            </w:r>
          </w:p>
        </w:tc>
        <w:tc>
          <w:tcPr>
            <w:tcW w:type="dxa" w:w="4485"/>
            <w:shd w:fill="F1F5F9" w:color="auto" w:val="clear"/>
            <w:tcMar>
              <w:top w:type="dxa" w:w="80"/>
              <w:left w:type="dxa" w:w="100"/>
              <w:bottom w:type="dxa" w:w="80"/>
              <w:right w:type="dxa" w:w="100"/>
            </w:tcMar>
            <w:vAlign w:val="center"/>
          </w:tcPr>
          <w:p>
            <w:pPr>
              <w:spacing w:after="0"/>
            </w:pPr>
            <w:r>
              <w:t xml:space="preserve">Mandatory liability insurance proof at onboarding (see Partnership Framework (Chapter 7)); a customer-facing guarantee/refund policy funded partly by a contractor holdback/deposit; fast three-strikes removal policy</w:t>
            </w:r>
          </w:p>
        </w:tc>
      </w:tr>
      <w:tr>
        <w:tc>
          <w:tcPr>
            <w:tcW w:type="dxa" w:w="3137"/>
            <w:tcMar>
              <w:top w:type="dxa" w:w="80"/>
              <w:left w:type="dxa" w:w="100"/>
              <w:bottom w:type="dxa" w:w="80"/>
              <w:right w:type="dxa" w:w="100"/>
            </w:tcMar>
            <w:vAlign w:val="center"/>
          </w:tcPr>
          <w:p>
            <w:pPr>
              <w:spacing w:after="0"/>
            </w:pPr>
            <w:r>
              <w:rPr>
                <w:b/>
                <w:bCs/>
              </w:rPr>
              <w:t xml:space="preserve">A partner contractor "goes around" the app</w:t>
            </w:r>
            <w:r>
              <w:t xml:space="preserve"> — poaches the customer directly to avoid paying commission (a classic marketplace "disintermediation" risk)</w:t>
            </w:r>
          </w:p>
        </w:tc>
        <w:tc>
          <w:tcPr>
            <w:tcW w:type="dxa" w:w="977"/>
            <w:tcMar>
              <w:top w:type="dxa" w:w="80"/>
              <w:left w:type="dxa" w:w="100"/>
              <w:bottom w:type="dxa" w:w="80"/>
              <w:right w:type="dxa" w:w="100"/>
            </w:tcMar>
            <w:vAlign w:val="center"/>
          </w:tcPr>
          <w:p>
            <w:pPr>
              <w:spacing w:after="0"/>
            </w:pPr>
            <w:r>
              <w:t xml:space="preserve">High (this happens in every service marketplace)</w:t>
            </w:r>
          </w:p>
        </w:tc>
        <w:tc>
          <w:tcPr>
            <w:tcW w:type="dxa" w:w="427"/>
            <w:tcMar>
              <w:top w:type="dxa" w:w="80"/>
              <w:left w:type="dxa" w:w="100"/>
              <w:bottom w:type="dxa" w:w="80"/>
              <w:right w:type="dxa" w:w="100"/>
            </w:tcMar>
            <w:vAlign w:val="center"/>
          </w:tcPr>
          <w:p>
            <w:pPr>
              <w:spacing w:after="0"/>
            </w:pPr>
            <w:r>
              <w:t xml:space="preserve">Medium</w:t>
            </w:r>
          </w:p>
        </w:tc>
        <w:tc>
          <w:tcPr>
            <w:tcW w:type="dxa" w:w="4485"/>
            <w:tcMar>
              <w:top w:type="dxa" w:w="80"/>
              <w:left w:type="dxa" w:w="100"/>
              <w:bottom w:type="dxa" w:w="80"/>
              <w:right w:type="dxa" w:w="100"/>
            </w:tcMar>
            <w:vAlign w:val="center"/>
          </w:tcPr>
          <w:p>
            <w:pPr>
              <w:spacing w:after="0"/>
            </w:pPr>
            <w:r>
              <w:t xml:space="preserve">Build recurring value contractors can't easily replicate themselves (steady lead flow, scheduling tools, payment collection); contract clauses with real but reasonable penalties (rarely enforceable in practice, but they set norms); focus energy on making the platform genuinely useful to contractors, not just policing them</w:t>
            </w:r>
          </w:p>
        </w:tc>
      </w:tr>
      <w:tr>
        <w:tc>
          <w:tcPr>
            <w:tcW w:type="dxa" w:w="3137"/>
            <w:shd w:fill="F1F5F9" w:color="auto" w:val="clear"/>
            <w:tcMar>
              <w:top w:type="dxa" w:w="80"/>
              <w:left w:type="dxa" w:w="100"/>
              <w:bottom w:type="dxa" w:w="80"/>
              <w:right w:type="dxa" w:w="100"/>
            </w:tcMar>
            <w:vAlign w:val="center"/>
          </w:tcPr>
          <w:p>
            <w:pPr>
              <w:spacing w:after="0"/>
            </w:pPr>
            <w:r>
              <w:rPr>
                <w:b/>
                <w:bCs/>
              </w:rPr>
              <w:t xml:space="preserve">Contractor company itself is not properly licensed, or lets its license lapse</w:t>
            </w:r>
          </w:p>
        </w:tc>
        <w:tc>
          <w:tcPr>
            <w:tcW w:type="dxa" w:w="977"/>
            <w:shd w:fill="F1F5F9" w:color="auto" w:val="clear"/>
            <w:tcMar>
              <w:top w:type="dxa" w:w="80"/>
              <w:left w:type="dxa" w:w="100"/>
              <w:bottom w:type="dxa" w:w="80"/>
              <w:right w:type="dxa" w:w="100"/>
            </w:tcMar>
            <w:vAlign w:val="center"/>
          </w:tcPr>
          <w:p>
            <w:pPr>
              <w:spacing w:after="0"/>
            </w:pPr>
            <w:r>
              <w:t xml:space="preserve">Medium</w:t>
            </w:r>
          </w:p>
        </w:tc>
        <w:tc>
          <w:tcPr>
            <w:tcW w:type="dxa" w:w="427"/>
            <w:shd w:fill="F1F5F9" w:color="auto" w:val="clear"/>
            <w:tcMar>
              <w:top w:type="dxa" w:w="80"/>
              <w:left w:type="dxa" w:w="100"/>
              <w:bottom w:type="dxa" w:w="80"/>
              <w:right w:type="dxa" w:w="100"/>
            </w:tcMar>
            <w:vAlign w:val="center"/>
          </w:tcPr>
          <w:p>
            <w:pPr>
              <w:spacing w:after="0"/>
            </w:pPr>
            <w:r>
              <w:t xml:space="preserve">High (legal exposure)</w:t>
            </w:r>
          </w:p>
        </w:tc>
        <w:tc>
          <w:tcPr>
            <w:tcW w:type="dxa" w:w="4485"/>
            <w:shd w:fill="F1F5F9" w:color="auto" w:val="clear"/>
            <w:tcMar>
              <w:top w:type="dxa" w:w="80"/>
              <w:left w:type="dxa" w:w="100"/>
              <w:bottom w:type="dxa" w:w="80"/>
              <w:right w:type="dxa" w:w="100"/>
            </w:tcMar>
            <w:vAlign w:val="center"/>
          </w:tcPr>
          <w:p>
            <w:pPr>
              <w:spacing w:after="0"/>
            </w:pPr>
            <w:r>
              <w:t xml:space="preserve">License verification at onboarding </w:t>
            </w:r>
            <w:r>
              <w:rPr>
                <w:i/>
                <w:iCs/>
              </w:rPr>
              <w:t xml:space="preserve">and</w:t>
            </w:r>
            <w:r>
              <w:t xml:space="preserve"> an annual re-verification process, tied to Balady/Wathq platform checks (see Feasibility Study (Chapter 4))</w:t>
            </w:r>
          </w:p>
        </w:tc>
      </w:tr>
    </w:tbl>
    <w:p>
      <w:pPr>
        <w:spacing w:after="200"/>
      </w:pPr>
    </w:p>
    <w:p>
      <w:pPr>
        <w:pStyle w:val="Heading2"/>
        <w:spacing w:after="160" w:before="360"/>
      </w:pPr>
      <w:r>
        <w:t xml:space="preserve">5.2 Demand-side risks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76"/>
        <w:gridCol w:w="411"/>
        <w:gridCol w:w="411"/>
        <w:gridCol w:w="5028"/>
      </w:tblGrid>
      <w:tr>
        <w:trPr>
          <w:tblHeader/>
        </w:trPr>
        <w:tc>
          <w:tcPr>
            <w:tcW w:type="dxa" w:w="3176"/>
            <w:shd w:fill="334155" w:color="auto" w:val="clear"/>
            <w:tcMar>
              <w:top w:type="dxa" w:w="80"/>
              <w:left w:type="dxa" w:w="100"/>
              <w:bottom w:type="dxa" w:w="80"/>
              <w:right w:type="dxa" w:w="100"/>
            </w:tcMar>
            <w:vAlign w:val="center"/>
          </w:tcPr>
          <w:p>
            <w:r>
              <w:rPr>
                <w:b/>
                <w:bCs/>
                <w:color w:val="FFFFFF"/>
              </w:rPr>
              <w:t xml:space="preserve">Risk</w:t>
            </w:r>
          </w:p>
        </w:tc>
        <w:tc>
          <w:tcPr>
            <w:tcW w:type="dxa" w:w="411"/>
            <w:shd w:fill="334155" w:color="auto" w:val="clear"/>
            <w:tcMar>
              <w:top w:type="dxa" w:w="80"/>
              <w:left w:type="dxa" w:w="100"/>
              <w:bottom w:type="dxa" w:w="80"/>
              <w:right w:type="dxa" w:w="100"/>
            </w:tcMar>
            <w:vAlign w:val="center"/>
          </w:tcPr>
          <w:p>
            <w:r>
              <w:rPr>
                <w:b/>
                <w:bCs/>
                <w:color w:val="FFFFFF"/>
              </w:rPr>
              <w:t xml:space="preserve">Likelihood</w:t>
            </w:r>
          </w:p>
        </w:tc>
        <w:tc>
          <w:tcPr>
            <w:tcW w:type="dxa" w:w="411"/>
            <w:shd w:fill="334155" w:color="auto" w:val="clear"/>
            <w:tcMar>
              <w:top w:type="dxa" w:w="80"/>
              <w:left w:type="dxa" w:w="100"/>
              <w:bottom w:type="dxa" w:w="80"/>
              <w:right w:type="dxa" w:w="100"/>
            </w:tcMar>
            <w:vAlign w:val="center"/>
          </w:tcPr>
          <w:p>
            <w:r>
              <w:rPr>
                <w:b/>
                <w:bCs/>
                <w:color w:val="FFFFFF"/>
              </w:rPr>
              <w:t xml:space="preserve">Impact</w:t>
            </w:r>
          </w:p>
        </w:tc>
        <w:tc>
          <w:tcPr>
            <w:tcW w:type="dxa" w:w="5028"/>
            <w:shd w:fill="334155" w:color="auto" w:val="clear"/>
            <w:tcMar>
              <w:top w:type="dxa" w:w="80"/>
              <w:left w:type="dxa" w:w="100"/>
              <w:bottom w:type="dxa" w:w="80"/>
              <w:right w:type="dxa" w:w="100"/>
            </w:tcMar>
            <w:vAlign w:val="center"/>
          </w:tcPr>
          <w:p>
            <w:r>
              <w:rPr>
                <w:b/>
                <w:bCs/>
                <w:color w:val="FFFFFF"/>
              </w:rPr>
              <w:t xml:space="preserve">Mitigation</w:t>
            </w:r>
          </w:p>
        </w:tc>
      </w:tr>
      <w:tr>
        <w:tc>
          <w:tcPr>
            <w:tcW w:type="dxa" w:w="3176"/>
            <w:tcMar>
              <w:top w:type="dxa" w:w="80"/>
              <w:left w:type="dxa" w:w="100"/>
              <w:bottom w:type="dxa" w:w="80"/>
              <w:right w:type="dxa" w:w="100"/>
            </w:tcMar>
            <w:vAlign w:val="center"/>
          </w:tcPr>
          <w:p>
            <w:pPr>
              <w:spacing w:after="0"/>
            </w:pPr>
            <w:r>
              <w:rPr>
                <w:b/>
                <w:bCs/>
              </w:rPr>
              <w:t xml:space="preserve">Customer acquisition cost (CAC) is higher than expected</w:t>
            </w:r>
            <w:r>
              <w:t xml:space="preserve"> — apps in this category often need real marketing spend to get initial traction</w:t>
            </w:r>
          </w:p>
        </w:tc>
        <w:tc>
          <w:tcPr>
            <w:tcW w:type="dxa" w:w="411"/>
            <w:tcMar>
              <w:top w:type="dxa" w:w="80"/>
              <w:left w:type="dxa" w:w="100"/>
              <w:bottom w:type="dxa" w:w="80"/>
              <w:right w:type="dxa" w:w="100"/>
            </w:tcMar>
            <w:vAlign w:val="center"/>
          </w:tcPr>
          <w:p>
            <w:pPr>
              <w:spacing w:after="0"/>
            </w:pPr>
            <w:r>
              <w:t xml:space="preserve">Medium-High</w:t>
            </w:r>
          </w:p>
        </w:tc>
        <w:tc>
          <w:tcPr>
            <w:tcW w:type="dxa" w:w="411"/>
            <w:tcMar>
              <w:top w:type="dxa" w:w="80"/>
              <w:left w:type="dxa" w:w="100"/>
              <w:bottom w:type="dxa" w:w="80"/>
              <w:right w:type="dxa" w:w="100"/>
            </w:tcMar>
            <w:vAlign w:val="center"/>
          </w:tcPr>
          <w:p>
            <w:pPr>
              <w:spacing w:after="0"/>
            </w:pPr>
            <w:r>
              <w:t xml:space="preserve">High</w:t>
            </w:r>
          </w:p>
        </w:tc>
        <w:tc>
          <w:tcPr>
            <w:tcW w:type="dxa" w:w="5028"/>
            <w:tcMar>
              <w:top w:type="dxa" w:w="80"/>
              <w:left w:type="dxa" w:w="100"/>
              <w:bottom w:type="dxa" w:w="80"/>
              <w:right w:type="dxa" w:w="100"/>
            </w:tcMar>
            <w:vAlign w:val="center"/>
          </w:tcPr>
          <w:p>
            <w:pPr>
              <w:spacing w:after="0"/>
            </w:pPr>
            <w:r>
              <w:t xml:space="preserve">Start with a lean Phase 0 (landing page + social ads) to measure real CAC before committing to a large marketing budget (see Recommendations (Chapter 9)); lean on word-of-mouth/referral incentives, which are unusually effective in KSA's social/family-network-driven culture</w:t>
            </w:r>
          </w:p>
        </w:tc>
      </w:tr>
      <w:tr>
        <w:tc>
          <w:tcPr>
            <w:tcW w:type="dxa" w:w="3176"/>
            <w:shd w:fill="F1F5F9" w:color="auto" w:val="clear"/>
            <w:tcMar>
              <w:top w:type="dxa" w:w="80"/>
              <w:left w:type="dxa" w:w="100"/>
              <w:bottom w:type="dxa" w:w="80"/>
              <w:right w:type="dxa" w:w="100"/>
            </w:tcMar>
            <w:vAlign w:val="center"/>
          </w:tcPr>
          <w:p>
            <w:pPr>
              <w:spacing w:after="0"/>
            </w:pPr>
            <w:r>
              <w:rPr>
                <w:b/>
                <w:bCs/>
              </w:rPr>
              <w:t xml:space="preserve">Trust barrier</w:t>
            </w:r>
            <w:r>
              <w:t xml:space="preserve"> — letting a stranger into your home is a bigger psychological hurdle than, say, ordering food delivery</w:t>
            </w:r>
          </w:p>
        </w:tc>
        <w:tc>
          <w:tcPr>
            <w:tcW w:type="dxa" w:w="411"/>
            <w:shd w:fill="F1F5F9" w:color="auto" w:val="clear"/>
            <w:tcMar>
              <w:top w:type="dxa" w:w="80"/>
              <w:left w:type="dxa" w:w="100"/>
              <w:bottom w:type="dxa" w:w="80"/>
              <w:right w:type="dxa" w:w="100"/>
            </w:tcMar>
            <w:vAlign w:val="center"/>
          </w:tcPr>
          <w:p>
            <w:pPr>
              <w:spacing w:after="0"/>
            </w:pPr>
            <w:r>
              <w:t xml:space="preserve">Medium</w:t>
            </w:r>
          </w:p>
        </w:tc>
        <w:tc>
          <w:tcPr>
            <w:tcW w:type="dxa" w:w="411"/>
            <w:shd w:fill="F1F5F9" w:color="auto" w:val="clear"/>
            <w:tcMar>
              <w:top w:type="dxa" w:w="80"/>
              <w:left w:type="dxa" w:w="100"/>
              <w:bottom w:type="dxa" w:w="80"/>
              <w:right w:type="dxa" w:w="100"/>
            </w:tcMar>
            <w:vAlign w:val="center"/>
          </w:tcPr>
          <w:p>
            <w:pPr>
              <w:spacing w:after="0"/>
            </w:pPr>
            <w:r>
              <w:t xml:space="preserve">Medium</w:t>
            </w:r>
          </w:p>
        </w:tc>
        <w:tc>
          <w:tcPr>
            <w:tcW w:type="dxa" w:w="5028"/>
            <w:shd w:fill="F1F5F9" w:color="auto" w:val="clear"/>
            <w:tcMar>
              <w:top w:type="dxa" w:w="80"/>
              <w:left w:type="dxa" w:w="100"/>
              <w:bottom w:type="dxa" w:w="80"/>
              <w:right w:type="dxa" w:w="100"/>
            </w:tcMar>
            <w:vAlign w:val="center"/>
          </w:tcPr>
          <w:p>
            <w:pPr>
              <w:spacing w:after="0"/>
            </w:pPr>
            <w:r>
              <w:t xml:space="preserve">Photo ID verification of technicians shown in-app before arrival, live tracking, a visible rating history, and marketing that leans hard on "vetted and insured," not just "fast"</w:t>
            </w:r>
          </w:p>
        </w:tc>
      </w:tr>
      <w:tr>
        <w:tc>
          <w:tcPr>
            <w:tcW w:type="dxa" w:w="3176"/>
            <w:tcMar>
              <w:top w:type="dxa" w:w="80"/>
              <w:left w:type="dxa" w:w="100"/>
              <w:bottom w:type="dxa" w:w="80"/>
              <w:right w:type="dxa" w:w="100"/>
            </w:tcMar>
            <w:vAlign w:val="center"/>
          </w:tcPr>
          <w:p>
            <w:pPr>
              <w:spacing w:after="0"/>
            </w:pPr>
            <w:r>
              <w:rPr>
                <w:b/>
                <w:bCs/>
              </w:rPr>
              <w:t xml:space="preserve">Low repeat usage</w:t>
            </w:r>
            <w:r>
              <w:t xml:space="preserve"> — a one-off repair app risks becoming a "use once and delete" app if there's no reason to come back</w:t>
            </w:r>
          </w:p>
        </w:tc>
        <w:tc>
          <w:tcPr>
            <w:tcW w:type="dxa" w:w="411"/>
            <w:tcMar>
              <w:top w:type="dxa" w:w="80"/>
              <w:left w:type="dxa" w:w="100"/>
              <w:bottom w:type="dxa" w:w="80"/>
              <w:right w:type="dxa" w:w="100"/>
            </w:tcMar>
            <w:vAlign w:val="center"/>
          </w:tcPr>
          <w:p>
            <w:pPr>
              <w:spacing w:after="0"/>
            </w:pPr>
            <w:r>
              <w:t xml:space="preserve">Medium</w:t>
            </w:r>
          </w:p>
        </w:tc>
        <w:tc>
          <w:tcPr>
            <w:tcW w:type="dxa" w:w="411"/>
            <w:tcMar>
              <w:top w:type="dxa" w:w="80"/>
              <w:left w:type="dxa" w:w="100"/>
              <w:bottom w:type="dxa" w:w="80"/>
              <w:right w:type="dxa" w:w="100"/>
            </w:tcMar>
            <w:vAlign w:val="center"/>
          </w:tcPr>
          <w:p>
            <w:pPr>
              <w:spacing w:after="0"/>
            </w:pPr>
            <w:r>
              <w:t xml:space="preserve">Medium</w:t>
            </w:r>
          </w:p>
        </w:tc>
        <w:tc>
          <w:tcPr>
            <w:tcW w:type="dxa" w:w="5028"/>
            <w:tcMar>
              <w:top w:type="dxa" w:w="80"/>
              <w:left w:type="dxa" w:w="100"/>
              <w:bottom w:type="dxa" w:w="80"/>
              <w:right w:type="dxa" w:w="100"/>
            </w:tcMar>
            <w:vAlign w:val="center"/>
          </w:tcPr>
          <w:p>
            <w:pPr>
              <w:spacing w:after="0"/>
            </w:pPr>
            <w:r>
              <w:t xml:space="preserve">The subscription/maintenance-plan revenue stream (§2.4) exists specifically to counter this — push it actively after every first job</w:t>
            </w:r>
          </w:p>
        </w:tc>
      </w:tr>
    </w:tbl>
    <w:p>
      <w:pPr>
        <w:spacing w:after="200"/>
      </w:pPr>
    </w:p>
    <w:p>
      <w:pPr>
        <w:pStyle w:val="Heading2"/>
        <w:spacing w:after="160" w:before="360"/>
      </w:pPr>
      <w:r>
        <w:t xml:space="preserve">5.3 Competitive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73"/>
        <w:gridCol w:w="1261"/>
        <w:gridCol w:w="384"/>
        <w:gridCol w:w="4708"/>
      </w:tblGrid>
      <w:tr>
        <w:trPr>
          <w:tblHeader/>
        </w:trPr>
        <w:tc>
          <w:tcPr>
            <w:tcW w:type="dxa" w:w="2673"/>
            <w:shd w:fill="334155" w:color="auto" w:val="clear"/>
            <w:tcMar>
              <w:top w:type="dxa" w:w="80"/>
              <w:left w:type="dxa" w:w="100"/>
              <w:bottom w:type="dxa" w:w="80"/>
              <w:right w:type="dxa" w:w="100"/>
            </w:tcMar>
            <w:vAlign w:val="center"/>
          </w:tcPr>
          <w:p>
            <w:r>
              <w:rPr>
                <w:b/>
                <w:bCs/>
                <w:color w:val="FFFFFF"/>
              </w:rPr>
              <w:t xml:space="preserve">Risk</w:t>
            </w:r>
          </w:p>
        </w:tc>
        <w:tc>
          <w:tcPr>
            <w:tcW w:type="dxa" w:w="1261"/>
            <w:shd w:fill="334155" w:color="auto" w:val="clear"/>
            <w:tcMar>
              <w:top w:type="dxa" w:w="80"/>
              <w:left w:type="dxa" w:w="100"/>
              <w:bottom w:type="dxa" w:w="80"/>
              <w:right w:type="dxa" w:w="100"/>
            </w:tcMar>
            <w:vAlign w:val="center"/>
          </w:tcPr>
          <w:p>
            <w:r>
              <w:rPr>
                <w:b/>
                <w:bCs/>
                <w:color w:val="FFFFFF"/>
              </w:rPr>
              <w:t xml:space="preserve">Likelihood</w:t>
            </w:r>
          </w:p>
        </w:tc>
        <w:tc>
          <w:tcPr>
            <w:tcW w:type="dxa" w:w="384"/>
            <w:shd w:fill="334155" w:color="auto" w:val="clear"/>
            <w:tcMar>
              <w:top w:type="dxa" w:w="80"/>
              <w:left w:type="dxa" w:w="100"/>
              <w:bottom w:type="dxa" w:w="80"/>
              <w:right w:type="dxa" w:w="100"/>
            </w:tcMar>
            <w:vAlign w:val="center"/>
          </w:tcPr>
          <w:p>
            <w:r>
              <w:rPr>
                <w:b/>
                <w:bCs/>
                <w:color w:val="FFFFFF"/>
              </w:rPr>
              <w:t xml:space="preserve">Impact</w:t>
            </w:r>
          </w:p>
        </w:tc>
        <w:tc>
          <w:tcPr>
            <w:tcW w:type="dxa" w:w="4708"/>
            <w:shd w:fill="334155" w:color="auto" w:val="clear"/>
            <w:tcMar>
              <w:top w:type="dxa" w:w="80"/>
              <w:left w:type="dxa" w:w="100"/>
              <w:bottom w:type="dxa" w:w="80"/>
              <w:right w:type="dxa" w:w="100"/>
            </w:tcMar>
            <w:vAlign w:val="center"/>
          </w:tcPr>
          <w:p>
            <w:r>
              <w:rPr>
                <w:b/>
                <w:bCs/>
                <w:color w:val="FFFFFF"/>
              </w:rPr>
              <w:t xml:space="preserve">Mitigation</w:t>
            </w:r>
          </w:p>
        </w:tc>
      </w:tr>
      <w:tr>
        <w:tc>
          <w:tcPr>
            <w:tcW w:type="dxa" w:w="2673"/>
            <w:tcMar>
              <w:top w:type="dxa" w:w="80"/>
              <w:left w:type="dxa" w:w="100"/>
              <w:bottom w:type="dxa" w:w="80"/>
              <w:right w:type="dxa" w:w="100"/>
            </w:tcMar>
            <w:vAlign w:val="center"/>
          </w:tcPr>
          <w:p>
            <w:pPr>
              <w:spacing w:after="0"/>
            </w:pPr>
            <w:r>
              <w:rPr>
                <w:b/>
                <w:bCs/>
              </w:rPr>
              <w:t xml:space="preserve">A well-funded competitor (e.g., Noon Home Services, or Muheel backed by Abdul Latif Jameel) out-spends and out-markets us</w:t>
            </w:r>
          </w:p>
        </w:tc>
        <w:tc>
          <w:tcPr>
            <w:tcW w:type="dxa" w:w="1261"/>
            <w:tcMar>
              <w:top w:type="dxa" w:w="80"/>
              <w:left w:type="dxa" w:w="100"/>
              <w:bottom w:type="dxa" w:w="80"/>
              <w:right w:type="dxa" w:w="100"/>
            </w:tcMar>
            <w:vAlign w:val="center"/>
          </w:tcPr>
          <w:p>
            <w:pPr>
              <w:spacing w:after="0"/>
            </w:pPr>
            <w:r>
              <w:t xml:space="preserve">High — these players already exist and are well-capitalized</w:t>
            </w:r>
          </w:p>
        </w:tc>
        <w:tc>
          <w:tcPr>
            <w:tcW w:type="dxa" w:w="384"/>
            <w:tcMar>
              <w:top w:type="dxa" w:w="80"/>
              <w:left w:type="dxa" w:w="100"/>
              <w:bottom w:type="dxa" w:w="80"/>
              <w:right w:type="dxa" w:w="100"/>
            </w:tcMar>
            <w:vAlign w:val="center"/>
          </w:tcPr>
          <w:p>
            <w:pPr>
              <w:spacing w:after="0"/>
            </w:pPr>
            <w:r>
              <w:t xml:space="preserve">High</w:t>
            </w:r>
          </w:p>
        </w:tc>
        <w:tc>
          <w:tcPr>
            <w:tcW w:type="dxa" w:w="4708"/>
            <w:tcMar>
              <w:top w:type="dxa" w:w="80"/>
              <w:left w:type="dxa" w:w="100"/>
              <w:bottom w:type="dxa" w:w="80"/>
              <w:right w:type="dxa" w:w="100"/>
            </w:tcMar>
            <w:vAlign w:val="center"/>
          </w:tcPr>
          <w:p>
            <w:pPr>
              <w:spacing w:after="0"/>
            </w:pPr>
            <w:r>
              <w:t xml:space="preserve">Compete on focus and execution, not budget: be genuinely better on multi-trade breadth, SLA reliability, and city-specific contractor quality rather than trying to out-advertise a conglomerate; consider whether a specific under-served city or trade niche is a better initial beachhead than head-to-head competition in Riyadh from day one</w:t>
            </w:r>
          </w:p>
        </w:tc>
      </w:tr>
      <w:tr>
        <w:tc>
          <w:tcPr>
            <w:tcW w:type="dxa" w:w="2673"/>
            <w:shd w:fill="F1F5F9" w:color="auto" w:val="clear"/>
            <w:tcMar>
              <w:top w:type="dxa" w:w="80"/>
              <w:left w:type="dxa" w:w="100"/>
              <w:bottom w:type="dxa" w:w="80"/>
              <w:right w:type="dxa" w:w="100"/>
            </w:tcMar>
            <w:vAlign w:val="center"/>
          </w:tcPr>
          <w:p>
            <w:pPr>
              <w:spacing w:after="0"/>
            </w:pPr>
            <w:r>
              <w:rPr>
                <w:b/>
                <w:bCs/>
              </w:rPr>
              <w:t xml:space="preserve">Price war</w:t>
            </w:r>
            <w:r>
              <w:t xml:space="preserve"> — competitors undercut commission/pricing to win contractor or customer share</w:t>
            </w:r>
          </w:p>
        </w:tc>
        <w:tc>
          <w:tcPr>
            <w:tcW w:type="dxa" w:w="1261"/>
            <w:shd w:fill="F1F5F9" w:color="auto" w:val="clear"/>
            <w:tcMar>
              <w:top w:type="dxa" w:w="80"/>
              <w:left w:type="dxa" w:w="100"/>
              <w:bottom w:type="dxa" w:w="80"/>
              <w:right w:type="dxa" w:w="100"/>
            </w:tcMar>
            <w:vAlign w:val="center"/>
          </w:tcPr>
          <w:p>
            <w:pPr>
              <w:spacing w:after="0"/>
            </w:pPr>
            <w:r>
              <w:t xml:space="preserve">Medium</w:t>
            </w:r>
          </w:p>
        </w:tc>
        <w:tc>
          <w:tcPr>
            <w:tcW w:type="dxa" w:w="384"/>
            <w:shd w:fill="F1F5F9" w:color="auto" w:val="clear"/>
            <w:tcMar>
              <w:top w:type="dxa" w:w="80"/>
              <w:left w:type="dxa" w:w="100"/>
              <w:bottom w:type="dxa" w:w="80"/>
              <w:right w:type="dxa" w:w="100"/>
            </w:tcMar>
            <w:vAlign w:val="center"/>
          </w:tcPr>
          <w:p>
            <w:pPr>
              <w:spacing w:after="0"/>
            </w:pPr>
            <w:r>
              <w:t xml:space="preserve">Medium</w:t>
            </w:r>
          </w:p>
        </w:tc>
        <w:tc>
          <w:tcPr>
            <w:tcW w:type="dxa" w:w="4708"/>
            <w:shd w:fill="F1F5F9" w:color="auto" w:val="clear"/>
            <w:tcMar>
              <w:top w:type="dxa" w:w="80"/>
              <w:left w:type="dxa" w:w="100"/>
              <w:bottom w:type="dxa" w:w="80"/>
              <w:right w:type="dxa" w:w="100"/>
            </w:tcMar>
            <w:vAlign w:val="center"/>
          </w:tcPr>
          <w:p>
            <w:pPr>
              <w:spacing w:after="0"/>
            </w:pPr>
            <w:r>
              <w:t xml:space="preserve">Don't compete purely on being the cheapest — competing on reliability and being the contractor's steadiest source of consistent income builds more durable loyalty than a lower commission alone</w:t>
            </w:r>
          </w:p>
        </w:tc>
      </w:tr>
    </w:tbl>
    <w:p>
      <w:pPr>
        <w:spacing w:after="200"/>
      </w:pPr>
    </w:p>
    <w:p>
      <w:pPr>
        <w:pStyle w:val="Heading2"/>
        <w:spacing w:after="160" w:before="360"/>
      </w:pPr>
      <w:r>
        <w:t xml:space="preserve">5.4 Financial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62"/>
        <w:gridCol w:w="398"/>
        <w:gridCol w:w="398"/>
        <w:gridCol w:w="4868"/>
      </w:tblGrid>
      <w:tr>
        <w:trPr>
          <w:tblHeader/>
        </w:trPr>
        <w:tc>
          <w:tcPr>
            <w:tcW w:type="dxa" w:w="3362"/>
            <w:shd w:fill="334155" w:color="auto" w:val="clear"/>
            <w:tcMar>
              <w:top w:type="dxa" w:w="80"/>
              <w:left w:type="dxa" w:w="100"/>
              <w:bottom w:type="dxa" w:w="80"/>
              <w:right w:type="dxa" w:w="100"/>
            </w:tcMar>
            <w:vAlign w:val="center"/>
          </w:tcPr>
          <w:p>
            <w:r>
              <w:rPr>
                <w:b/>
                <w:bCs/>
                <w:color w:val="FFFFFF"/>
              </w:rPr>
              <w:t xml:space="preserve">Risk</w:t>
            </w:r>
          </w:p>
        </w:tc>
        <w:tc>
          <w:tcPr>
            <w:tcW w:type="dxa" w:w="398"/>
            <w:shd w:fill="334155" w:color="auto" w:val="clear"/>
            <w:tcMar>
              <w:top w:type="dxa" w:w="80"/>
              <w:left w:type="dxa" w:w="100"/>
              <w:bottom w:type="dxa" w:w="80"/>
              <w:right w:type="dxa" w:w="100"/>
            </w:tcMar>
            <w:vAlign w:val="center"/>
          </w:tcPr>
          <w:p>
            <w:r>
              <w:rPr>
                <w:b/>
                <w:bCs/>
                <w:color w:val="FFFFFF"/>
              </w:rPr>
              <w:t xml:space="preserve">Likelihood</w:t>
            </w:r>
          </w:p>
        </w:tc>
        <w:tc>
          <w:tcPr>
            <w:tcW w:type="dxa" w:w="398"/>
            <w:shd w:fill="334155" w:color="auto" w:val="clear"/>
            <w:tcMar>
              <w:top w:type="dxa" w:w="80"/>
              <w:left w:type="dxa" w:w="100"/>
              <w:bottom w:type="dxa" w:w="80"/>
              <w:right w:type="dxa" w:w="100"/>
            </w:tcMar>
            <w:vAlign w:val="center"/>
          </w:tcPr>
          <w:p>
            <w:r>
              <w:rPr>
                <w:b/>
                <w:bCs/>
                <w:color w:val="FFFFFF"/>
              </w:rPr>
              <w:t xml:space="preserve">Impact</w:t>
            </w:r>
          </w:p>
        </w:tc>
        <w:tc>
          <w:tcPr>
            <w:tcW w:type="dxa" w:w="4868"/>
            <w:shd w:fill="334155" w:color="auto" w:val="clear"/>
            <w:tcMar>
              <w:top w:type="dxa" w:w="80"/>
              <w:left w:type="dxa" w:w="100"/>
              <w:bottom w:type="dxa" w:w="80"/>
              <w:right w:type="dxa" w:w="100"/>
            </w:tcMar>
            <w:vAlign w:val="center"/>
          </w:tcPr>
          <w:p>
            <w:r>
              <w:rPr>
                <w:b/>
                <w:bCs/>
                <w:color w:val="FFFFFF"/>
              </w:rPr>
              <w:t xml:space="preserve">Mitigation</w:t>
            </w:r>
          </w:p>
        </w:tc>
      </w:tr>
      <w:tr>
        <w:tc>
          <w:tcPr>
            <w:tcW w:type="dxa" w:w="3362"/>
            <w:tcMar>
              <w:top w:type="dxa" w:w="80"/>
              <w:left w:type="dxa" w:w="100"/>
              <w:bottom w:type="dxa" w:w="80"/>
              <w:right w:type="dxa" w:w="100"/>
            </w:tcMar>
            <w:vAlign w:val="center"/>
          </w:tcPr>
          <w:p>
            <w:pPr>
              <w:spacing w:after="0"/>
            </w:pPr>
            <w:r>
              <w:rPr>
                <w:b/>
                <w:bCs/>
              </w:rPr>
              <w:t xml:space="preserve">Running out of cash before reaching break-even</w:t>
            </w:r>
            <w:r>
              <w:t xml:space="preserve"> (the single most common startup failure mode)</w:t>
            </w:r>
          </w:p>
        </w:tc>
        <w:tc>
          <w:tcPr>
            <w:tcW w:type="dxa" w:w="398"/>
            <w:tcMar>
              <w:top w:type="dxa" w:w="80"/>
              <w:left w:type="dxa" w:w="100"/>
              <w:bottom w:type="dxa" w:w="80"/>
              <w:right w:type="dxa" w:w="100"/>
            </w:tcMar>
            <w:vAlign w:val="center"/>
          </w:tcPr>
          <w:p>
            <w:pPr>
              <w:spacing w:after="0"/>
            </w:pPr>
            <w:r>
              <w:t xml:space="preserve">Medium-High</w:t>
            </w:r>
          </w:p>
        </w:tc>
        <w:tc>
          <w:tcPr>
            <w:tcW w:type="dxa" w:w="398"/>
            <w:tcMar>
              <w:top w:type="dxa" w:w="80"/>
              <w:left w:type="dxa" w:w="100"/>
              <w:bottom w:type="dxa" w:w="80"/>
              <w:right w:type="dxa" w:w="100"/>
            </w:tcMar>
            <w:vAlign w:val="center"/>
          </w:tcPr>
          <w:p>
            <w:pPr>
              <w:spacing w:after="0"/>
            </w:pPr>
            <w:r>
              <w:t xml:space="preserve">Very High</w:t>
            </w:r>
          </w:p>
        </w:tc>
        <w:tc>
          <w:tcPr>
            <w:tcW w:type="dxa" w:w="4868"/>
            <w:tcMar>
              <w:top w:type="dxa" w:w="80"/>
              <w:left w:type="dxa" w:w="100"/>
              <w:bottom w:type="dxa" w:w="80"/>
              <w:right w:type="dxa" w:w="100"/>
            </w:tcMar>
            <w:vAlign w:val="center"/>
          </w:tcPr>
          <w:p>
            <w:pPr>
              <w:spacing w:after="0"/>
            </w:pPr>
            <w:r>
              <w:t xml:space="preserve">Stage spending in phases (Phase 0 lean validation → Phase 1 full launch) rather than committing the full budget upfront; keep 6 months of runway as a hard rule; explore Kafalah-guaranteed SME financing to reduce reliance on pure equity (see Financial Plan (Chapter 6))</w:t>
            </w:r>
          </w:p>
        </w:tc>
      </w:tr>
      <w:tr>
        <w:tc>
          <w:tcPr>
            <w:tcW w:type="dxa" w:w="3362"/>
            <w:shd w:fill="F1F5F9" w:color="auto" w:val="clear"/>
            <w:tcMar>
              <w:top w:type="dxa" w:w="80"/>
              <w:left w:type="dxa" w:w="100"/>
              <w:bottom w:type="dxa" w:w="80"/>
              <w:right w:type="dxa" w:w="100"/>
            </w:tcMar>
            <w:vAlign w:val="center"/>
          </w:tcPr>
          <w:p>
            <w:pPr>
              <w:spacing w:after="0"/>
            </w:pPr>
            <w:r>
              <w:rPr>
                <w:b/>
                <w:bCs/>
              </w:rPr>
              <w:t xml:space="preserve">Cash-flow mismatch</w:t>
            </w:r>
            <w:r>
              <w:t xml:space="preserve"> — you may need to pay contractors quickly to keep them happy, while customer payment/refund cycles and gateway settlement can lag</w:t>
            </w:r>
          </w:p>
        </w:tc>
        <w:tc>
          <w:tcPr>
            <w:tcW w:type="dxa" w:w="398"/>
            <w:shd w:fill="F1F5F9" w:color="auto" w:val="clear"/>
            <w:tcMar>
              <w:top w:type="dxa" w:w="80"/>
              <w:left w:type="dxa" w:w="100"/>
              <w:bottom w:type="dxa" w:w="80"/>
              <w:right w:type="dxa" w:w="100"/>
            </w:tcMar>
            <w:vAlign w:val="center"/>
          </w:tcPr>
          <w:p>
            <w:pPr>
              <w:spacing w:after="0"/>
            </w:pPr>
            <w:r>
              <w:t xml:space="preserve">Medium</w:t>
            </w:r>
          </w:p>
        </w:tc>
        <w:tc>
          <w:tcPr>
            <w:tcW w:type="dxa" w:w="398"/>
            <w:shd w:fill="F1F5F9" w:color="auto" w:val="clear"/>
            <w:tcMar>
              <w:top w:type="dxa" w:w="80"/>
              <w:left w:type="dxa" w:w="100"/>
              <w:bottom w:type="dxa" w:w="80"/>
              <w:right w:type="dxa" w:w="100"/>
            </w:tcMar>
            <w:vAlign w:val="center"/>
          </w:tcPr>
          <w:p>
            <w:pPr>
              <w:spacing w:after="0"/>
            </w:pPr>
            <w:r>
              <w:t xml:space="preserve">Medium</w:t>
            </w:r>
          </w:p>
        </w:tc>
        <w:tc>
          <w:tcPr>
            <w:tcW w:type="dxa" w:w="4868"/>
            <w:shd w:fill="F1F5F9" w:color="auto" w:val="clear"/>
            <w:tcMar>
              <w:top w:type="dxa" w:w="80"/>
              <w:left w:type="dxa" w:w="100"/>
              <w:bottom w:type="dxa" w:w="80"/>
              <w:right w:type="dxa" w:w="100"/>
            </w:tcMar>
            <w:vAlign w:val="center"/>
          </w:tcPr>
          <w:p>
            <w:pPr>
              <w:spacing w:after="0"/>
            </w:pPr>
            <w:r>
              <w:t xml:space="preserve">Negotiate reasonable payment gateway settlement terms upfront; keep a working-capital buffer specifically earmarked for contractor payouts, separate from operating cash</w:t>
            </w:r>
          </w:p>
        </w:tc>
      </w:tr>
      <w:tr>
        <w:tc>
          <w:tcPr>
            <w:tcW w:type="dxa" w:w="3362"/>
            <w:tcMar>
              <w:top w:type="dxa" w:w="80"/>
              <w:left w:type="dxa" w:w="100"/>
              <w:bottom w:type="dxa" w:w="80"/>
              <w:right w:type="dxa" w:w="100"/>
            </w:tcMar>
            <w:vAlign w:val="center"/>
          </w:tcPr>
          <w:p>
            <w:pPr>
              <w:spacing w:after="0"/>
            </w:pPr>
            <w:r>
              <w:rPr>
                <w:b/>
                <w:bCs/>
              </w:rPr>
              <w:t xml:space="preserve">Currency/inflation exposure on imported spare parts</w:t>
            </w:r>
            <w:r>
              <w:t xml:space="preserve"> (AC units, water heaters, fixtures often import-linked)</w:t>
            </w:r>
          </w:p>
        </w:tc>
        <w:tc>
          <w:tcPr>
            <w:tcW w:type="dxa" w:w="398"/>
            <w:tcMar>
              <w:top w:type="dxa" w:w="80"/>
              <w:left w:type="dxa" w:w="100"/>
              <w:bottom w:type="dxa" w:w="80"/>
              <w:right w:type="dxa" w:w="100"/>
            </w:tcMar>
            <w:vAlign w:val="center"/>
          </w:tcPr>
          <w:p>
            <w:pPr>
              <w:spacing w:after="0"/>
            </w:pPr>
            <w:r>
              <w:t xml:space="preserve">Low-Medium</w:t>
            </w:r>
          </w:p>
        </w:tc>
        <w:tc>
          <w:tcPr>
            <w:tcW w:type="dxa" w:w="398"/>
            <w:tcMar>
              <w:top w:type="dxa" w:w="80"/>
              <w:left w:type="dxa" w:w="100"/>
              <w:bottom w:type="dxa" w:w="80"/>
              <w:right w:type="dxa" w:w="100"/>
            </w:tcMar>
            <w:vAlign w:val="center"/>
          </w:tcPr>
          <w:p>
            <w:pPr>
              <w:spacing w:after="0"/>
            </w:pPr>
            <w:r>
              <w:t xml:space="preserve">Low-Medium</w:t>
            </w:r>
          </w:p>
        </w:tc>
        <w:tc>
          <w:tcPr>
            <w:tcW w:type="dxa" w:w="4868"/>
            <w:tcMar>
              <w:top w:type="dxa" w:w="80"/>
              <w:left w:type="dxa" w:w="100"/>
              <w:bottom w:type="dxa" w:w="80"/>
              <w:right w:type="dxa" w:w="100"/>
            </w:tcMar>
            <w:vAlign w:val="center"/>
          </w:tcPr>
          <w:p>
            <w:pPr>
              <w:spacing w:after="0"/>
            </w:pPr>
            <w:r>
              <w:t xml:space="preserve">Since parts are typically sourced and priced by the contractor, not us, this mostly passes through — but factor it into how often your price bands need revisiting</w:t>
            </w:r>
          </w:p>
        </w:tc>
      </w:tr>
    </w:tbl>
    <w:p>
      <w:pPr>
        <w:spacing w:after="200"/>
      </w:pPr>
    </w:p>
    <w:p>
      <w:pPr>
        <w:pStyle w:val="Heading2"/>
        <w:spacing w:after="160" w:before="360"/>
      </w:pPr>
      <w:r>
        <w:t xml:space="preserve">5.5 Regulatory &amp; legal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5"/>
        <w:gridCol w:w="428"/>
        <w:gridCol w:w="1524"/>
        <w:gridCol w:w="3359"/>
      </w:tblGrid>
      <w:tr>
        <w:trPr>
          <w:tblHeader/>
        </w:trPr>
        <w:tc>
          <w:tcPr>
            <w:tcW w:type="dxa" w:w="3715"/>
            <w:shd w:fill="334155" w:color="auto" w:val="clear"/>
            <w:tcMar>
              <w:top w:type="dxa" w:w="80"/>
              <w:left w:type="dxa" w:w="100"/>
              <w:bottom w:type="dxa" w:w="80"/>
              <w:right w:type="dxa" w:w="100"/>
            </w:tcMar>
            <w:vAlign w:val="center"/>
          </w:tcPr>
          <w:p>
            <w:r>
              <w:rPr>
                <w:b/>
                <w:bCs/>
                <w:color w:val="FFFFFF"/>
              </w:rPr>
              <w:t xml:space="preserve">Risk</w:t>
            </w:r>
          </w:p>
        </w:tc>
        <w:tc>
          <w:tcPr>
            <w:tcW w:type="dxa" w:w="428"/>
            <w:shd w:fill="334155" w:color="auto" w:val="clear"/>
            <w:tcMar>
              <w:top w:type="dxa" w:w="80"/>
              <w:left w:type="dxa" w:w="100"/>
              <w:bottom w:type="dxa" w:w="80"/>
              <w:right w:type="dxa" w:w="100"/>
            </w:tcMar>
            <w:vAlign w:val="center"/>
          </w:tcPr>
          <w:p>
            <w:r>
              <w:rPr>
                <w:b/>
                <w:bCs/>
                <w:color w:val="FFFFFF"/>
              </w:rPr>
              <w:t xml:space="preserve">Likelihood</w:t>
            </w:r>
          </w:p>
        </w:tc>
        <w:tc>
          <w:tcPr>
            <w:tcW w:type="dxa" w:w="1524"/>
            <w:shd w:fill="334155" w:color="auto" w:val="clear"/>
            <w:tcMar>
              <w:top w:type="dxa" w:w="80"/>
              <w:left w:type="dxa" w:w="100"/>
              <w:bottom w:type="dxa" w:w="80"/>
              <w:right w:type="dxa" w:w="100"/>
            </w:tcMar>
            <w:vAlign w:val="center"/>
          </w:tcPr>
          <w:p>
            <w:r>
              <w:rPr>
                <w:b/>
                <w:bCs/>
                <w:color w:val="FFFFFF"/>
              </w:rPr>
              <w:t xml:space="preserve">Impact</w:t>
            </w:r>
          </w:p>
        </w:tc>
        <w:tc>
          <w:tcPr>
            <w:tcW w:type="dxa" w:w="3359"/>
            <w:shd w:fill="334155" w:color="auto" w:val="clear"/>
            <w:tcMar>
              <w:top w:type="dxa" w:w="80"/>
              <w:left w:type="dxa" w:w="100"/>
              <w:bottom w:type="dxa" w:w="80"/>
              <w:right w:type="dxa" w:w="100"/>
            </w:tcMar>
            <w:vAlign w:val="center"/>
          </w:tcPr>
          <w:p>
            <w:r>
              <w:rPr>
                <w:b/>
                <w:bCs/>
                <w:color w:val="FFFFFF"/>
              </w:rPr>
              <w:t xml:space="preserve">Mitigation</w:t>
            </w:r>
          </w:p>
        </w:tc>
      </w:tr>
      <w:tr>
        <w:tc>
          <w:tcPr>
            <w:tcW w:type="dxa" w:w="3715"/>
            <w:tcMar>
              <w:top w:type="dxa" w:w="80"/>
              <w:left w:type="dxa" w:w="100"/>
              <w:bottom w:type="dxa" w:w="80"/>
              <w:right w:type="dxa" w:w="100"/>
            </w:tcMar>
            <w:vAlign w:val="center"/>
          </w:tcPr>
          <w:p>
            <w:pPr>
              <w:spacing w:after="0"/>
            </w:pPr>
            <w:r>
              <w:rPr>
                <w:b/>
                <w:bCs/>
              </w:rPr>
              <w:t xml:space="preserve">Misclassifying the business's licensing needs</w:t>
            </w:r>
            <w:r>
              <w:t xml:space="preserve"> (e.g., assuming no trade license is needed when one actually is, given some specific structure you choose)</w:t>
            </w:r>
          </w:p>
        </w:tc>
        <w:tc>
          <w:tcPr>
            <w:tcW w:type="dxa" w:w="428"/>
            <w:tcMar>
              <w:top w:type="dxa" w:w="80"/>
              <w:left w:type="dxa" w:w="100"/>
              <w:bottom w:type="dxa" w:w="80"/>
              <w:right w:type="dxa" w:w="100"/>
            </w:tcMar>
            <w:vAlign w:val="center"/>
          </w:tcPr>
          <w:p>
            <w:pPr>
              <w:spacing w:after="0"/>
            </w:pPr>
            <w:r>
              <w:t xml:space="preserve">Low-Medium</w:t>
            </w:r>
          </w:p>
        </w:tc>
        <w:tc>
          <w:tcPr>
            <w:tcW w:type="dxa" w:w="1524"/>
            <w:tcMar>
              <w:top w:type="dxa" w:w="80"/>
              <w:left w:type="dxa" w:w="100"/>
              <w:bottom w:type="dxa" w:w="80"/>
              <w:right w:type="dxa" w:w="100"/>
            </w:tcMar>
            <w:vAlign w:val="center"/>
          </w:tcPr>
          <w:p>
            <w:pPr>
              <w:spacing w:after="0"/>
            </w:pPr>
            <w:r>
              <w:t xml:space="preserve">Very High</w:t>
            </w:r>
          </w:p>
        </w:tc>
        <w:tc>
          <w:tcPr>
            <w:tcW w:type="dxa" w:w="3359"/>
            <w:tcMar>
              <w:top w:type="dxa" w:w="80"/>
              <w:left w:type="dxa" w:w="100"/>
              <w:bottom w:type="dxa" w:w="80"/>
              <w:right w:type="dxa" w:w="100"/>
            </w:tcMar>
            <w:vAlign w:val="center"/>
          </w:tcPr>
          <w:p>
            <w:pPr>
              <w:spacing w:after="0"/>
            </w:pPr>
            <w:r>
              <w:t xml:space="preserve">This is the #1 reason to get written legal confirmation before launch, not after (see Feasibility Study (Chapter 4) §4.3)</w:t>
            </w:r>
          </w:p>
        </w:tc>
      </w:tr>
      <w:tr>
        <w:tc>
          <w:tcPr>
            <w:tcW w:type="dxa" w:w="3715"/>
            <w:shd w:fill="F1F5F9" w:color="auto" w:val="clear"/>
            <w:tcMar>
              <w:top w:type="dxa" w:w="80"/>
              <w:left w:type="dxa" w:w="100"/>
              <w:bottom w:type="dxa" w:w="80"/>
              <w:right w:type="dxa" w:w="100"/>
            </w:tcMar>
            <w:vAlign w:val="center"/>
          </w:tcPr>
          <w:p>
            <w:pPr>
              <w:spacing w:after="0"/>
            </w:pPr>
            <w:r>
              <w:rPr>
                <w:b/>
                <w:bCs/>
              </w:rPr>
              <w:t xml:space="preserve">Data protection (PDPL) non-compliance</w:t>
            </w:r>
            <w:r>
              <w:t xml:space="preserve"> — mishandling customer home-address and access-schedule data</w:t>
            </w:r>
          </w:p>
        </w:tc>
        <w:tc>
          <w:tcPr>
            <w:tcW w:type="dxa" w:w="428"/>
            <w:shd w:fill="F1F5F9" w:color="auto" w:val="clear"/>
            <w:tcMar>
              <w:top w:type="dxa" w:w="80"/>
              <w:left w:type="dxa" w:w="100"/>
              <w:bottom w:type="dxa" w:w="80"/>
              <w:right w:type="dxa" w:w="100"/>
            </w:tcMar>
            <w:vAlign w:val="center"/>
          </w:tcPr>
          <w:p>
            <w:pPr>
              <w:spacing w:after="0"/>
            </w:pPr>
            <w:r>
              <w:t xml:space="preserve">Low-Medium</w:t>
            </w:r>
          </w:p>
        </w:tc>
        <w:tc>
          <w:tcPr>
            <w:tcW w:type="dxa" w:w="1524"/>
            <w:shd w:fill="F1F5F9" w:color="auto" w:val="clear"/>
            <w:tcMar>
              <w:top w:type="dxa" w:w="80"/>
              <w:left w:type="dxa" w:w="100"/>
              <w:bottom w:type="dxa" w:w="80"/>
              <w:right w:type="dxa" w:w="100"/>
            </w:tcMar>
            <w:vAlign w:val="center"/>
          </w:tcPr>
          <w:p>
            <w:pPr>
              <w:spacing w:after="0"/>
            </w:pPr>
            <w:r>
              <w:t xml:space="preserve">High (fines + reputational damage in a trust-dependent business)</w:t>
            </w:r>
          </w:p>
        </w:tc>
        <w:tc>
          <w:tcPr>
            <w:tcW w:type="dxa" w:w="3359"/>
            <w:shd w:fill="F1F5F9" w:color="auto" w:val="clear"/>
            <w:tcMar>
              <w:top w:type="dxa" w:w="80"/>
              <w:left w:type="dxa" w:w="100"/>
              <w:bottom w:type="dxa" w:w="80"/>
              <w:right w:type="dxa" w:w="100"/>
            </w:tcMar>
            <w:vAlign w:val="center"/>
          </w:tcPr>
          <w:p>
            <w:pPr>
              <w:spacing w:after="0"/>
            </w:pPr>
            <w:r>
              <w:t xml:space="preserve">Build compliance in at the design stage with legal input, not as an afterthought</w:t>
            </w:r>
          </w:p>
        </w:tc>
      </w:tr>
      <w:tr>
        <w:tc>
          <w:tcPr>
            <w:tcW w:type="dxa" w:w="3715"/>
            <w:tcMar>
              <w:top w:type="dxa" w:w="80"/>
              <w:left w:type="dxa" w:w="100"/>
              <w:bottom w:type="dxa" w:w="80"/>
              <w:right w:type="dxa" w:w="100"/>
            </w:tcMar>
            <w:vAlign w:val="center"/>
          </w:tcPr>
          <w:p>
            <w:pPr>
              <w:spacing w:after="0"/>
            </w:pPr>
            <w:r>
              <w:rPr>
                <w:b/>
                <w:bCs/>
              </w:rPr>
              <w:t xml:space="preserve">VAT/e-invoicing non-compliance</w:t>
            </w:r>
            <w:r>
              <w:t xml:space="preserve"> as revenue crosses the mandatory threshold</w:t>
            </w:r>
          </w:p>
        </w:tc>
        <w:tc>
          <w:tcPr>
            <w:tcW w:type="dxa" w:w="428"/>
            <w:tcMar>
              <w:top w:type="dxa" w:w="80"/>
              <w:left w:type="dxa" w:w="100"/>
              <w:bottom w:type="dxa" w:w="80"/>
              <w:right w:type="dxa" w:w="100"/>
            </w:tcMar>
            <w:vAlign w:val="center"/>
          </w:tcPr>
          <w:p>
            <w:pPr>
              <w:spacing w:after="0"/>
            </w:pPr>
            <w:r>
              <w:t xml:space="preserve">Low</w:t>
            </w:r>
          </w:p>
        </w:tc>
        <w:tc>
          <w:tcPr>
            <w:tcW w:type="dxa" w:w="1524"/>
            <w:tcMar>
              <w:top w:type="dxa" w:w="80"/>
              <w:left w:type="dxa" w:w="100"/>
              <w:bottom w:type="dxa" w:w="80"/>
              <w:right w:type="dxa" w:w="100"/>
            </w:tcMar>
            <w:vAlign w:val="center"/>
          </w:tcPr>
          <w:p>
            <w:pPr>
              <w:spacing w:after="0"/>
            </w:pPr>
            <w:r>
              <w:t xml:space="preserve">Medium</w:t>
            </w:r>
          </w:p>
        </w:tc>
        <w:tc>
          <w:tcPr>
            <w:tcW w:type="dxa" w:w="3359"/>
            <w:tcMar>
              <w:top w:type="dxa" w:w="80"/>
              <w:left w:type="dxa" w:w="100"/>
              <w:bottom w:type="dxa" w:w="80"/>
              <w:right w:type="dxa" w:w="100"/>
            </w:tcMar>
            <w:vAlign w:val="center"/>
          </w:tcPr>
          <w:p>
            <w:pPr>
              <w:spacing w:after="0"/>
            </w:pPr>
            <w:r>
              <w:t xml:space="preserve">Register proactively (even voluntarily, pre-threshold, to reclaim input VAT) and use a licensed accountant for e-invoicing setup from day one</w:t>
            </w:r>
          </w:p>
        </w:tc>
      </w:tr>
    </w:tbl>
    <w:p>
      <w:pPr>
        <w:spacing w:after="200"/>
      </w:pPr>
    </w:p>
    <w:p>
      <w:pPr>
        <w:pStyle w:val="Heading2"/>
        <w:spacing w:after="160" w:before="360"/>
      </w:pPr>
      <w:r>
        <w:t xml:space="preserve">5.6 Operational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2"/>
        <w:gridCol w:w="432"/>
        <w:gridCol w:w="432"/>
        <w:gridCol w:w="5090"/>
      </w:tblGrid>
      <w:tr>
        <w:trPr>
          <w:tblHeader/>
        </w:trPr>
        <w:tc>
          <w:tcPr>
            <w:tcW w:type="dxa" w:w="3072"/>
            <w:shd w:fill="334155" w:color="auto" w:val="clear"/>
            <w:tcMar>
              <w:top w:type="dxa" w:w="80"/>
              <w:left w:type="dxa" w:w="100"/>
              <w:bottom w:type="dxa" w:w="80"/>
              <w:right w:type="dxa" w:w="100"/>
            </w:tcMar>
            <w:vAlign w:val="center"/>
          </w:tcPr>
          <w:p>
            <w:r>
              <w:rPr>
                <w:b/>
                <w:bCs/>
                <w:color w:val="FFFFFF"/>
              </w:rPr>
              <w:t xml:space="preserve">Risk</w:t>
            </w:r>
          </w:p>
        </w:tc>
        <w:tc>
          <w:tcPr>
            <w:tcW w:type="dxa" w:w="432"/>
            <w:shd w:fill="334155" w:color="auto" w:val="clear"/>
            <w:tcMar>
              <w:top w:type="dxa" w:w="80"/>
              <w:left w:type="dxa" w:w="100"/>
              <w:bottom w:type="dxa" w:w="80"/>
              <w:right w:type="dxa" w:w="100"/>
            </w:tcMar>
            <w:vAlign w:val="center"/>
          </w:tcPr>
          <w:p>
            <w:r>
              <w:rPr>
                <w:b/>
                <w:bCs/>
                <w:color w:val="FFFFFF"/>
              </w:rPr>
              <w:t xml:space="preserve">Likelihood</w:t>
            </w:r>
          </w:p>
        </w:tc>
        <w:tc>
          <w:tcPr>
            <w:tcW w:type="dxa" w:w="432"/>
            <w:shd w:fill="334155" w:color="auto" w:val="clear"/>
            <w:tcMar>
              <w:top w:type="dxa" w:w="80"/>
              <w:left w:type="dxa" w:w="100"/>
              <w:bottom w:type="dxa" w:w="80"/>
              <w:right w:type="dxa" w:w="100"/>
            </w:tcMar>
            <w:vAlign w:val="center"/>
          </w:tcPr>
          <w:p>
            <w:r>
              <w:rPr>
                <w:b/>
                <w:bCs/>
                <w:color w:val="FFFFFF"/>
              </w:rPr>
              <w:t xml:space="preserve">Impact</w:t>
            </w:r>
          </w:p>
        </w:tc>
        <w:tc>
          <w:tcPr>
            <w:tcW w:type="dxa" w:w="5090"/>
            <w:shd w:fill="334155" w:color="auto" w:val="clear"/>
            <w:tcMar>
              <w:top w:type="dxa" w:w="80"/>
              <w:left w:type="dxa" w:w="100"/>
              <w:bottom w:type="dxa" w:w="80"/>
              <w:right w:type="dxa" w:w="100"/>
            </w:tcMar>
            <w:vAlign w:val="center"/>
          </w:tcPr>
          <w:p>
            <w:r>
              <w:rPr>
                <w:b/>
                <w:bCs/>
                <w:color w:val="FFFFFF"/>
              </w:rPr>
              <w:t xml:space="preserve">Mitigation</w:t>
            </w:r>
          </w:p>
        </w:tc>
      </w:tr>
      <w:tr>
        <w:tc>
          <w:tcPr>
            <w:tcW w:type="dxa" w:w="3072"/>
            <w:tcMar>
              <w:top w:type="dxa" w:w="80"/>
              <w:left w:type="dxa" w:w="100"/>
              <w:bottom w:type="dxa" w:w="80"/>
              <w:right w:type="dxa" w:w="100"/>
            </w:tcMar>
            <w:vAlign w:val="center"/>
          </w:tcPr>
          <w:p>
            <w:pPr>
              <w:spacing w:after="0"/>
            </w:pPr>
            <w:r>
              <w:rPr>
                <w:b/>
                <w:bCs/>
              </w:rPr>
              <w:t xml:space="preserve">Seasonal demand spikes overwhelm contractor capacity</w:t>
            </w:r>
            <w:r>
              <w:t xml:space="preserve"> (everyone's AC breaks in the same July heatwave)</w:t>
            </w:r>
          </w:p>
        </w:tc>
        <w:tc>
          <w:tcPr>
            <w:tcW w:type="dxa" w:w="432"/>
            <w:tcMar>
              <w:top w:type="dxa" w:w="80"/>
              <w:left w:type="dxa" w:w="100"/>
              <w:bottom w:type="dxa" w:w="80"/>
              <w:right w:type="dxa" w:w="100"/>
            </w:tcMar>
            <w:vAlign w:val="center"/>
          </w:tcPr>
          <w:p>
            <w:pPr>
              <w:spacing w:after="0"/>
            </w:pPr>
            <w:r>
              <w:t xml:space="preserve">High (predictable)</w:t>
            </w:r>
          </w:p>
        </w:tc>
        <w:tc>
          <w:tcPr>
            <w:tcW w:type="dxa" w:w="432"/>
            <w:tcMar>
              <w:top w:type="dxa" w:w="80"/>
              <w:left w:type="dxa" w:w="100"/>
              <w:bottom w:type="dxa" w:w="80"/>
              <w:right w:type="dxa" w:w="100"/>
            </w:tcMar>
            <w:vAlign w:val="center"/>
          </w:tcPr>
          <w:p>
            <w:pPr>
              <w:spacing w:after="0"/>
            </w:pPr>
            <w:r>
              <w:t xml:space="preserve">Medium</w:t>
            </w:r>
          </w:p>
        </w:tc>
        <w:tc>
          <w:tcPr>
            <w:tcW w:type="dxa" w:w="5090"/>
            <w:tcMar>
              <w:top w:type="dxa" w:w="80"/>
              <w:left w:type="dxa" w:w="100"/>
              <w:bottom w:type="dxa" w:w="80"/>
              <w:right w:type="dxa" w:w="100"/>
            </w:tcMar>
            <w:vAlign w:val="center"/>
          </w:tcPr>
          <w:p>
            <w:pPr>
              <w:spacing w:after="0"/>
            </w:pPr>
            <w:r>
              <w:t xml:space="preserve">Plan contractor recruitment capacity </w:t>
            </w:r>
            <w:r>
              <w:rPr>
                <w:i/>
                <w:iCs/>
              </w:rPr>
              <w:t xml:space="preserve">ahead</w:t>
            </w:r>
            <w:r>
              <w:t xml:space="preserve"> of the summer season specifically; consider a "surge" pricing or priority-queue mechanic (used transparently, this is a well-understood pattern from ride-hailing apps)</w:t>
            </w:r>
          </w:p>
        </w:tc>
      </w:tr>
      <w:tr>
        <w:tc>
          <w:tcPr>
            <w:tcW w:type="dxa" w:w="3072"/>
            <w:shd w:fill="F1F5F9" w:color="auto" w:val="clear"/>
            <w:tcMar>
              <w:top w:type="dxa" w:w="80"/>
              <w:left w:type="dxa" w:w="100"/>
              <w:bottom w:type="dxa" w:w="80"/>
              <w:right w:type="dxa" w:w="100"/>
            </w:tcMar>
            <w:vAlign w:val="center"/>
          </w:tcPr>
          <w:p>
            <w:pPr>
              <w:spacing w:after="0"/>
            </w:pPr>
            <w:r>
              <w:rPr>
                <w:b/>
                <w:bCs/>
              </w:rPr>
              <w:t xml:space="preserve">Key-person dependency</w:t>
            </w:r>
            <w:r>
              <w:t xml:space="preserve"> — if the founding team is small, losing one person (illness, cofounder dispute) can stall the business</w:t>
            </w:r>
          </w:p>
        </w:tc>
        <w:tc>
          <w:tcPr>
            <w:tcW w:type="dxa" w:w="432"/>
            <w:shd w:fill="F1F5F9" w:color="auto" w:val="clear"/>
            <w:tcMar>
              <w:top w:type="dxa" w:w="80"/>
              <w:left w:type="dxa" w:w="100"/>
              <w:bottom w:type="dxa" w:w="80"/>
              <w:right w:type="dxa" w:w="100"/>
            </w:tcMar>
            <w:vAlign w:val="center"/>
          </w:tcPr>
          <w:p>
            <w:pPr>
              <w:spacing w:after="0"/>
            </w:pPr>
            <w:r>
              <w:t xml:space="preserve">Medium</w:t>
            </w:r>
          </w:p>
        </w:tc>
        <w:tc>
          <w:tcPr>
            <w:tcW w:type="dxa" w:w="432"/>
            <w:shd w:fill="F1F5F9" w:color="auto" w:val="clear"/>
            <w:tcMar>
              <w:top w:type="dxa" w:w="80"/>
              <w:left w:type="dxa" w:w="100"/>
              <w:bottom w:type="dxa" w:w="80"/>
              <w:right w:type="dxa" w:w="100"/>
            </w:tcMar>
            <w:vAlign w:val="center"/>
          </w:tcPr>
          <w:p>
            <w:pPr>
              <w:spacing w:after="0"/>
            </w:pPr>
            <w:r>
              <w:t xml:space="preserve">Medium</w:t>
            </w:r>
          </w:p>
        </w:tc>
        <w:tc>
          <w:tcPr>
            <w:tcW w:type="dxa" w:w="5090"/>
            <w:shd w:fill="F1F5F9" w:color="auto" w:val="clear"/>
            <w:tcMar>
              <w:top w:type="dxa" w:w="80"/>
              <w:left w:type="dxa" w:w="100"/>
              <w:bottom w:type="dxa" w:w="80"/>
              <w:right w:type="dxa" w:w="100"/>
            </w:tcMar>
            <w:vAlign w:val="center"/>
          </w:tcPr>
          <w:p>
            <w:pPr>
              <w:spacing w:after="0"/>
            </w:pPr>
            <w:r>
              <w:t xml:space="preserve">Document processes as you build them (this plan is a start); avoid single-person dependency on both the technical and operational sides as early as headcount allows</w:t>
            </w:r>
          </w:p>
        </w:tc>
      </w:tr>
    </w:tbl>
    <w:p>
      <w:pPr>
        <w:spacing w:after="200"/>
      </w:pPr>
    </w:p>
    <w:p>
      <w:pPr>
        <w:pStyle w:val="Heading2"/>
        <w:spacing w:after="160" w:before="360"/>
      </w:pPr>
      <w:r>
        <w:t xml:space="preserve">5.7 Summary: the three risks worth losing sleep over</w:t>
      </w:r>
    </w:p>
    <w:p>
      <w:pPr>
        <w:spacing w:after="80"/>
        <w:ind w:left="720" w:hanging="360"/>
      </w:pPr>
      <w:r>
        <w:t xml:space="preserve">1.  </w:t>
      </w:r>
      <w:r>
        <w:rPr>
          <w:b/>
          <w:bCs/>
        </w:rPr>
        <w:t xml:space="preserve">Supply-side density</w:t>
      </w:r>
      <w:r>
        <w:t xml:space="preserve"> — not having enough good, reliable contractors per city/trade at launch. This alone can sink the customer trust the entire business depends on.</w:t>
      </w:r>
    </w:p>
    <w:p>
      <w:pPr>
        <w:spacing w:after="80"/>
        <w:ind w:left="720" w:hanging="360"/>
      </w:pPr>
      <w:r>
        <w:t xml:space="preserve">2.  </w:t>
      </w:r>
      <w:r>
        <w:rPr>
          <w:b/>
          <w:bCs/>
        </w:rPr>
        <w:t xml:space="preserve">Cash runway</w:t>
      </w:r>
      <w:r>
        <w:t xml:space="preserve"> — underestimating how long it takes to reach density and break-even, and running out of money first.</w:t>
      </w:r>
    </w:p>
    <w:p>
      <w:pPr>
        <w:spacing w:after="80"/>
        <w:ind w:left="720" w:hanging="360"/>
      </w:pPr>
      <w:r>
        <w:t xml:space="preserve">3.  </w:t>
      </w:r>
      <w:r>
        <w:rPr>
          <w:b/>
          <w:bCs/>
        </w:rPr>
        <w:t xml:space="preserve">The licensing question</w:t>
      </w:r>
      <w:r>
        <w:t xml:space="preserve"> — proceeding on an assumption about trade-license requirements that turns out to be wrong. Get it in writing before you spend real money.</w:t>
      </w:r>
    </w:p>
    <w:p>
      <w:pPr>
        <w:spacing w:after="160"/>
      </w:pPr>
      <w:r>
        <w:t xml:space="preserve">Everything else on this page is manageable with good process; these three deserve dedicated attention before and during launch.</w:t>
      </w:r>
    </w:p>
    <w:p>
      <w:pPr>
        <w:pStyle w:val="Heading1"/>
        <w:pageBreakBefore/>
        <w:spacing w:after="240" w:before="0"/>
      </w:pPr>
      <w:r>
        <w:t xml:space="preserve">6. Financial Plan</w:t>
      </w:r>
    </w:p>
    <w:p>
      <w:pPr>
        <w:spacing w:after="160"/>
      </w:pPr>
      <w:r>
        <w:rPr>
          <w:b/>
          <w:bCs/>
        </w:rPr>
        <w:t xml:space="preserve">Important framing before the numbers</w:t>
      </w:r>
      <w:r>
        <w:t xml:space="preserve">: every figure below is a </w:t>
      </w:r>
      <w:r>
        <w:rPr>
          <w:b/>
          <w:bCs/>
        </w:rPr>
        <w:t xml:space="preserve">planning-grade estimate</w:t>
      </w:r>
      <w:r>
        <w:t xml:space="preserve">, built from comparable-business logic and current KSA market data (cited where used) — not a quote from any vendor. Treat this as the </w:t>
      </w:r>
      <w:r>
        <w:rPr>
          <w:i/>
          <w:iCs/>
        </w:rPr>
        <w:t xml:space="preserve">structure</w:t>
      </w:r>
      <w:r>
        <w:t xml:space="preserve"> of your budget (what categories exist, how they relate to each other, what a realistic ratio between them looks like), and replace each line with a real quote as you get one. All figures in SAR unless noted (1 USD ≈ 3.75 SAR).</w:t>
      </w:r>
    </w:p>
    <w:p>
      <w:pPr>
        <w:pStyle w:val="Heading2"/>
        <w:spacing w:after="160" w:before="360"/>
      </w:pPr>
      <w:r>
        <w:t xml:space="preserve">6.1 The two-stage funding approach (recommended)</w:t>
      </w:r>
    </w:p>
    <w:p>
      <w:pPr>
        <w:spacing w:after="160"/>
      </w:pPr>
      <w:r>
        <w:t xml:space="preserve">Rather than raising and spending one large lump sum, we recommend funding this in two stages — this is the single biggest way to reduce your financial risk (see Risk Analysis (Chapter 5) §5.4):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24"/>
        <w:gridCol w:w="4540"/>
        <w:gridCol w:w="3072"/>
        <w:gridCol w:w="490"/>
      </w:tblGrid>
      <w:tr>
        <w:trPr>
          <w:tblHeader/>
        </w:trPr>
        <w:tc>
          <w:tcPr>
            <w:tcW w:type="dxa" w:w="924"/>
            <w:shd w:fill="334155" w:color="auto" w:val="clear"/>
            <w:tcMar>
              <w:top w:type="dxa" w:w="80"/>
              <w:left w:type="dxa" w:w="100"/>
              <w:bottom w:type="dxa" w:w="80"/>
              <w:right w:type="dxa" w:w="100"/>
            </w:tcMar>
            <w:vAlign w:val="center"/>
          </w:tcPr>
          <w:p>
            <w:r>
              <w:rPr>
                <w:b/>
                <w:bCs/>
                <w:color w:val="FFFFFF"/>
              </w:rPr>
              <w:t xml:space="preserve">Stage</w:t>
            </w:r>
          </w:p>
        </w:tc>
        <w:tc>
          <w:tcPr>
            <w:tcW w:type="dxa" w:w="4540"/>
            <w:shd w:fill="334155" w:color="auto" w:val="clear"/>
            <w:tcMar>
              <w:top w:type="dxa" w:w="80"/>
              <w:left w:type="dxa" w:w="100"/>
              <w:bottom w:type="dxa" w:w="80"/>
              <w:right w:type="dxa" w:w="100"/>
            </w:tcMar>
            <w:vAlign w:val="center"/>
          </w:tcPr>
          <w:p>
            <w:r>
              <w:rPr>
                <w:b/>
                <w:bCs/>
                <w:color w:val="FFFFFF"/>
              </w:rPr>
              <w:t xml:space="preserve">Purpose</w:t>
            </w:r>
          </w:p>
        </w:tc>
        <w:tc>
          <w:tcPr>
            <w:tcW w:type="dxa" w:w="3072"/>
            <w:shd w:fill="334155" w:color="auto" w:val="clear"/>
            <w:tcMar>
              <w:top w:type="dxa" w:w="80"/>
              <w:left w:type="dxa" w:w="100"/>
              <w:bottom w:type="dxa" w:w="80"/>
              <w:right w:type="dxa" w:w="100"/>
            </w:tcMar>
            <w:vAlign w:val="center"/>
          </w:tcPr>
          <w:p>
            <w:r>
              <w:rPr>
                <w:b/>
                <w:bCs/>
                <w:color w:val="FFFFFF"/>
              </w:rPr>
              <w:t xml:space="preserve">Capital needed</w:t>
            </w:r>
          </w:p>
        </w:tc>
        <w:tc>
          <w:tcPr>
            <w:tcW w:type="dxa" w:w="490"/>
            <w:shd w:fill="334155" w:color="auto" w:val="clear"/>
            <w:tcMar>
              <w:top w:type="dxa" w:w="80"/>
              <w:left w:type="dxa" w:w="100"/>
              <w:bottom w:type="dxa" w:w="80"/>
              <w:right w:type="dxa" w:w="100"/>
            </w:tcMar>
            <w:vAlign w:val="center"/>
          </w:tcPr>
          <w:p>
            <w:r>
              <w:rPr>
                <w:b/>
                <w:bCs/>
                <w:color w:val="FFFFFF"/>
              </w:rPr>
              <w:t xml:space="preserve">Duration</w:t>
            </w:r>
          </w:p>
        </w:tc>
      </w:tr>
      <w:tr>
        <w:tc>
          <w:tcPr>
            <w:tcW w:type="dxa" w:w="924"/>
            <w:tcMar>
              <w:top w:type="dxa" w:w="80"/>
              <w:left w:type="dxa" w:w="100"/>
              <w:bottom w:type="dxa" w:w="80"/>
              <w:right w:type="dxa" w:w="100"/>
            </w:tcMar>
            <w:vAlign w:val="center"/>
          </w:tcPr>
          <w:p>
            <w:pPr>
              <w:spacing w:after="0"/>
            </w:pPr>
            <w:r>
              <w:rPr>
                <w:b/>
                <w:bCs/>
              </w:rPr>
              <w:t xml:space="preserve">Stage 0 — Lean Validation</w:t>
            </w:r>
          </w:p>
        </w:tc>
        <w:tc>
          <w:tcPr>
            <w:tcW w:type="dxa" w:w="4540"/>
            <w:tcMar>
              <w:top w:type="dxa" w:w="80"/>
              <w:left w:type="dxa" w:w="100"/>
              <w:bottom w:type="dxa" w:w="80"/>
              <w:right w:type="dxa" w:w="100"/>
            </w:tcMar>
            <w:vAlign w:val="center"/>
          </w:tcPr>
          <w:p>
            <w:pPr>
              <w:spacing w:after="0"/>
            </w:pPr>
            <w:r>
              <w:t xml:space="preserve">Prove real customer and contractor demand before big spend, using a simple landing page + WhatsApp Business booking + a 2-3 person manual dispatch team, in Jeddah only</w:t>
            </w:r>
          </w:p>
        </w:tc>
        <w:tc>
          <w:tcPr>
            <w:tcW w:type="dxa" w:w="3072"/>
            <w:tcMar>
              <w:top w:type="dxa" w:w="80"/>
              <w:left w:type="dxa" w:w="100"/>
              <w:bottom w:type="dxa" w:w="80"/>
              <w:right w:type="dxa" w:w="100"/>
            </w:tcMar>
            <w:vAlign w:val="center"/>
          </w:tcPr>
          <w:p>
            <w:pPr>
              <w:spacing w:after="0"/>
            </w:pPr>
            <w:r>
              <w:rPr>
                <w:b/>
                <w:bCs/>
              </w:rPr>
              <w:t xml:space="preserve">SAR 80,000 – 120,000</w:t>
            </w:r>
          </w:p>
        </w:tc>
        <w:tc>
          <w:tcPr>
            <w:tcW w:type="dxa" w:w="490"/>
            <w:tcMar>
              <w:top w:type="dxa" w:w="80"/>
              <w:left w:type="dxa" w:w="100"/>
              <w:bottom w:type="dxa" w:w="80"/>
              <w:right w:type="dxa" w:w="100"/>
            </w:tcMar>
            <w:vAlign w:val="center"/>
          </w:tcPr>
          <w:p>
            <w:pPr>
              <w:spacing w:after="0"/>
            </w:pPr>
            <w:r>
              <w:t xml:space="preserve">2–3 months</w:t>
            </w:r>
          </w:p>
        </w:tc>
      </w:tr>
      <w:tr>
        <w:tc>
          <w:tcPr>
            <w:tcW w:type="dxa" w:w="924"/>
            <w:shd w:fill="F1F5F9" w:color="auto" w:val="clear"/>
            <w:tcMar>
              <w:top w:type="dxa" w:w="80"/>
              <w:left w:type="dxa" w:w="100"/>
              <w:bottom w:type="dxa" w:w="80"/>
              <w:right w:type="dxa" w:w="100"/>
            </w:tcMar>
            <w:vAlign w:val="center"/>
          </w:tcPr>
          <w:p>
            <w:pPr>
              <w:spacing w:after="0"/>
            </w:pPr>
            <w:r>
              <w:rPr>
                <w:b/>
                <w:bCs/>
              </w:rPr>
              <w:t xml:space="preserve">Stage 1 — Full 3-City Buildout</w:t>
            </w:r>
          </w:p>
        </w:tc>
        <w:tc>
          <w:tcPr>
            <w:tcW w:type="dxa" w:w="4540"/>
            <w:shd w:fill="F1F5F9" w:color="auto" w:val="clear"/>
            <w:tcMar>
              <w:top w:type="dxa" w:w="80"/>
              <w:left w:type="dxa" w:w="100"/>
              <w:bottom w:type="dxa" w:w="80"/>
              <w:right w:type="dxa" w:w="100"/>
            </w:tcMar>
            <w:vAlign w:val="center"/>
          </w:tcPr>
          <w:p>
            <w:pPr>
              <w:spacing w:after="0"/>
            </w:pPr>
            <w:r>
              <w:t xml:space="preserve">Full app (customer + contractor + admin), proper team, launch across Jeddah → Riyadh → Dammam, plus enough operating runway to reach break-even</w:t>
            </w:r>
          </w:p>
        </w:tc>
        <w:tc>
          <w:tcPr>
            <w:tcW w:type="dxa" w:w="3072"/>
            <w:shd w:fill="F1F5F9" w:color="auto" w:val="clear"/>
            <w:tcMar>
              <w:top w:type="dxa" w:w="80"/>
              <w:left w:type="dxa" w:w="100"/>
              <w:bottom w:type="dxa" w:w="80"/>
              <w:right w:type="dxa" w:w="100"/>
            </w:tcMar>
            <w:vAlign w:val="center"/>
          </w:tcPr>
          <w:p>
            <w:pPr>
              <w:spacing w:after="0"/>
            </w:pPr>
            <w:r>
              <w:rPr>
                <w:b/>
                <w:bCs/>
              </w:rPr>
              <w:t xml:space="preserve">SAR 900,000 – 1,300,000</w:t>
            </w:r>
            <w:r>
              <w:t xml:space="preserve"> (one-time build ≈ 550,000–650,000 + operating runway to break-even ≈ 350,000–650,000)</w:t>
            </w:r>
          </w:p>
        </w:tc>
        <w:tc>
          <w:tcPr>
            <w:tcW w:type="dxa" w:w="490"/>
            <w:shd w:fill="F1F5F9" w:color="auto" w:val="clear"/>
            <w:tcMar>
              <w:top w:type="dxa" w:w="80"/>
              <w:left w:type="dxa" w:w="100"/>
              <w:bottom w:type="dxa" w:w="80"/>
              <w:right w:type="dxa" w:w="100"/>
            </w:tcMar>
            <w:vAlign w:val="center"/>
          </w:tcPr>
          <w:p>
            <w:pPr>
              <w:spacing w:after="0"/>
            </w:pPr>
            <w:r>
              <w:t xml:space="preserve">Months 3–18</w:t>
            </w:r>
          </w:p>
        </w:tc>
      </w:tr>
    </w:tbl>
    <w:p>
      <w:pPr>
        <w:spacing w:after="200"/>
      </w:pPr>
    </w:p>
    <w:p>
      <w:pPr>
        <w:spacing w:after="160"/>
      </w:pPr>
      <w:r>
        <w:rPr>
          <w:b/>
          <w:bCs/>
        </w:rPr>
        <w:t xml:space="preserve">Only commit to Stage 1 if Stage 0 shows real signal</w:t>
      </w:r>
      <w:r>
        <w:t xml:space="preserve"> (a landing page converting visitors to bookings, contractors willing to sign on, jobs actually getting completed at acceptable quality). This is the difference between spending SAR 100,000 to learn something versus spending SAR 1,000,000+ to learn the same thing the hard way.</w:t>
      </w:r>
    </w:p>
    <w:p>
      <w:pPr>
        <w:pStyle w:val="Heading2"/>
        <w:spacing w:after="160" w:before="360"/>
      </w:pPr>
      <w:r>
        <w:t xml:space="preserve">6.2 Stage 0 — Lean Validation budget (one-time + 2-3 months running)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48"/>
        <w:gridCol w:w="2778"/>
      </w:tblGrid>
      <w:tr>
        <w:trPr>
          <w:tblHeader/>
        </w:trPr>
        <w:tc>
          <w:tcPr>
            <w:tcW w:type="dxa" w:w="6248"/>
            <w:shd w:fill="334155" w:color="auto" w:val="clear"/>
            <w:tcMar>
              <w:top w:type="dxa" w:w="80"/>
              <w:left w:type="dxa" w:w="100"/>
              <w:bottom w:type="dxa" w:w="80"/>
              <w:right w:type="dxa" w:w="100"/>
            </w:tcMar>
            <w:vAlign w:val="center"/>
          </w:tcPr>
          <w:p>
            <w:r>
              <w:rPr>
                <w:b/>
                <w:bCs/>
                <w:color w:val="FFFFFF"/>
              </w:rPr>
              <w:t xml:space="preserve">Item</w:t>
            </w:r>
          </w:p>
        </w:tc>
        <w:tc>
          <w:tcPr>
            <w:tcW w:type="dxa" w:w="2778"/>
            <w:shd w:fill="334155" w:color="auto" w:val="clear"/>
            <w:tcMar>
              <w:top w:type="dxa" w:w="80"/>
              <w:left w:type="dxa" w:w="100"/>
              <w:bottom w:type="dxa" w:w="80"/>
              <w:right w:type="dxa" w:w="100"/>
            </w:tcMar>
            <w:vAlign w:val="center"/>
          </w:tcPr>
          <w:p>
            <w:r>
              <w:rPr>
                <w:b/>
                <w:bCs/>
                <w:color w:val="FFFFFF"/>
              </w:rPr>
              <w:t xml:space="preserve">Estimated cost (SAR)</w:t>
            </w:r>
          </w:p>
        </w:tc>
      </w:tr>
      <w:tr>
        <w:tc>
          <w:tcPr>
            <w:tcW w:type="dxa" w:w="6248"/>
            <w:tcMar>
              <w:top w:type="dxa" w:w="80"/>
              <w:left w:type="dxa" w:w="100"/>
              <w:bottom w:type="dxa" w:w="80"/>
              <w:right w:type="dxa" w:w="100"/>
            </w:tcMar>
            <w:vAlign w:val="center"/>
          </w:tcPr>
          <w:p>
            <w:pPr>
              <w:spacing w:after="0"/>
            </w:pPr>
            <w:r>
              <w:t xml:space="preserve">Simple booking landing page / WhatsApp Business Catalog setup</w:t>
            </w:r>
          </w:p>
        </w:tc>
        <w:tc>
          <w:tcPr>
            <w:tcW w:type="dxa" w:w="2778"/>
            <w:tcMar>
              <w:top w:type="dxa" w:w="80"/>
              <w:left w:type="dxa" w:w="100"/>
              <w:bottom w:type="dxa" w:w="80"/>
              <w:right w:type="dxa" w:w="100"/>
            </w:tcMar>
            <w:vAlign w:val="center"/>
          </w:tcPr>
          <w:p>
            <w:pPr>
              <w:spacing w:after="0"/>
            </w:pPr>
            <w:r>
              <w:t xml:space="preserve">8,000</w:t>
            </w:r>
          </w:p>
        </w:tc>
      </w:tr>
      <w:tr>
        <w:tc>
          <w:tcPr>
            <w:tcW w:type="dxa" w:w="6248"/>
            <w:shd w:fill="F1F5F9" w:color="auto" w:val="clear"/>
            <w:tcMar>
              <w:top w:type="dxa" w:w="80"/>
              <w:left w:type="dxa" w:w="100"/>
              <w:bottom w:type="dxa" w:w="80"/>
              <w:right w:type="dxa" w:w="100"/>
            </w:tcMar>
            <w:vAlign w:val="center"/>
          </w:tcPr>
          <w:p>
            <w:pPr>
              <w:spacing w:after="0"/>
            </w:pPr>
            <w:r>
              <w:t xml:space="preserve">Company formation groundwork started (CR filing initiated, Maroof)</w:t>
            </w:r>
          </w:p>
        </w:tc>
        <w:tc>
          <w:tcPr>
            <w:tcW w:type="dxa" w:w="2778"/>
            <w:shd w:fill="F1F5F9" w:color="auto" w:val="clear"/>
            <w:tcMar>
              <w:top w:type="dxa" w:w="80"/>
              <w:left w:type="dxa" w:w="100"/>
              <w:bottom w:type="dxa" w:w="80"/>
              <w:right w:type="dxa" w:w="100"/>
            </w:tcMar>
            <w:vAlign w:val="center"/>
          </w:tcPr>
          <w:p>
            <w:pPr>
              <w:spacing w:after="0"/>
            </w:pPr>
            <w:r>
              <w:t xml:space="preserve">25,000</w:t>
            </w:r>
          </w:p>
        </w:tc>
      </w:tr>
      <w:tr>
        <w:tc>
          <w:tcPr>
            <w:tcW w:type="dxa" w:w="6248"/>
            <w:tcMar>
              <w:top w:type="dxa" w:w="80"/>
              <w:left w:type="dxa" w:w="100"/>
              <w:bottom w:type="dxa" w:w="80"/>
              <w:right w:type="dxa" w:w="100"/>
            </w:tcMar>
            <w:vAlign w:val="center"/>
          </w:tcPr>
          <w:p>
            <w:pPr>
              <w:spacing w:after="0"/>
            </w:pPr>
            <w:r>
              <w:t xml:space="preserve">Initial contractor recruitment (outreach, meetings, first ~10 partner agreements)</w:t>
            </w:r>
          </w:p>
        </w:tc>
        <w:tc>
          <w:tcPr>
            <w:tcW w:type="dxa" w:w="2778"/>
            <w:tcMar>
              <w:top w:type="dxa" w:w="80"/>
              <w:left w:type="dxa" w:w="100"/>
              <w:bottom w:type="dxa" w:w="80"/>
              <w:right w:type="dxa" w:w="100"/>
            </w:tcMar>
            <w:vAlign w:val="center"/>
          </w:tcPr>
          <w:p>
            <w:pPr>
              <w:spacing w:after="0"/>
            </w:pPr>
            <w:r>
              <w:t xml:space="preserve">10,000</w:t>
            </w:r>
          </w:p>
        </w:tc>
      </w:tr>
      <w:tr>
        <w:tc>
          <w:tcPr>
            <w:tcW w:type="dxa" w:w="6248"/>
            <w:shd w:fill="F1F5F9" w:color="auto" w:val="clear"/>
            <w:tcMar>
              <w:top w:type="dxa" w:w="80"/>
              <w:left w:type="dxa" w:w="100"/>
              <w:bottom w:type="dxa" w:w="80"/>
              <w:right w:type="dxa" w:w="100"/>
            </w:tcMar>
            <w:vAlign w:val="center"/>
          </w:tcPr>
          <w:p>
            <w:pPr>
              <w:spacing w:after="0"/>
            </w:pPr>
            <w:r>
              <w:t xml:space="preserve">Small test-marketing budget (social ads to gauge real demand)</w:t>
            </w:r>
          </w:p>
        </w:tc>
        <w:tc>
          <w:tcPr>
            <w:tcW w:type="dxa" w:w="2778"/>
            <w:shd w:fill="F1F5F9" w:color="auto" w:val="clear"/>
            <w:tcMar>
              <w:top w:type="dxa" w:w="80"/>
              <w:left w:type="dxa" w:w="100"/>
              <w:bottom w:type="dxa" w:w="80"/>
              <w:right w:type="dxa" w:w="100"/>
            </w:tcMar>
            <w:vAlign w:val="center"/>
          </w:tcPr>
          <w:p>
            <w:pPr>
              <w:spacing w:after="0"/>
            </w:pPr>
            <w:r>
              <w:t xml:space="preserve">15,000</w:t>
            </w:r>
          </w:p>
        </w:tc>
      </w:tr>
      <w:tr>
        <w:tc>
          <w:tcPr>
            <w:tcW w:type="dxa" w:w="6248"/>
            <w:tcMar>
              <w:top w:type="dxa" w:w="80"/>
              <w:left w:type="dxa" w:w="100"/>
              <w:bottom w:type="dxa" w:w="80"/>
              <w:right w:type="dxa" w:w="100"/>
            </w:tcMar>
            <w:vAlign w:val="center"/>
          </w:tcPr>
          <w:p>
            <w:pPr>
              <w:spacing w:after="0"/>
            </w:pPr>
            <w:r>
              <w:t xml:space="preserve">Lean team (founder + 1-2 people) for 2-3 months</w:t>
            </w:r>
          </w:p>
        </w:tc>
        <w:tc>
          <w:tcPr>
            <w:tcW w:type="dxa" w:w="2778"/>
            <w:tcMar>
              <w:top w:type="dxa" w:w="80"/>
              <w:left w:type="dxa" w:w="100"/>
              <w:bottom w:type="dxa" w:w="80"/>
              <w:right w:type="dxa" w:w="100"/>
            </w:tcMar>
            <w:vAlign w:val="center"/>
          </w:tcPr>
          <w:p>
            <w:pPr>
              <w:spacing w:after="0"/>
            </w:pPr>
            <w:r>
              <w:t xml:space="preserve">25,000–40,000</w:t>
            </w:r>
          </w:p>
        </w:tc>
      </w:tr>
      <w:tr>
        <w:tc>
          <w:tcPr>
            <w:tcW w:type="dxa" w:w="6248"/>
            <w:shd w:fill="F1F5F9" w:color="auto" w:val="clear"/>
            <w:tcMar>
              <w:top w:type="dxa" w:w="80"/>
              <w:left w:type="dxa" w:w="100"/>
              <w:bottom w:type="dxa" w:w="80"/>
              <w:right w:type="dxa" w:w="100"/>
            </w:tcMar>
            <w:vAlign w:val="center"/>
          </w:tcPr>
          <w:p>
            <w:pPr>
              <w:spacing w:after="0"/>
            </w:pPr>
            <w:r>
              <w:t xml:space="preserve">Contingency</w:t>
            </w:r>
          </w:p>
        </w:tc>
        <w:tc>
          <w:tcPr>
            <w:tcW w:type="dxa" w:w="2778"/>
            <w:shd w:fill="F1F5F9" w:color="auto" w:val="clear"/>
            <w:tcMar>
              <w:top w:type="dxa" w:w="80"/>
              <w:left w:type="dxa" w:w="100"/>
              <w:bottom w:type="dxa" w:w="80"/>
              <w:right w:type="dxa" w:w="100"/>
            </w:tcMar>
            <w:vAlign w:val="center"/>
          </w:tcPr>
          <w:p>
            <w:pPr>
              <w:spacing w:after="0"/>
            </w:pPr>
            <w:r>
              <w:t xml:space="preserve">~10,000</w:t>
            </w:r>
          </w:p>
        </w:tc>
      </w:tr>
      <w:tr>
        <w:tc>
          <w:tcPr>
            <w:tcW w:type="dxa" w:w="6248"/>
            <w:tcMar>
              <w:top w:type="dxa" w:w="80"/>
              <w:left w:type="dxa" w:w="100"/>
              <w:bottom w:type="dxa" w:w="80"/>
              <w:right w:type="dxa" w:w="100"/>
            </w:tcMar>
            <w:vAlign w:val="center"/>
          </w:tcPr>
          <w:p>
            <w:pPr>
              <w:spacing w:after="0"/>
            </w:pPr>
            <w:r>
              <w:rPr>
                <w:b/>
                <w:bCs/>
              </w:rPr>
              <w:t xml:space="preserve">Total</w:t>
            </w:r>
          </w:p>
        </w:tc>
        <w:tc>
          <w:tcPr>
            <w:tcW w:type="dxa" w:w="2778"/>
            <w:tcMar>
              <w:top w:type="dxa" w:w="80"/>
              <w:left w:type="dxa" w:w="100"/>
              <w:bottom w:type="dxa" w:w="80"/>
              <w:right w:type="dxa" w:w="100"/>
            </w:tcMar>
            <w:vAlign w:val="center"/>
          </w:tcPr>
          <w:p>
            <w:pPr>
              <w:spacing w:after="0"/>
            </w:pPr>
            <w:r>
              <w:rPr>
                <w:b/>
                <w:bCs/>
              </w:rPr>
              <w:t xml:space="preserve">~SAR 93,000</w:t>
            </w:r>
            <w:r>
              <w:t xml:space="preserve"> (mid-point of range)</w:t>
            </w:r>
          </w:p>
        </w:tc>
      </w:tr>
    </w:tbl>
    <w:p>
      <w:pPr>
        <w:spacing w:after="200"/>
      </w:pPr>
    </w:p>
    <w:p>
      <w:pPr>
        <w:pStyle w:val="Heading2"/>
        <w:spacing w:after="160" w:before="360"/>
      </w:pPr>
      <w:r>
        <w:t xml:space="preserve">6.3 Stage 1 — Full Buildout: one-time (startup)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69"/>
        <w:gridCol w:w="902"/>
        <w:gridCol w:w="3855"/>
      </w:tblGrid>
      <w:tr>
        <w:trPr>
          <w:tblHeader/>
        </w:trPr>
        <w:tc>
          <w:tcPr>
            <w:tcW w:type="dxa" w:w="4269"/>
            <w:shd w:fill="334155" w:color="auto" w:val="clear"/>
            <w:tcMar>
              <w:top w:type="dxa" w:w="80"/>
              <w:left w:type="dxa" w:w="100"/>
              <w:bottom w:type="dxa" w:w="80"/>
              <w:right w:type="dxa" w:w="100"/>
            </w:tcMar>
            <w:vAlign w:val="center"/>
          </w:tcPr>
          <w:p>
            <w:r>
              <w:rPr>
                <w:b/>
                <w:bCs/>
                <w:color w:val="FFFFFF"/>
              </w:rPr>
              <w:t xml:space="preserve">Item</w:t>
            </w:r>
          </w:p>
        </w:tc>
        <w:tc>
          <w:tcPr>
            <w:tcW w:type="dxa" w:w="902"/>
            <w:shd w:fill="334155" w:color="auto" w:val="clear"/>
            <w:tcMar>
              <w:top w:type="dxa" w:w="80"/>
              <w:left w:type="dxa" w:w="100"/>
              <w:bottom w:type="dxa" w:w="80"/>
              <w:right w:type="dxa" w:w="100"/>
            </w:tcMar>
            <w:vAlign w:val="center"/>
          </w:tcPr>
          <w:p>
            <w:r>
              <w:rPr>
                <w:b/>
                <w:bCs/>
                <w:color w:val="FFFFFF"/>
              </w:rPr>
              <w:t xml:space="preserve">Estimated cost (SAR)</w:t>
            </w:r>
          </w:p>
        </w:tc>
        <w:tc>
          <w:tcPr>
            <w:tcW w:type="dxa" w:w="3855"/>
            <w:shd w:fill="334155" w:color="auto" w:val="clear"/>
            <w:tcMar>
              <w:top w:type="dxa" w:w="80"/>
              <w:left w:type="dxa" w:w="100"/>
              <w:bottom w:type="dxa" w:w="80"/>
              <w:right w:type="dxa" w:w="100"/>
            </w:tcMar>
            <w:vAlign w:val="center"/>
          </w:tcPr>
          <w:p>
            <w:r>
              <w:rPr>
                <w:b/>
                <w:bCs/>
                <w:color w:val="FFFFFF"/>
              </w:rPr>
              <w:t xml:space="preserve">Notes</w:t>
            </w:r>
          </w:p>
        </w:tc>
      </w:tr>
      <w:tr>
        <w:tc>
          <w:tcPr>
            <w:tcW w:type="dxa" w:w="4269"/>
            <w:tcMar>
              <w:top w:type="dxa" w:w="80"/>
              <w:left w:type="dxa" w:w="100"/>
              <w:bottom w:type="dxa" w:w="80"/>
              <w:right w:type="dxa" w:w="100"/>
            </w:tcMar>
            <w:vAlign w:val="center"/>
          </w:tcPr>
          <w:p>
            <w:pPr>
              <w:spacing w:after="0"/>
            </w:pPr>
            <w:r>
              <w:t xml:space="preserve">App development (customer app + contractor app + admin dashboard), outsourced build</w:t>
            </w:r>
          </w:p>
        </w:tc>
        <w:tc>
          <w:tcPr>
            <w:tcW w:type="dxa" w:w="902"/>
            <w:tcMar>
              <w:top w:type="dxa" w:w="80"/>
              <w:left w:type="dxa" w:w="100"/>
              <w:bottom w:type="dxa" w:w="80"/>
              <w:right w:type="dxa" w:w="100"/>
            </w:tcMar>
            <w:vAlign w:val="center"/>
          </w:tcPr>
          <w:p>
            <w:pPr>
              <w:spacing w:after="0"/>
            </w:pPr>
            <w:r>
              <w:t xml:space="preserve">250,000 – 350,000</w:t>
            </w:r>
          </w:p>
        </w:tc>
        <w:tc>
          <w:tcPr>
            <w:tcW w:type="dxa" w:w="3855"/>
            <w:tcMar>
              <w:top w:type="dxa" w:w="80"/>
              <w:left w:type="dxa" w:w="100"/>
              <w:bottom w:type="dxa" w:w="80"/>
              <w:right w:type="dxa" w:w="100"/>
            </w:tcMar>
            <w:vAlign w:val="center"/>
          </w:tcPr>
          <w:p>
            <w:pPr>
              <w:spacing w:after="0"/>
            </w:pPr>
            <w:r>
              <w:t xml:space="preserve">The single largest line item; get 3+ competing quotes from development agencies with marketplace-app experience</w:t>
            </w:r>
          </w:p>
        </w:tc>
      </w:tr>
      <w:tr>
        <w:tc>
          <w:tcPr>
            <w:tcW w:type="dxa" w:w="4269"/>
            <w:shd w:fill="F1F5F9" w:color="auto" w:val="clear"/>
            <w:tcMar>
              <w:top w:type="dxa" w:w="80"/>
              <w:left w:type="dxa" w:w="100"/>
              <w:bottom w:type="dxa" w:w="80"/>
              <w:right w:type="dxa" w:w="100"/>
            </w:tcMar>
            <w:vAlign w:val="center"/>
          </w:tcPr>
          <w:p>
            <w:pPr>
              <w:spacing w:after="0"/>
            </w:pPr>
            <w:r>
              <w:t xml:space="preserve">Payment gateway integration &amp; setup</w:t>
            </w:r>
          </w:p>
        </w:tc>
        <w:tc>
          <w:tcPr>
            <w:tcW w:type="dxa" w:w="902"/>
            <w:shd w:fill="F1F5F9" w:color="auto" w:val="clear"/>
            <w:tcMar>
              <w:top w:type="dxa" w:w="80"/>
              <w:left w:type="dxa" w:w="100"/>
              <w:bottom w:type="dxa" w:w="80"/>
              <w:right w:type="dxa" w:w="100"/>
            </w:tcMar>
            <w:vAlign w:val="center"/>
          </w:tcPr>
          <w:p>
            <w:pPr>
              <w:spacing w:after="0"/>
            </w:pPr>
            <w:r>
              <w:t xml:space="preserve">10,000 – 20,000</w:t>
            </w:r>
          </w:p>
        </w:tc>
        <w:tc>
          <w:tcPr>
            <w:tcW w:type="dxa" w:w="3855"/>
            <w:shd w:fill="F1F5F9" w:color="auto" w:val="clear"/>
            <w:tcMar>
              <w:top w:type="dxa" w:w="80"/>
              <w:left w:type="dxa" w:w="100"/>
              <w:bottom w:type="dxa" w:w="80"/>
              <w:right w:type="dxa" w:w="100"/>
            </w:tcMar>
            <w:vAlign w:val="center"/>
          </w:tcPr>
          <w:p>
            <w:pPr>
              <w:spacing w:after="0"/>
            </w:pPr>
            <w:r>
              <w:t xml:space="preserve">Via a SAMA-licensed KSA gateway partner</w:t>
            </w:r>
          </w:p>
        </w:tc>
      </w:tr>
      <w:tr>
        <w:tc>
          <w:tcPr>
            <w:tcW w:type="dxa" w:w="4269"/>
            <w:tcMar>
              <w:top w:type="dxa" w:w="80"/>
              <w:left w:type="dxa" w:w="100"/>
              <w:bottom w:type="dxa" w:w="80"/>
              <w:right w:type="dxa" w:w="100"/>
            </w:tcMar>
            <w:vAlign w:val="center"/>
          </w:tcPr>
          <w:p>
            <w:pPr>
              <w:spacing w:after="0"/>
            </w:pPr>
            <w:r>
              <w:t xml:space="preserve">Legal (CR/licensing completion, contractor agreement templates, SLA templates, Terms of Service, Privacy Policy under PDPL)</w:t>
            </w:r>
          </w:p>
        </w:tc>
        <w:tc>
          <w:tcPr>
            <w:tcW w:type="dxa" w:w="902"/>
            <w:tcMar>
              <w:top w:type="dxa" w:w="80"/>
              <w:left w:type="dxa" w:w="100"/>
              <w:bottom w:type="dxa" w:w="80"/>
              <w:right w:type="dxa" w:w="100"/>
            </w:tcMar>
            <w:vAlign w:val="center"/>
          </w:tcPr>
          <w:p>
            <w:pPr>
              <w:spacing w:after="0"/>
            </w:pPr>
            <w:r>
              <w:t xml:space="preserve">20,000 – 40,000</w:t>
            </w:r>
          </w:p>
        </w:tc>
        <w:tc>
          <w:tcPr>
            <w:tcW w:type="dxa" w:w="3855"/>
            <w:tcMar>
              <w:top w:type="dxa" w:w="80"/>
              <w:left w:type="dxa" w:w="100"/>
              <w:bottom w:type="dxa" w:w="80"/>
              <w:right w:type="dxa" w:w="100"/>
            </w:tcMar>
            <w:vAlign w:val="center"/>
          </w:tcPr>
          <w:p>
            <w:pPr>
              <w:spacing w:after="0"/>
            </w:pPr>
            <w:r>
              <w:t xml:space="preserve">Saudi corporate lawyer — do not skip this (see Feasibility Study (Chapter 4))</w:t>
            </w:r>
          </w:p>
        </w:tc>
      </w:tr>
      <w:tr>
        <w:tc>
          <w:tcPr>
            <w:tcW w:type="dxa" w:w="4269"/>
            <w:shd w:fill="F1F5F9" w:color="auto" w:val="clear"/>
            <w:tcMar>
              <w:top w:type="dxa" w:w="80"/>
              <w:left w:type="dxa" w:w="100"/>
              <w:bottom w:type="dxa" w:w="80"/>
              <w:right w:type="dxa" w:w="100"/>
            </w:tcMar>
            <w:vAlign w:val="center"/>
          </w:tcPr>
          <w:p>
            <w:pPr>
              <w:spacing w:after="0"/>
            </w:pPr>
            <w:r>
              <w:t xml:space="preserve">Branding &amp; website</w:t>
            </w:r>
          </w:p>
        </w:tc>
        <w:tc>
          <w:tcPr>
            <w:tcW w:type="dxa" w:w="902"/>
            <w:shd w:fill="F1F5F9" w:color="auto" w:val="clear"/>
            <w:tcMar>
              <w:top w:type="dxa" w:w="80"/>
              <w:left w:type="dxa" w:w="100"/>
              <w:bottom w:type="dxa" w:w="80"/>
              <w:right w:type="dxa" w:w="100"/>
            </w:tcMar>
            <w:vAlign w:val="center"/>
          </w:tcPr>
          <w:p>
            <w:pPr>
              <w:spacing w:after="0"/>
            </w:pPr>
            <w:r>
              <w:t xml:space="preserve">20,000 – 30,000</w:t>
            </w:r>
          </w:p>
        </w:tc>
        <w:tc>
          <w:tcPr>
            <w:tcW w:type="dxa" w:w="3855"/>
            <w:shd w:fill="F1F5F9" w:color="auto" w:val="clear"/>
            <w:tcMar>
              <w:top w:type="dxa" w:w="80"/>
              <w:left w:type="dxa" w:w="100"/>
              <w:bottom w:type="dxa" w:w="80"/>
              <w:right w:type="dxa" w:w="100"/>
            </w:tcMar>
            <w:vAlign w:val="center"/>
          </w:tcPr>
          <w:p>
            <w:pPr>
              <w:spacing w:after="0"/>
            </w:pPr>
            <w:r>
              <w:t xml:space="preserve"/>
            </w:r>
          </w:p>
        </w:tc>
      </w:tr>
      <w:tr>
        <w:tc>
          <w:tcPr>
            <w:tcW w:type="dxa" w:w="4269"/>
            <w:tcMar>
              <w:top w:type="dxa" w:w="80"/>
              <w:left w:type="dxa" w:w="100"/>
              <w:bottom w:type="dxa" w:w="80"/>
              <w:right w:type="dxa" w:w="100"/>
            </w:tcMar>
            <w:vAlign w:val="center"/>
          </w:tcPr>
          <w:p>
            <w:pPr>
              <w:spacing w:after="0"/>
            </w:pPr>
            <w:r>
              <w:t xml:space="preserve">Office setup (small office/coworking space, laptops, dispatch software licenses)</w:t>
            </w:r>
          </w:p>
        </w:tc>
        <w:tc>
          <w:tcPr>
            <w:tcW w:type="dxa" w:w="902"/>
            <w:tcMar>
              <w:top w:type="dxa" w:w="80"/>
              <w:left w:type="dxa" w:w="100"/>
              <w:bottom w:type="dxa" w:w="80"/>
              <w:right w:type="dxa" w:w="100"/>
            </w:tcMar>
            <w:vAlign w:val="center"/>
          </w:tcPr>
          <w:p>
            <w:pPr>
              <w:spacing w:after="0"/>
            </w:pPr>
            <w:r>
              <w:t xml:space="preserve">30,000 – 40,000</w:t>
            </w:r>
          </w:p>
        </w:tc>
        <w:tc>
          <w:tcPr>
            <w:tcW w:type="dxa" w:w="3855"/>
            <w:tcMar>
              <w:top w:type="dxa" w:w="80"/>
              <w:left w:type="dxa" w:w="100"/>
              <w:bottom w:type="dxa" w:w="80"/>
              <w:right w:type="dxa" w:w="100"/>
            </w:tcMar>
            <w:vAlign w:val="center"/>
          </w:tcPr>
          <w:p>
            <w:pPr>
              <w:spacing w:after="0"/>
            </w:pPr>
            <w:r>
              <w:t xml:space="preserve"/>
            </w:r>
          </w:p>
        </w:tc>
      </w:tr>
      <w:tr>
        <w:tc>
          <w:tcPr>
            <w:tcW w:type="dxa" w:w="4269"/>
            <w:shd w:fill="F1F5F9" w:color="auto" w:val="clear"/>
            <w:tcMar>
              <w:top w:type="dxa" w:w="80"/>
              <w:left w:type="dxa" w:w="100"/>
              <w:bottom w:type="dxa" w:w="80"/>
              <w:right w:type="dxa" w:w="100"/>
            </w:tcMar>
            <w:vAlign w:val="center"/>
          </w:tcPr>
          <w:p>
            <w:pPr>
              <w:spacing w:after="0"/>
            </w:pPr>
            <w:r>
              <w:t xml:space="preserve">Insurance (first-year platform liability policy premium)</w:t>
            </w:r>
          </w:p>
        </w:tc>
        <w:tc>
          <w:tcPr>
            <w:tcW w:type="dxa" w:w="902"/>
            <w:shd w:fill="F1F5F9" w:color="auto" w:val="clear"/>
            <w:tcMar>
              <w:top w:type="dxa" w:w="80"/>
              <w:left w:type="dxa" w:w="100"/>
              <w:bottom w:type="dxa" w:w="80"/>
              <w:right w:type="dxa" w:w="100"/>
            </w:tcMar>
            <w:vAlign w:val="center"/>
          </w:tcPr>
          <w:p>
            <w:pPr>
              <w:spacing w:after="0"/>
            </w:pPr>
            <w:r>
              <w:t xml:space="preserve">12,000 – 18,000</w:t>
            </w:r>
          </w:p>
        </w:tc>
        <w:tc>
          <w:tcPr>
            <w:tcW w:type="dxa" w:w="3855"/>
            <w:shd w:fill="F1F5F9" w:color="auto" w:val="clear"/>
            <w:tcMar>
              <w:top w:type="dxa" w:w="80"/>
              <w:left w:type="dxa" w:w="100"/>
              <w:bottom w:type="dxa" w:w="80"/>
              <w:right w:type="dxa" w:w="100"/>
            </w:tcMar>
            <w:vAlign w:val="center"/>
          </w:tcPr>
          <w:p>
            <w:pPr>
              <w:spacing w:after="0"/>
            </w:pPr>
            <w:r>
              <w:t xml:space="preserve"/>
            </w:r>
          </w:p>
        </w:tc>
      </w:tr>
      <w:tr>
        <w:tc>
          <w:tcPr>
            <w:tcW w:type="dxa" w:w="4269"/>
            <w:tcMar>
              <w:top w:type="dxa" w:w="80"/>
              <w:left w:type="dxa" w:w="100"/>
              <w:bottom w:type="dxa" w:w="80"/>
              <w:right w:type="dxa" w:w="100"/>
            </w:tcMar>
            <w:vAlign w:val="center"/>
          </w:tcPr>
          <w:p>
            <w:pPr>
              <w:spacing w:after="0"/>
            </w:pPr>
            <w:r>
              <w:t xml:space="preserve">Launch marketing campaign (Jeddah-focused)</w:t>
            </w:r>
          </w:p>
        </w:tc>
        <w:tc>
          <w:tcPr>
            <w:tcW w:type="dxa" w:w="902"/>
            <w:tcMar>
              <w:top w:type="dxa" w:w="80"/>
              <w:left w:type="dxa" w:w="100"/>
              <w:bottom w:type="dxa" w:w="80"/>
              <w:right w:type="dxa" w:w="100"/>
            </w:tcMar>
            <w:vAlign w:val="center"/>
          </w:tcPr>
          <w:p>
            <w:pPr>
              <w:spacing w:after="0"/>
            </w:pPr>
            <w:r>
              <w:t xml:space="preserve">50,000 – 70,000</w:t>
            </w:r>
          </w:p>
        </w:tc>
        <w:tc>
          <w:tcPr>
            <w:tcW w:type="dxa" w:w="3855"/>
            <w:tcMar>
              <w:top w:type="dxa" w:w="80"/>
              <w:left w:type="dxa" w:w="100"/>
              <w:bottom w:type="dxa" w:w="80"/>
              <w:right w:type="dxa" w:w="100"/>
            </w:tcMar>
            <w:vAlign w:val="center"/>
          </w:tcPr>
          <w:p>
            <w:pPr>
              <w:spacing w:after="0"/>
            </w:pPr>
            <w:r>
              <w:t xml:space="preserve"/>
            </w:r>
          </w:p>
        </w:tc>
      </w:tr>
      <w:tr>
        <w:tc>
          <w:tcPr>
            <w:tcW w:type="dxa" w:w="4269"/>
            <w:shd w:fill="F1F5F9" w:color="auto" w:val="clear"/>
            <w:tcMar>
              <w:top w:type="dxa" w:w="80"/>
              <w:left w:type="dxa" w:w="100"/>
              <w:bottom w:type="dxa" w:w="80"/>
              <w:right w:type="dxa" w:w="100"/>
            </w:tcMar>
            <w:vAlign w:val="center"/>
          </w:tcPr>
          <w:p>
            <w:pPr>
              <w:spacing w:after="0"/>
            </w:pPr>
            <w:r>
              <w:t xml:space="preserve">Contingency (10%)</w:t>
            </w:r>
          </w:p>
        </w:tc>
        <w:tc>
          <w:tcPr>
            <w:tcW w:type="dxa" w:w="902"/>
            <w:shd w:fill="F1F5F9" w:color="auto" w:val="clear"/>
            <w:tcMar>
              <w:top w:type="dxa" w:w="80"/>
              <w:left w:type="dxa" w:w="100"/>
              <w:bottom w:type="dxa" w:w="80"/>
              <w:right w:type="dxa" w:w="100"/>
            </w:tcMar>
            <w:vAlign w:val="center"/>
          </w:tcPr>
          <w:p>
            <w:pPr>
              <w:spacing w:after="0"/>
            </w:pPr>
            <w:r>
              <w:t xml:space="preserve">~45,000</w:t>
            </w:r>
          </w:p>
        </w:tc>
        <w:tc>
          <w:tcPr>
            <w:tcW w:type="dxa" w:w="3855"/>
            <w:shd w:fill="F1F5F9" w:color="auto" w:val="clear"/>
            <w:tcMar>
              <w:top w:type="dxa" w:w="80"/>
              <w:left w:type="dxa" w:w="100"/>
              <w:bottom w:type="dxa" w:w="80"/>
              <w:right w:type="dxa" w:w="100"/>
            </w:tcMar>
            <w:vAlign w:val="center"/>
          </w:tcPr>
          <w:p>
            <w:pPr>
              <w:spacing w:after="0"/>
            </w:pPr>
            <w:r>
              <w:t xml:space="preserve">Always budget one — builds run over</w:t>
            </w:r>
          </w:p>
        </w:tc>
      </w:tr>
      <w:tr>
        <w:tc>
          <w:tcPr>
            <w:tcW w:type="dxa" w:w="4269"/>
            <w:tcMar>
              <w:top w:type="dxa" w:w="80"/>
              <w:left w:type="dxa" w:w="100"/>
              <w:bottom w:type="dxa" w:w="80"/>
              <w:right w:type="dxa" w:w="100"/>
            </w:tcMar>
            <w:vAlign w:val="center"/>
          </w:tcPr>
          <w:p>
            <w:pPr>
              <w:spacing w:after="0"/>
            </w:pPr>
            <w:r>
              <w:rPr>
                <w:b/>
                <w:bCs/>
              </w:rPr>
              <w:t xml:space="preserve">Subtotal (one-time)</w:t>
            </w:r>
          </w:p>
        </w:tc>
        <w:tc>
          <w:tcPr>
            <w:tcW w:type="dxa" w:w="902"/>
            <w:tcMar>
              <w:top w:type="dxa" w:w="80"/>
              <w:left w:type="dxa" w:w="100"/>
              <w:bottom w:type="dxa" w:w="80"/>
              <w:right w:type="dxa" w:w="100"/>
            </w:tcMar>
            <w:vAlign w:val="center"/>
          </w:tcPr>
          <w:p>
            <w:pPr>
              <w:spacing w:after="0"/>
            </w:pPr>
            <w:r>
              <w:rPr>
                <w:b/>
                <w:bCs/>
              </w:rPr>
              <w:t xml:space="preserve">~SAR 550,000 – 650,000</w:t>
            </w:r>
          </w:p>
        </w:tc>
        <w:tc>
          <w:tcPr>
            <w:tcW w:type="dxa" w:w="3855"/>
            <w:tcMar>
              <w:top w:type="dxa" w:w="80"/>
              <w:left w:type="dxa" w:w="100"/>
              <w:bottom w:type="dxa" w:w="80"/>
              <w:right w:type="dxa" w:w="100"/>
            </w:tcMar>
            <w:vAlign w:val="center"/>
          </w:tcPr>
          <w:p>
            <w:pPr>
              <w:spacing w:after="0"/>
            </w:pPr>
            <w:r>
              <w:t xml:space="preserve"/>
            </w:r>
          </w:p>
        </w:tc>
      </w:tr>
    </w:tbl>
    <w:p>
      <w:pPr>
        <w:spacing w:after="200"/>
      </w:pPr>
    </w:p>
    <w:p>
      <w:pPr>
        <w:pStyle w:val="Heading2"/>
        <w:spacing w:after="160" w:before="360"/>
      </w:pPr>
      <w:r>
        <w:t xml:space="preserve">6.4 Stage 1 — Monthly running costs (ramping as you expand cities)</w:t>
      </w:r>
    </w:p>
    <w:p>
      <w:pPr>
        <w:spacing w:after="160"/>
      </w:pPr>
      <w:r>
        <w:t xml:space="preserve">Running costs should ramp with your rollout, not be fully loaded from day one. Illustrative ramp: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6"/>
        <w:gridCol w:w="1904"/>
        <w:gridCol w:w="2902"/>
        <w:gridCol w:w="816"/>
        <w:gridCol w:w="816"/>
        <w:gridCol w:w="952"/>
        <w:gridCol w:w="820"/>
      </w:tblGrid>
      <w:tr>
        <w:trPr>
          <w:tblHeader/>
        </w:trPr>
        <w:tc>
          <w:tcPr>
            <w:tcW w:type="dxa" w:w="816"/>
            <w:shd w:fill="334155" w:color="auto" w:val="clear"/>
            <w:tcMar>
              <w:top w:type="dxa" w:w="80"/>
              <w:left w:type="dxa" w:w="100"/>
              <w:bottom w:type="dxa" w:w="80"/>
              <w:right w:type="dxa" w:w="100"/>
            </w:tcMar>
            <w:vAlign w:val="center"/>
          </w:tcPr>
          <w:p>
            <w:r>
              <w:rPr>
                <w:b/>
                <w:bCs/>
                <w:color w:val="FFFFFF"/>
              </w:rPr>
              <w:t xml:space="preserve">Period</w:t>
            </w:r>
          </w:p>
        </w:tc>
        <w:tc>
          <w:tcPr>
            <w:tcW w:type="dxa" w:w="1904"/>
            <w:shd w:fill="334155" w:color="auto" w:val="clear"/>
            <w:tcMar>
              <w:top w:type="dxa" w:w="80"/>
              <w:left w:type="dxa" w:w="100"/>
              <w:bottom w:type="dxa" w:w="80"/>
              <w:right w:type="dxa" w:w="100"/>
            </w:tcMar>
            <w:vAlign w:val="center"/>
          </w:tcPr>
          <w:p>
            <w:r>
              <w:rPr>
                <w:b/>
                <w:bCs/>
                <w:color w:val="FFFFFF"/>
              </w:rPr>
              <w:t xml:space="preserve">Milestone</w:t>
            </w:r>
          </w:p>
        </w:tc>
        <w:tc>
          <w:tcPr>
            <w:tcW w:type="dxa" w:w="2902"/>
            <w:shd w:fill="334155" w:color="auto" w:val="clear"/>
            <w:tcMar>
              <w:top w:type="dxa" w:w="80"/>
              <w:left w:type="dxa" w:w="100"/>
              <w:bottom w:type="dxa" w:w="80"/>
              <w:right w:type="dxa" w:w="100"/>
            </w:tcMar>
            <w:vAlign w:val="center"/>
          </w:tcPr>
          <w:p>
            <w:r>
              <w:rPr>
                <w:b/>
                <w:bCs/>
                <w:color w:val="FFFFFF"/>
              </w:rPr>
              <w:t xml:space="preserve">Staff (bilingual ops, support, partnerships, marketing, finance)</w:t>
            </w:r>
          </w:p>
        </w:tc>
        <w:tc>
          <w:tcPr>
            <w:tcW w:type="dxa" w:w="816"/>
            <w:shd w:fill="334155" w:color="auto" w:val="clear"/>
            <w:tcMar>
              <w:top w:type="dxa" w:w="80"/>
              <w:left w:type="dxa" w:w="100"/>
              <w:bottom w:type="dxa" w:w="80"/>
              <w:right w:type="dxa" w:w="100"/>
            </w:tcMar>
            <w:vAlign w:val="center"/>
          </w:tcPr>
          <w:p>
            <w:r>
              <w:rPr>
                <w:b/>
                <w:bCs/>
                <w:color w:val="FFFFFF"/>
              </w:rPr>
              <w:t xml:space="preserve">Office/overhead</w:t>
            </w:r>
          </w:p>
        </w:tc>
        <w:tc>
          <w:tcPr>
            <w:tcW w:type="dxa" w:w="816"/>
            <w:shd w:fill="334155" w:color="auto" w:val="clear"/>
            <w:tcMar>
              <w:top w:type="dxa" w:w="80"/>
              <w:left w:type="dxa" w:w="100"/>
              <w:bottom w:type="dxa" w:w="80"/>
              <w:right w:type="dxa" w:w="100"/>
            </w:tcMar>
            <w:vAlign w:val="center"/>
          </w:tcPr>
          <w:p>
            <w:r>
              <w:rPr>
                <w:b/>
                <w:bCs/>
                <w:color w:val="FFFFFF"/>
              </w:rPr>
              <w:t xml:space="preserve">Marketing spend</w:t>
            </w:r>
          </w:p>
        </w:tc>
        <w:tc>
          <w:tcPr>
            <w:tcW w:type="dxa" w:w="952"/>
            <w:shd w:fill="334155" w:color="auto" w:val="clear"/>
            <w:tcMar>
              <w:top w:type="dxa" w:w="80"/>
              <w:left w:type="dxa" w:w="100"/>
              <w:bottom w:type="dxa" w:w="80"/>
              <w:right w:type="dxa" w:w="100"/>
            </w:tcMar>
            <w:vAlign w:val="center"/>
          </w:tcPr>
          <w:p>
            <w:r>
              <w:rPr>
                <w:b/>
                <w:bCs/>
                <w:color w:val="FFFFFF"/>
              </w:rPr>
              <w:t xml:space="preserve">Tech/hosting/software</w:t>
            </w:r>
          </w:p>
        </w:tc>
        <w:tc>
          <w:tcPr>
            <w:tcW w:type="dxa" w:w="820"/>
            <w:shd w:fill="334155" w:color="auto" w:val="clear"/>
            <w:tcMar>
              <w:top w:type="dxa" w:w="80"/>
              <w:left w:type="dxa" w:w="100"/>
              <w:bottom w:type="dxa" w:w="80"/>
              <w:right w:type="dxa" w:w="100"/>
            </w:tcMar>
            <w:vAlign w:val="center"/>
          </w:tcPr>
          <w:p>
            <w:r>
              <w:rPr>
                <w:b/>
                <w:bCs/>
                <w:color w:val="FFFFFF"/>
              </w:rPr>
              <w:t xml:space="preserve">Total monthly</w:t>
            </w:r>
          </w:p>
        </w:tc>
      </w:tr>
      <w:tr>
        <w:tc>
          <w:tcPr>
            <w:tcW w:type="dxa" w:w="816"/>
            <w:tcMar>
              <w:top w:type="dxa" w:w="80"/>
              <w:left w:type="dxa" w:w="100"/>
              <w:bottom w:type="dxa" w:w="80"/>
              <w:right w:type="dxa" w:w="100"/>
            </w:tcMar>
            <w:vAlign w:val="center"/>
          </w:tcPr>
          <w:p>
            <w:pPr>
              <w:spacing w:after="0"/>
            </w:pPr>
            <w:r>
              <w:t xml:space="preserve">Months 3-4</w:t>
            </w:r>
          </w:p>
        </w:tc>
        <w:tc>
          <w:tcPr>
            <w:tcW w:type="dxa" w:w="1904"/>
            <w:tcMar>
              <w:top w:type="dxa" w:w="80"/>
              <w:left w:type="dxa" w:w="100"/>
              <w:bottom w:type="dxa" w:w="80"/>
              <w:right w:type="dxa" w:w="100"/>
            </w:tcMar>
            <w:vAlign w:val="center"/>
          </w:tcPr>
          <w:p>
            <w:pPr>
              <w:spacing w:after="0"/>
            </w:pPr>
            <w:r>
              <w:t xml:space="preserve">Jeddah pre-launch/launch</w:t>
            </w:r>
          </w:p>
        </w:tc>
        <w:tc>
          <w:tcPr>
            <w:tcW w:type="dxa" w:w="2902"/>
            <w:tcMar>
              <w:top w:type="dxa" w:w="80"/>
              <w:left w:type="dxa" w:w="100"/>
              <w:bottom w:type="dxa" w:w="80"/>
              <w:right w:type="dxa" w:w="100"/>
            </w:tcMar>
            <w:vAlign w:val="center"/>
          </w:tcPr>
          <w:p>
            <w:pPr>
              <w:spacing w:after="0"/>
            </w:pPr>
            <w:r>
              <w:t xml:space="preserve">45,000</w:t>
            </w:r>
          </w:p>
        </w:tc>
        <w:tc>
          <w:tcPr>
            <w:tcW w:type="dxa" w:w="816"/>
            <w:tcMar>
              <w:top w:type="dxa" w:w="80"/>
              <w:left w:type="dxa" w:w="100"/>
              <w:bottom w:type="dxa" w:w="80"/>
              <w:right w:type="dxa" w:w="100"/>
            </w:tcMar>
            <w:vAlign w:val="center"/>
          </w:tcPr>
          <w:p>
            <w:pPr>
              <w:spacing w:after="0"/>
            </w:pPr>
            <w:r>
              <w:t xml:space="preserve">12,000</w:t>
            </w:r>
          </w:p>
        </w:tc>
        <w:tc>
          <w:tcPr>
            <w:tcW w:type="dxa" w:w="816"/>
            <w:tcMar>
              <w:top w:type="dxa" w:w="80"/>
              <w:left w:type="dxa" w:w="100"/>
              <w:bottom w:type="dxa" w:w="80"/>
              <w:right w:type="dxa" w:w="100"/>
            </w:tcMar>
            <w:vAlign w:val="center"/>
          </w:tcPr>
          <w:p>
            <w:pPr>
              <w:spacing w:after="0"/>
            </w:pPr>
            <w:r>
              <w:t xml:space="preserve">10,000</w:t>
            </w:r>
          </w:p>
        </w:tc>
        <w:tc>
          <w:tcPr>
            <w:tcW w:type="dxa" w:w="952"/>
            <w:tcMar>
              <w:top w:type="dxa" w:w="80"/>
              <w:left w:type="dxa" w:w="100"/>
              <w:bottom w:type="dxa" w:w="80"/>
              <w:right w:type="dxa" w:w="100"/>
            </w:tcMar>
            <w:vAlign w:val="center"/>
          </w:tcPr>
          <w:p>
            <w:pPr>
              <w:spacing w:after="0"/>
            </w:pPr>
            <w:r>
              <w:t xml:space="preserve">5,000</w:t>
            </w:r>
          </w:p>
        </w:tc>
        <w:tc>
          <w:tcPr>
            <w:tcW w:type="dxa" w:w="820"/>
            <w:tcMar>
              <w:top w:type="dxa" w:w="80"/>
              <w:left w:type="dxa" w:w="100"/>
              <w:bottom w:type="dxa" w:w="80"/>
              <w:right w:type="dxa" w:w="100"/>
            </w:tcMar>
            <w:vAlign w:val="center"/>
          </w:tcPr>
          <w:p>
            <w:pPr>
              <w:spacing w:after="0"/>
            </w:pPr>
            <w:r>
              <w:rPr>
                <w:b/>
                <w:bCs/>
              </w:rPr>
              <w:t xml:space="preserve">~72,000</w:t>
            </w:r>
          </w:p>
        </w:tc>
      </w:tr>
      <w:tr>
        <w:tc>
          <w:tcPr>
            <w:tcW w:type="dxa" w:w="816"/>
            <w:shd w:fill="F1F5F9" w:color="auto" w:val="clear"/>
            <w:tcMar>
              <w:top w:type="dxa" w:w="80"/>
              <w:left w:type="dxa" w:w="100"/>
              <w:bottom w:type="dxa" w:w="80"/>
              <w:right w:type="dxa" w:w="100"/>
            </w:tcMar>
            <w:vAlign w:val="center"/>
          </w:tcPr>
          <w:p>
            <w:pPr>
              <w:spacing w:after="0"/>
            </w:pPr>
            <w:r>
              <w:t xml:space="preserve">Months 5-6</w:t>
            </w:r>
          </w:p>
        </w:tc>
        <w:tc>
          <w:tcPr>
            <w:tcW w:type="dxa" w:w="1904"/>
            <w:shd w:fill="F1F5F9" w:color="auto" w:val="clear"/>
            <w:tcMar>
              <w:top w:type="dxa" w:w="80"/>
              <w:left w:type="dxa" w:w="100"/>
              <w:bottom w:type="dxa" w:w="80"/>
              <w:right w:type="dxa" w:w="100"/>
            </w:tcMar>
            <w:vAlign w:val="center"/>
          </w:tcPr>
          <w:p>
            <w:pPr>
              <w:spacing w:after="0"/>
            </w:pPr>
            <w:r>
              <w:t xml:space="preserve">Jeddah ramping</w:t>
            </w:r>
          </w:p>
        </w:tc>
        <w:tc>
          <w:tcPr>
            <w:tcW w:type="dxa" w:w="2902"/>
            <w:shd w:fill="F1F5F9" w:color="auto" w:val="clear"/>
            <w:tcMar>
              <w:top w:type="dxa" w:w="80"/>
              <w:left w:type="dxa" w:w="100"/>
              <w:bottom w:type="dxa" w:w="80"/>
              <w:right w:type="dxa" w:w="100"/>
            </w:tcMar>
            <w:vAlign w:val="center"/>
          </w:tcPr>
          <w:p>
            <w:pPr>
              <w:spacing w:after="0"/>
            </w:pPr>
            <w:r>
              <w:t xml:space="preserve">60,000</w:t>
            </w:r>
          </w:p>
        </w:tc>
        <w:tc>
          <w:tcPr>
            <w:tcW w:type="dxa" w:w="816"/>
            <w:shd w:fill="F1F5F9" w:color="auto" w:val="clear"/>
            <w:tcMar>
              <w:top w:type="dxa" w:w="80"/>
              <w:left w:type="dxa" w:w="100"/>
              <w:bottom w:type="dxa" w:w="80"/>
              <w:right w:type="dxa" w:w="100"/>
            </w:tcMar>
            <w:vAlign w:val="center"/>
          </w:tcPr>
          <w:p>
            <w:pPr>
              <w:spacing w:after="0"/>
            </w:pPr>
            <w:r>
              <w:t xml:space="preserve">12,000</w:t>
            </w:r>
          </w:p>
        </w:tc>
        <w:tc>
          <w:tcPr>
            <w:tcW w:type="dxa" w:w="816"/>
            <w:shd w:fill="F1F5F9" w:color="auto" w:val="clear"/>
            <w:tcMar>
              <w:top w:type="dxa" w:w="80"/>
              <w:left w:type="dxa" w:w="100"/>
              <w:bottom w:type="dxa" w:w="80"/>
              <w:right w:type="dxa" w:w="100"/>
            </w:tcMar>
            <w:vAlign w:val="center"/>
          </w:tcPr>
          <w:p>
            <w:pPr>
              <w:spacing w:after="0"/>
            </w:pPr>
            <w:r>
              <w:t xml:space="preserve">20,000</w:t>
            </w:r>
          </w:p>
        </w:tc>
        <w:tc>
          <w:tcPr>
            <w:tcW w:type="dxa" w:w="952"/>
            <w:shd w:fill="F1F5F9" w:color="auto" w:val="clear"/>
            <w:tcMar>
              <w:top w:type="dxa" w:w="80"/>
              <w:left w:type="dxa" w:w="100"/>
              <w:bottom w:type="dxa" w:w="80"/>
              <w:right w:type="dxa" w:w="100"/>
            </w:tcMar>
            <w:vAlign w:val="center"/>
          </w:tcPr>
          <w:p>
            <w:pPr>
              <w:spacing w:after="0"/>
            </w:pPr>
            <w:r>
              <w:t xml:space="preserve">6,000</w:t>
            </w:r>
          </w:p>
        </w:tc>
        <w:tc>
          <w:tcPr>
            <w:tcW w:type="dxa" w:w="820"/>
            <w:shd w:fill="F1F5F9" w:color="auto" w:val="clear"/>
            <w:tcMar>
              <w:top w:type="dxa" w:w="80"/>
              <w:left w:type="dxa" w:w="100"/>
              <w:bottom w:type="dxa" w:w="80"/>
              <w:right w:type="dxa" w:w="100"/>
            </w:tcMar>
            <w:vAlign w:val="center"/>
          </w:tcPr>
          <w:p>
            <w:pPr>
              <w:spacing w:after="0"/>
            </w:pPr>
            <w:r>
              <w:rPr>
                <w:b/>
                <w:bCs/>
              </w:rPr>
              <w:t xml:space="preserve">~98,000</w:t>
            </w:r>
          </w:p>
        </w:tc>
      </w:tr>
      <w:tr>
        <w:tc>
          <w:tcPr>
            <w:tcW w:type="dxa" w:w="816"/>
            <w:tcMar>
              <w:top w:type="dxa" w:w="80"/>
              <w:left w:type="dxa" w:w="100"/>
              <w:bottom w:type="dxa" w:w="80"/>
              <w:right w:type="dxa" w:w="100"/>
            </w:tcMar>
            <w:vAlign w:val="center"/>
          </w:tcPr>
          <w:p>
            <w:pPr>
              <w:spacing w:after="0"/>
            </w:pPr>
            <w:r>
              <w:t xml:space="preserve">Months 7-9</w:t>
            </w:r>
          </w:p>
        </w:tc>
        <w:tc>
          <w:tcPr>
            <w:tcW w:type="dxa" w:w="1904"/>
            <w:tcMar>
              <w:top w:type="dxa" w:w="80"/>
              <w:left w:type="dxa" w:w="100"/>
              <w:bottom w:type="dxa" w:w="80"/>
              <w:right w:type="dxa" w:w="100"/>
            </w:tcMar>
            <w:vAlign w:val="center"/>
          </w:tcPr>
          <w:p>
            <w:pPr>
              <w:spacing w:after="0"/>
            </w:pPr>
            <w:r>
              <w:t xml:space="preserve">Riyadh added</w:t>
            </w:r>
          </w:p>
        </w:tc>
        <w:tc>
          <w:tcPr>
            <w:tcW w:type="dxa" w:w="2902"/>
            <w:tcMar>
              <w:top w:type="dxa" w:w="80"/>
              <w:left w:type="dxa" w:w="100"/>
              <w:bottom w:type="dxa" w:w="80"/>
              <w:right w:type="dxa" w:w="100"/>
            </w:tcMar>
            <w:vAlign w:val="center"/>
          </w:tcPr>
          <w:p>
            <w:pPr>
              <w:spacing w:after="0"/>
            </w:pPr>
            <w:r>
              <w:t xml:space="preserve">90,000</w:t>
            </w:r>
          </w:p>
        </w:tc>
        <w:tc>
          <w:tcPr>
            <w:tcW w:type="dxa" w:w="816"/>
            <w:tcMar>
              <w:top w:type="dxa" w:w="80"/>
              <w:left w:type="dxa" w:w="100"/>
              <w:bottom w:type="dxa" w:w="80"/>
              <w:right w:type="dxa" w:w="100"/>
            </w:tcMar>
            <w:vAlign w:val="center"/>
          </w:tcPr>
          <w:p>
            <w:pPr>
              <w:spacing w:after="0"/>
            </w:pPr>
            <w:r>
              <w:t xml:space="preserve">15,000</w:t>
            </w:r>
          </w:p>
        </w:tc>
        <w:tc>
          <w:tcPr>
            <w:tcW w:type="dxa" w:w="816"/>
            <w:tcMar>
              <w:top w:type="dxa" w:w="80"/>
              <w:left w:type="dxa" w:w="100"/>
              <w:bottom w:type="dxa" w:w="80"/>
              <w:right w:type="dxa" w:w="100"/>
            </w:tcMar>
            <w:vAlign w:val="center"/>
          </w:tcPr>
          <w:p>
            <w:pPr>
              <w:spacing w:after="0"/>
            </w:pPr>
            <w:r>
              <w:t xml:space="preserve">25,000</w:t>
            </w:r>
          </w:p>
        </w:tc>
        <w:tc>
          <w:tcPr>
            <w:tcW w:type="dxa" w:w="952"/>
            <w:tcMar>
              <w:top w:type="dxa" w:w="80"/>
              <w:left w:type="dxa" w:w="100"/>
              <w:bottom w:type="dxa" w:w="80"/>
              <w:right w:type="dxa" w:w="100"/>
            </w:tcMar>
            <w:vAlign w:val="center"/>
          </w:tcPr>
          <w:p>
            <w:pPr>
              <w:spacing w:after="0"/>
            </w:pPr>
            <w:r>
              <w:t xml:space="preserve">7,000</w:t>
            </w:r>
          </w:p>
        </w:tc>
        <w:tc>
          <w:tcPr>
            <w:tcW w:type="dxa" w:w="820"/>
            <w:tcMar>
              <w:top w:type="dxa" w:w="80"/>
              <w:left w:type="dxa" w:w="100"/>
              <w:bottom w:type="dxa" w:w="80"/>
              <w:right w:type="dxa" w:w="100"/>
            </w:tcMar>
            <w:vAlign w:val="center"/>
          </w:tcPr>
          <w:p>
            <w:pPr>
              <w:spacing w:after="0"/>
            </w:pPr>
            <w:r>
              <w:rPr>
                <w:b/>
                <w:bCs/>
              </w:rPr>
              <w:t xml:space="preserve">~137,000</w:t>
            </w:r>
          </w:p>
        </w:tc>
      </w:tr>
      <w:tr>
        <w:tc>
          <w:tcPr>
            <w:tcW w:type="dxa" w:w="816"/>
            <w:shd w:fill="F1F5F9" w:color="auto" w:val="clear"/>
            <w:tcMar>
              <w:top w:type="dxa" w:w="80"/>
              <w:left w:type="dxa" w:w="100"/>
              <w:bottom w:type="dxa" w:w="80"/>
              <w:right w:type="dxa" w:w="100"/>
            </w:tcMar>
            <w:vAlign w:val="center"/>
          </w:tcPr>
          <w:p>
            <w:pPr>
              <w:spacing w:after="0"/>
            </w:pPr>
            <w:r>
              <w:t xml:space="preserve">Months 10-12</w:t>
            </w:r>
          </w:p>
        </w:tc>
        <w:tc>
          <w:tcPr>
            <w:tcW w:type="dxa" w:w="1904"/>
            <w:shd w:fill="F1F5F9" w:color="auto" w:val="clear"/>
            <w:tcMar>
              <w:top w:type="dxa" w:w="80"/>
              <w:left w:type="dxa" w:w="100"/>
              <w:bottom w:type="dxa" w:w="80"/>
              <w:right w:type="dxa" w:w="100"/>
            </w:tcMar>
            <w:vAlign w:val="center"/>
          </w:tcPr>
          <w:p>
            <w:pPr>
              <w:spacing w:after="0"/>
            </w:pPr>
            <w:r>
              <w:t xml:space="preserve">Dammam added (full 3-city)</w:t>
            </w:r>
          </w:p>
        </w:tc>
        <w:tc>
          <w:tcPr>
            <w:tcW w:type="dxa" w:w="2902"/>
            <w:shd w:fill="F1F5F9" w:color="auto" w:val="clear"/>
            <w:tcMar>
              <w:top w:type="dxa" w:w="80"/>
              <w:left w:type="dxa" w:w="100"/>
              <w:bottom w:type="dxa" w:w="80"/>
              <w:right w:type="dxa" w:w="100"/>
            </w:tcMar>
            <w:vAlign w:val="center"/>
          </w:tcPr>
          <w:p>
            <w:pPr>
              <w:spacing w:after="0"/>
            </w:pPr>
            <w:r>
              <w:t xml:space="preserve">115,000</w:t>
            </w:r>
          </w:p>
        </w:tc>
        <w:tc>
          <w:tcPr>
            <w:tcW w:type="dxa" w:w="816"/>
            <w:shd w:fill="F1F5F9" w:color="auto" w:val="clear"/>
            <w:tcMar>
              <w:top w:type="dxa" w:w="80"/>
              <w:left w:type="dxa" w:w="100"/>
              <w:bottom w:type="dxa" w:w="80"/>
              <w:right w:type="dxa" w:w="100"/>
            </w:tcMar>
            <w:vAlign w:val="center"/>
          </w:tcPr>
          <w:p>
            <w:pPr>
              <w:spacing w:after="0"/>
            </w:pPr>
            <w:r>
              <w:t xml:space="preserve">18,000</w:t>
            </w:r>
          </w:p>
        </w:tc>
        <w:tc>
          <w:tcPr>
            <w:tcW w:type="dxa" w:w="816"/>
            <w:shd w:fill="F1F5F9" w:color="auto" w:val="clear"/>
            <w:tcMar>
              <w:top w:type="dxa" w:w="80"/>
              <w:left w:type="dxa" w:w="100"/>
              <w:bottom w:type="dxa" w:w="80"/>
              <w:right w:type="dxa" w:w="100"/>
            </w:tcMar>
            <w:vAlign w:val="center"/>
          </w:tcPr>
          <w:p>
            <w:pPr>
              <w:spacing w:after="0"/>
            </w:pPr>
            <w:r>
              <w:t xml:space="preserve">30,000</w:t>
            </w:r>
          </w:p>
        </w:tc>
        <w:tc>
          <w:tcPr>
            <w:tcW w:type="dxa" w:w="952"/>
            <w:shd w:fill="F1F5F9" w:color="auto" w:val="clear"/>
            <w:tcMar>
              <w:top w:type="dxa" w:w="80"/>
              <w:left w:type="dxa" w:w="100"/>
              <w:bottom w:type="dxa" w:w="80"/>
              <w:right w:type="dxa" w:w="100"/>
            </w:tcMar>
            <w:vAlign w:val="center"/>
          </w:tcPr>
          <w:p>
            <w:pPr>
              <w:spacing w:after="0"/>
            </w:pPr>
            <w:r>
              <w:t xml:space="preserve">8,000</w:t>
            </w:r>
          </w:p>
        </w:tc>
        <w:tc>
          <w:tcPr>
            <w:tcW w:type="dxa" w:w="820"/>
            <w:shd w:fill="F1F5F9" w:color="auto" w:val="clear"/>
            <w:tcMar>
              <w:top w:type="dxa" w:w="80"/>
              <w:left w:type="dxa" w:w="100"/>
              <w:bottom w:type="dxa" w:w="80"/>
              <w:right w:type="dxa" w:w="100"/>
            </w:tcMar>
            <w:vAlign w:val="center"/>
          </w:tcPr>
          <w:p>
            <w:pPr>
              <w:spacing w:after="0"/>
            </w:pPr>
            <w:r>
              <w:rPr>
                <w:b/>
                <w:bCs/>
              </w:rPr>
              <w:t xml:space="preserve">~171,000</w:t>
            </w:r>
          </w:p>
        </w:tc>
      </w:tr>
      <w:tr>
        <w:tc>
          <w:tcPr>
            <w:tcW w:type="dxa" w:w="816"/>
            <w:tcMar>
              <w:top w:type="dxa" w:w="80"/>
              <w:left w:type="dxa" w:w="100"/>
              <w:bottom w:type="dxa" w:w="80"/>
              <w:right w:type="dxa" w:w="100"/>
            </w:tcMar>
            <w:vAlign w:val="center"/>
          </w:tcPr>
          <w:p>
            <w:pPr>
              <w:spacing w:after="0"/>
            </w:pPr>
            <w:r>
              <w:t xml:space="preserve">Months 13-18</w:t>
            </w:r>
          </w:p>
        </w:tc>
        <w:tc>
          <w:tcPr>
            <w:tcW w:type="dxa" w:w="1904"/>
            <w:tcMar>
              <w:top w:type="dxa" w:w="80"/>
              <w:left w:type="dxa" w:w="100"/>
              <w:bottom w:type="dxa" w:w="80"/>
              <w:right w:type="dxa" w:w="100"/>
            </w:tcMar>
            <w:vAlign w:val="center"/>
          </w:tcPr>
          <w:p>
            <w:pPr>
              <w:spacing w:after="0"/>
            </w:pPr>
            <w:r>
              <w:t xml:space="preserve">Steady 3-city operation, marketing scaling</w:t>
            </w:r>
          </w:p>
        </w:tc>
        <w:tc>
          <w:tcPr>
            <w:tcW w:type="dxa" w:w="2902"/>
            <w:tcMar>
              <w:top w:type="dxa" w:w="80"/>
              <w:left w:type="dxa" w:w="100"/>
              <w:bottom w:type="dxa" w:w="80"/>
              <w:right w:type="dxa" w:w="100"/>
            </w:tcMar>
            <w:vAlign w:val="center"/>
          </w:tcPr>
          <w:p>
            <w:pPr>
              <w:spacing w:after="0"/>
            </w:pPr>
            <w:r>
              <w:t xml:space="preserve">125,000</w:t>
            </w:r>
          </w:p>
        </w:tc>
        <w:tc>
          <w:tcPr>
            <w:tcW w:type="dxa" w:w="816"/>
            <w:tcMar>
              <w:top w:type="dxa" w:w="80"/>
              <w:left w:type="dxa" w:w="100"/>
              <w:bottom w:type="dxa" w:w="80"/>
              <w:right w:type="dxa" w:w="100"/>
            </w:tcMar>
            <w:vAlign w:val="center"/>
          </w:tcPr>
          <w:p>
            <w:pPr>
              <w:spacing w:after="0"/>
            </w:pPr>
            <w:r>
              <w:t xml:space="preserve">20,000</w:t>
            </w:r>
          </w:p>
        </w:tc>
        <w:tc>
          <w:tcPr>
            <w:tcW w:type="dxa" w:w="816"/>
            <w:tcMar>
              <w:top w:type="dxa" w:w="80"/>
              <w:left w:type="dxa" w:w="100"/>
              <w:bottom w:type="dxa" w:w="80"/>
              <w:right w:type="dxa" w:w="100"/>
            </w:tcMar>
            <w:vAlign w:val="center"/>
          </w:tcPr>
          <w:p>
            <w:pPr>
              <w:spacing w:after="0"/>
            </w:pPr>
            <w:r>
              <w:t xml:space="preserve">35,000</w:t>
            </w:r>
          </w:p>
        </w:tc>
        <w:tc>
          <w:tcPr>
            <w:tcW w:type="dxa" w:w="952"/>
            <w:tcMar>
              <w:top w:type="dxa" w:w="80"/>
              <w:left w:type="dxa" w:w="100"/>
              <w:bottom w:type="dxa" w:w="80"/>
              <w:right w:type="dxa" w:w="100"/>
            </w:tcMar>
            <w:vAlign w:val="center"/>
          </w:tcPr>
          <w:p>
            <w:pPr>
              <w:spacing w:after="0"/>
            </w:pPr>
            <w:r>
              <w:t xml:space="preserve">8,000</w:t>
            </w:r>
          </w:p>
        </w:tc>
        <w:tc>
          <w:tcPr>
            <w:tcW w:type="dxa" w:w="820"/>
            <w:tcMar>
              <w:top w:type="dxa" w:w="80"/>
              <w:left w:type="dxa" w:w="100"/>
              <w:bottom w:type="dxa" w:w="80"/>
              <w:right w:type="dxa" w:w="100"/>
            </w:tcMar>
            <w:vAlign w:val="center"/>
          </w:tcPr>
          <w:p>
            <w:pPr>
              <w:spacing w:after="0"/>
            </w:pPr>
            <w:r>
              <w:rPr>
                <w:b/>
                <w:bCs/>
              </w:rPr>
              <w:t xml:space="preserve">~188,000</w:t>
            </w:r>
          </w:p>
        </w:tc>
      </w:tr>
    </w:tbl>
    <w:p>
      <w:pPr>
        <w:spacing w:after="200"/>
      </w:pPr>
    </w:p>
    <w:p>
      <w:pPr>
        <w:spacing w:after="160"/>
      </w:pPr>
      <w:r>
        <w:rPr>
          <w:i/>
          <w:iCs/>
        </w:rPr>
        <w:t xml:space="preserve">Staff cost figures include an approximate +10% employer on-cost for GOSI (Saudi social insurance) contributions.</w:t>
      </w:r>
    </w:p>
    <w:p>
      <w:pPr>
        <w:pStyle w:val="Heading2"/>
        <w:spacing w:after="160" w:before="360"/>
      </w:pPr>
      <w:r>
        <w:t xml:space="preserve">6.5 Pricing structure — how money actually flows</w:t>
      </w:r>
    </w:p>
    <w:p>
      <w:pPr>
        <w:pStyle w:val="Heading3"/>
        <w:spacing w:after="160" w:before="360"/>
      </w:pPr>
      <w:r>
        <w:t xml:space="preserve">Revenue streams and suggested starting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35"/>
        <w:gridCol w:w="4466"/>
        <w:gridCol w:w="3625"/>
      </w:tblGrid>
      <w:tr>
        <w:trPr>
          <w:tblHeader/>
        </w:trPr>
        <w:tc>
          <w:tcPr>
            <w:tcW w:type="dxa" w:w="935"/>
            <w:shd w:fill="334155" w:color="auto" w:val="clear"/>
            <w:tcMar>
              <w:top w:type="dxa" w:w="80"/>
              <w:left w:type="dxa" w:w="100"/>
              <w:bottom w:type="dxa" w:w="80"/>
              <w:right w:type="dxa" w:w="100"/>
            </w:tcMar>
            <w:vAlign w:val="center"/>
          </w:tcPr>
          <w:p>
            <w:r>
              <w:rPr>
                <w:b/>
                <w:bCs/>
                <w:color w:val="FFFFFF"/>
              </w:rPr>
              <w:t xml:space="preserve">Stream</w:t>
            </w:r>
          </w:p>
        </w:tc>
        <w:tc>
          <w:tcPr>
            <w:tcW w:type="dxa" w:w="4466"/>
            <w:shd w:fill="334155" w:color="auto" w:val="clear"/>
            <w:tcMar>
              <w:top w:type="dxa" w:w="80"/>
              <w:left w:type="dxa" w:w="100"/>
              <w:bottom w:type="dxa" w:w="80"/>
              <w:right w:type="dxa" w:w="100"/>
            </w:tcMar>
            <w:vAlign w:val="center"/>
          </w:tcPr>
          <w:p>
            <w:r>
              <w:rPr>
                <w:b/>
                <w:bCs/>
                <w:color w:val="FFFFFF"/>
              </w:rPr>
              <w:t xml:space="preserve">Suggested starting rate</w:t>
            </w:r>
          </w:p>
        </w:tc>
        <w:tc>
          <w:tcPr>
            <w:tcW w:type="dxa" w:w="3625"/>
            <w:shd w:fill="334155" w:color="auto" w:val="clear"/>
            <w:tcMar>
              <w:top w:type="dxa" w:w="80"/>
              <w:left w:type="dxa" w:w="100"/>
              <w:bottom w:type="dxa" w:w="80"/>
              <w:right w:type="dxa" w:w="100"/>
            </w:tcMar>
            <w:vAlign w:val="center"/>
          </w:tcPr>
          <w:p>
            <w:r>
              <w:rPr>
                <w:b/>
                <w:bCs/>
                <w:color w:val="FFFFFF"/>
              </w:rPr>
              <w:t xml:space="preserve">Notes</w:t>
            </w:r>
          </w:p>
        </w:tc>
      </w:tr>
      <w:tr>
        <w:tc>
          <w:tcPr>
            <w:tcW w:type="dxa" w:w="935"/>
            <w:tcMar>
              <w:top w:type="dxa" w:w="80"/>
              <w:left w:type="dxa" w:w="100"/>
              <w:bottom w:type="dxa" w:w="80"/>
              <w:right w:type="dxa" w:w="100"/>
            </w:tcMar>
            <w:vAlign w:val="center"/>
          </w:tcPr>
          <w:p>
            <w:pPr>
              <w:spacing w:after="0"/>
            </w:pPr>
            <w:r>
              <w:t xml:space="preserve">Commission on completed job</w:t>
            </w:r>
          </w:p>
        </w:tc>
        <w:tc>
          <w:tcPr>
            <w:tcW w:type="dxa" w:w="4466"/>
            <w:tcMar>
              <w:top w:type="dxa" w:w="80"/>
              <w:left w:type="dxa" w:w="100"/>
              <w:bottom w:type="dxa" w:w="80"/>
              <w:right w:type="dxa" w:w="100"/>
            </w:tcMar>
            <w:vAlign w:val="center"/>
          </w:tcPr>
          <w:p>
            <w:pPr>
              <w:spacing w:after="0"/>
            </w:pPr>
            <w:r>
              <w:rPr>
                <w:b/>
                <w:bCs/>
              </w:rPr>
              <w:t xml:space="preserve">18%</w:t>
            </w:r>
            <w:r>
              <w:t xml:space="preserve"> of job value (adjustable 15-25% by job size — lower % on large jobs to stay competitive, since your value-add per riyal is smaller on a SAR 2,000 renovation than a SAR 150 socket fix)</w:t>
            </w:r>
          </w:p>
        </w:tc>
        <w:tc>
          <w:tcPr>
            <w:tcW w:type="dxa" w:w="3625"/>
            <w:tcMar>
              <w:top w:type="dxa" w:w="80"/>
              <w:left w:type="dxa" w:w="100"/>
              <w:bottom w:type="dxa" w:w="80"/>
              <w:right w:type="dxa" w:w="100"/>
            </w:tcMar>
            <w:vAlign w:val="center"/>
          </w:tcPr>
          <w:p>
            <w:pPr>
              <w:spacing w:after="0"/>
            </w:pPr>
            <w:r>
              <w:t xml:space="preserve">Validate with real contractor conversations during onboarding — no competitor publishes their rate, so treat this as a starting hypothesis, not a fixed law</w:t>
            </w:r>
          </w:p>
        </w:tc>
      </w:tr>
      <w:tr>
        <w:tc>
          <w:tcPr>
            <w:tcW w:type="dxa" w:w="935"/>
            <w:shd w:fill="F1F5F9" w:color="auto" w:val="clear"/>
            <w:tcMar>
              <w:top w:type="dxa" w:w="80"/>
              <w:left w:type="dxa" w:w="100"/>
              <w:bottom w:type="dxa" w:w="80"/>
              <w:right w:type="dxa" w:w="100"/>
            </w:tcMar>
            <w:vAlign w:val="center"/>
          </w:tcPr>
          <w:p>
            <w:pPr>
              <w:spacing w:after="0"/>
            </w:pPr>
            <w:r>
              <w:t xml:space="preserve">Customer booking/dispatch fee</w:t>
            </w:r>
          </w:p>
        </w:tc>
        <w:tc>
          <w:tcPr>
            <w:tcW w:type="dxa" w:w="4466"/>
            <w:shd w:fill="F1F5F9" w:color="auto" w:val="clear"/>
            <w:tcMar>
              <w:top w:type="dxa" w:w="80"/>
              <w:left w:type="dxa" w:w="100"/>
              <w:bottom w:type="dxa" w:w="80"/>
              <w:right w:type="dxa" w:w="100"/>
            </w:tcMar>
            <w:vAlign w:val="center"/>
          </w:tcPr>
          <w:p>
            <w:pPr>
              <w:spacing w:after="0"/>
            </w:pPr>
            <w:r>
              <w:rPr>
                <w:b/>
                <w:bCs/>
              </w:rPr>
              <w:t xml:space="preserve">SAR 20</w:t>
            </w:r>
            <w:r>
              <w:t xml:space="preserve"> flat per booking</w:t>
            </w:r>
          </w:p>
        </w:tc>
        <w:tc>
          <w:tcPr>
            <w:tcW w:type="dxa" w:w="3625"/>
            <w:shd w:fill="F1F5F9" w:color="auto" w:val="clear"/>
            <w:tcMar>
              <w:top w:type="dxa" w:w="80"/>
              <w:left w:type="dxa" w:w="100"/>
              <w:bottom w:type="dxa" w:w="80"/>
              <w:right w:type="dxa" w:w="100"/>
            </w:tcMar>
            <w:vAlign w:val="center"/>
          </w:tcPr>
          <w:p>
            <w:pPr>
              <w:spacing w:after="0"/>
            </w:pPr>
            <w:r>
              <w:t xml:space="preserve">Discourages no-shows; waived or reduced for subscription members</w:t>
            </w:r>
          </w:p>
        </w:tc>
      </w:tr>
      <w:tr>
        <w:tc>
          <w:tcPr>
            <w:tcW w:type="dxa" w:w="935"/>
            <w:tcMar>
              <w:top w:type="dxa" w:w="80"/>
              <w:left w:type="dxa" w:w="100"/>
              <w:bottom w:type="dxa" w:w="80"/>
              <w:right w:type="dxa" w:w="100"/>
            </w:tcMar>
            <w:vAlign w:val="center"/>
          </w:tcPr>
          <w:p>
            <w:pPr>
              <w:spacing w:after="0"/>
            </w:pPr>
            <w:r>
              <w:t xml:space="preserve">"Portal Care" maintenance subscription</w:t>
            </w:r>
          </w:p>
        </w:tc>
        <w:tc>
          <w:tcPr>
            <w:tcW w:type="dxa" w:w="4466"/>
            <w:tcMar>
              <w:top w:type="dxa" w:w="80"/>
              <w:left w:type="dxa" w:w="100"/>
              <w:bottom w:type="dxa" w:w="80"/>
              <w:right w:type="dxa" w:w="100"/>
            </w:tcMar>
            <w:vAlign w:val="center"/>
          </w:tcPr>
          <w:p>
            <w:pPr>
              <w:spacing w:after="0"/>
            </w:pPr>
            <w:r>
              <w:rPr>
                <w:b/>
                <w:bCs/>
              </w:rPr>
              <w:t xml:space="preserve">SAR 249/year</w:t>
            </w:r>
            <w:r>
              <w:t xml:space="preserve"> (AC-only plan: 2 services/year) or </w:t>
            </w:r>
            <w:r>
              <w:rPr>
                <w:b/>
                <w:bCs/>
              </w:rPr>
              <w:t xml:space="preserve">SAR 599/year</w:t>
            </w:r>
            <w:r>
              <w:t xml:space="preserve"> (Complete Home: AC + annual electrical/plumbing safety check + priority booking + 10% parts discount)</w:t>
            </w:r>
          </w:p>
        </w:tc>
        <w:tc>
          <w:tcPr>
            <w:tcW w:type="dxa" w:w="3625"/>
            <w:tcMar>
              <w:top w:type="dxa" w:w="80"/>
              <w:left w:type="dxa" w:w="100"/>
              <w:bottom w:type="dxa" w:w="80"/>
              <w:right w:type="dxa" w:w="100"/>
            </w:tcMar>
            <w:vAlign w:val="center"/>
          </w:tcPr>
          <w:p>
            <w:pPr>
              <w:spacing w:after="0"/>
            </w:pPr>
            <w:r>
              <w:t xml:space="preserve">Highest-margin line once trust is established — push actively after every completed job</w:t>
            </w:r>
          </w:p>
        </w:tc>
      </w:tr>
      <w:tr>
        <w:tc>
          <w:tcPr>
            <w:tcW w:type="dxa" w:w="935"/>
            <w:shd w:fill="F1F5F9" w:color="auto" w:val="clear"/>
            <w:tcMar>
              <w:top w:type="dxa" w:w="80"/>
              <w:left w:type="dxa" w:w="100"/>
              <w:bottom w:type="dxa" w:w="80"/>
              <w:right w:type="dxa" w:w="100"/>
            </w:tcMar>
            <w:vAlign w:val="center"/>
          </w:tcPr>
          <w:p>
            <w:pPr>
              <w:spacing w:after="0"/>
            </w:pPr>
            <w:r>
              <w:t xml:space="preserve">Contractor featured placement (Phase 2+)</w:t>
            </w:r>
          </w:p>
        </w:tc>
        <w:tc>
          <w:tcPr>
            <w:tcW w:type="dxa" w:w="4466"/>
            <w:shd w:fill="F1F5F9" w:color="auto" w:val="clear"/>
            <w:tcMar>
              <w:top w:type="dxa" w:w="80"/>
              <w:left w:type="dxa" w:w="100"/>
              <w:bottom w:type="dxa" w:w="80"/>
              <w:right w:type="dxa" w:w="100"/>
            </w:tcMar>
            <w:vAlign w:val="center"/>
          </w:tcPr>
          <w:p>
            <w:pPr>
              <w:spacing w:after="0"/>
            </w:pPr>
            <w:r>
              <w:t xml:space="preserve">Optional, once demand &gt; supply in a city</w:t>
            </w:r>
          </w:p>
        </w:tc>
        <w:tc>
          <w:tcPr>
            <w:tcW w:type="dxa" w:w="3625"/>
            <w:shd w:fill="F1F5F9" w:color="auto" w:val="clear"/>
            <w:tcMar>
              <w:top w:type="dxa" w:w="80"/>
              <w:left w:type="dxa" w:w="100"/>
              <w:bottom w:type="dxa" w:w="80"/>
              <w:right w:type="dxa" w:w="100"/>
            </w:tcMar>
            <w:vAlign w:val="center"/>
          </w:tcPr>
          <w:p>
            <w:pPr>
              <w:spacing w:after="0"/>
            </w:pPr>
            <w:r>
              <w:t xml:space="preserve">Do not introduce until contractors are already getting steady volume — otherwise it just feels like an extra tax</w:t>
            </w:r>
          </w:p>
        </w:tc>
      </w:tr>
    </w:tbl>
    <w:p>
      <w:pPr>
        <w:spacing w:after="200"/>
      </w:pPr>
    </w:p>
    <w:p>
      <w:pPr>
        <w:pStyle w:val="Heading3"/>
        <w:spacing w:after="160" w:before="360"/>
      </w:pPr>
      <w:r>
        <w:t xml:space="preserve">Illustrative price bands shown to customers (per job, labor-inclusive, parts typically extra)</w:t>
      </w:r>
    </w:p>
    <w:p>
      <w:pPr>
        <w:spacing w:after="160"/>
      </w:pPr>
      <w:r>
        <w:rPr>
          <w:i/>
          <w:iCs/>
        </w:rPr>
        <w:t xml:space="preserve">These are indicative Saudi market ranges for budgeting purposes only — validate with real contractor quotes before publishing any price list to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5"/>
        <w:gridCol w:w="4766"/>
        <w:gridCol w:w="2435"/>
      </w:tblGrid>
      <w:tr>
        <w:trPr>
          <w:tblHeader/>
        </w:trPr>
        <w:tc>
          <w:tcPr>
            <w:tcW w:type="dxa" w:w="1825"/>
            <w:shd w:fill="334155" w:color="auto" w:val="clear"/>
            <w:tcMar>
              <w:top w:type="dxa" w:w="80"/>
              <w:left w:type="dxa" w:w="100"/>
              <w:bottom w:type="dxa" w:w="80"/>
              <w:right w:type="dxa" w:w="100"/>
            </w:tcMar>
            <w:vAlign w:val="center"/>
          </w:tcPr>
          <w:p>
            <w:r>
              <w:rPr>
                <w:b/>
                <w:bCs/>
                <w:color w:val="FFFFFF"/>
              </w:rPr>
              <w:t xml:space="preserve">Trade</w:t>
            </w:r>
          </w:p>
        </w:tc>
        <w:tc>
          <w:tcPr>
            <w:tcW w:type="dxa" w:w="4766"/>
            <w:shd w:fill="334155" w:color="auto" w:val="clear"/>
            <w:tcMar>
              <w:top w:type="dxa" w:w="80"/>
              <w:left w:type="dxa" w:w="100"/>
              <w:bottom w:type="dxa" w:w="80"/>
              <w:right w:type="dxa" w:w="100"/>
            </w:tcMar>
            <w:vAlign w:val="center"/>
          </w:tcPr>
          <w:p>
            <w:r>
              <w:rPr>
                <w:b/>
                <w:bCs/>
                <w:color w:val="FFFFFF"/>
              </w:rPr>
              <w:t xml:space="preserve">Job type</w:t>
            </w:r>
          </w:p>
        </w:tc>
        <w:tc>
          <w:tcPr>
            <w:tcW w:type="dxa" w:w="2435"/>
            <w:shd w:fill="334155" w:color="auto" w:val="clear"/>
            <w:tcMar>
              <w:top w:type="dxa" w:w="80"/>
              <w:left w:type="dxa" w:w="100"/>
              <w:bottom w:type="dxa" w:w="80"/>
              <w:right w:type="dxa" w:w="100"/>
            </w:tcMar>
            <w:vAlign w:val="center"/>
          </w:tcPr>
          <w:p>
            <w:r>
              <w:rPr>
                <w:b/>
                <w:bCs/>
                <w:color w:val="FFFFFF"/>
              </w:rPr>
              <w:t xml:space="preserve">Typical price band (SAR)</w:t>
            </w:r>
          </w:p>
        </w:tc>
      </w:tr>
      <w:tr>
        <w:tc>
          <w:tcPr>
            <w:tcW w:type="dxa" w:w="1825"/>
            <w:tcMar>
              <w:top w:type="dxa" w:w="80"/>
              <w:left w:type="dxa" w:w="100"/>
              <w:bottom w:type="dxa" w:w="80"/>
              <w:right w:type="dxa" w:w="100"/>
            </w:tcMar>
            <w:vAlign w:val="center"/>
          </w:tcPr>
          <w:p>
            <w:pPr>
              <w:spacing w:after="0"/>
            </w:pPr>
            <w:r>
              <w:t xml:space="preserve">Electrical</w:t>
            </w:r>
          </w:p>
        </w:tc>
        <w:tc>
          <w:tcPr>
            <w:tcW w:type="dxa" w:w="4766"/>
            <w:tcMar>
              <w:top w:type="dxa" w:w="80"/>
              <w:left w:type="dxa" w:w="100"/>
              <w:bottom w:type="dxa" w:w="80"/>
              <w:right w:type="dxa" w:w="100"/>
            </w:tcMar>
            <w:vAlign w:val="center"/>
          </w:tcPr>
          <w:p>
            <w:pPr>
              <w:spacing w:after="0"/>
            </w:pPr>
            <w:r>
              <w:t xml:space="preserve">Socket/switch/breaker repair or replacement</w:t>
            </w:r>
          </w:p>
        </w:tc>
        <w:tc>
          <w:tcPr>
            <w:tcW w:type="dxa" w:w="2435"/>
            <w:tcMar>
              <w:top w:type="dxa" w:w="80"/>
              <w:left w:type="dxa" w:w="100"/>
              <w:bottom w:type="dxa" w:w="80"/>
              <w:right w:type="dxa" w:w="100"/>
            </w:tcMar>
            <w:vAlign w:val="center"/>
          </w:tcPr>
          <w:p>
            <w:pPr>
              <w:spacing w:after="0"/>
            </w:pPr>
            <w:r>
              <w:t xml:space="preserve">150 – 350</w:t>
            </w:r>
          </w:p>
        </w:tc>
      </w:tr>
      <w:tr>
        <w:tc>
          <w:tcPr>
            <w:tcW w:type="dxa" w:w="1825"/>
            <w:shd w:fill="F1F5F9" w:color="auto" w:val="clear"/>
            <w:tcMar>
              <w:top w:type="dxa" w:w="80"/>
              <w:left w:type="dxa" w:w="100"/>
              <w:bottom w:type="dxa" w:w="80"/>
              <w:right w:type="dxa" w:w="100"/>
            </w:tcMar>
            <w:vAlign w:val="center"/>
          </w:tcPr>
          <w:p>
            <w:pPr>
              <w:spacing w:after="0"/>
            </w:pPr>
            <w:r>
              <w:t xml:space="preserve">Electrical</w:t>
            </w:r>
          </w:p>
        </w:tc>
        <w:tc>
          <w:tcPr>
            <w:tcW w:type="dxa" w:w="4766"/>
            <w:shd w:fill="F1F5F9" w:color="auto" w:val="clear"/>
            <w:tcMar>
              <w:top w:type="dxa" w:w="80"/>
              <w:left w:type="dxa" w:w="100"/>
              <w:bottom w:type="dxa" w:w="80"/>
              <w:right w:type="dxa" w:w="100"/>
            </w:tcMar>
            <w:vAlign w:val="center"/>
          </w:tcPr>
          <w:p>
            <w:pPr>
              <w:spacing w:after="0"/>
            </w:pPr>
            <w:r>
              <w:t xml:space="preserve">Lighting fixture install</w:t>
            </w:r>
          </w:p>
        </w:tc>
        <w:tc>
          <w:tcPr>
            <w:tcW w:type="dxa" w:w="2435"/>
            <w:shd w:fill="F1F5F9" w:color="auto" w:val="clear"/>
            <w:tcMar>
              <w:top w:type="dxa" w:w="80"/>
              <w:left w:type="dxa" w:w="100"/>
              <w:bottom w:type="dxa" w:w="80"/>
              <w:right w:type="dxa" w:w="100"/>
            </w:tcMar>
            <w:vAlign w:val="center"/>
          </w:tcPr>
          <w:p>
            <w:pPr>
              <w:spacing w:after="0"/>
            </w:pPr>
            <w:r>
              <w:t xml:space="preserve">150 – 400</w:t>
            </w:r>
          </w:p>
        </w:tc>
      </w:tr>
      <w:tr>
        <w:tc>
          <w:tcPr>
            <w:tcW w:type="dxa" w:w="1825"/>
            <w:tcMar>
              <w:top w:type="dxa" w:w="80"/>
              <w:left w:type="dxa" w:w="100"/>
              <w:bottom w:type="dxa" w:w="80"/>
              <w:right w:type="dxa" w:w="100"/>
            </w:tcMar>
            <w:vAlign w:val="center"/>
          </w:tcPr>
          <w:p>
            <w:pPr>
              <w:spacing w:after="0"/>
            </w:pPr>
            <w:r>
              <w:t xml:space="preserve">Electrical</w:t>
            </w:r>
          </w:p>
        </w:tc>
        <w:tc>
          <w:tcPr>
            <w:tcW w:type="dxa" w:w="4766"/>
            <w:tcMar>
              <w:top w:type="dxa" w:w="80"/>
              <w:left w:type="dxa" w:w="100"/>
              <w:bottom w:type="dxa" w:w="80"/>
              <w:right w:type="dxa" w:w="100"/>
            </w:tcMar>
            <w:vAlign w:val="center"/>
          </w:tcPr>
          <w:p>
            <w:pPr>
              <w:spacing w:after="0"/>
            </w:pPr>
            <w:r>
              <w:t xml:space="preserve">Partial rewiring / panel upgrade</w:t>
            </w:r>
          </w:p>
        </w:tc>
        <w:tc>
          <w:tcPr>
            <w:tcW w:type="dxa" w:w="2435"/>
            <w:tcMar>
              <w:top w:type="dxa" w:w="80"/>
              <w:left w:type="dxa" w:w="100"/>
              <w:bottom w:type="dxa" w:w="80"/>
              <w:right w:type="dxa" w:w="100"/>
            </w:tcMar>
            <w:vAlign w:val="center"/>
          </w:tcPr>
          <w:p>
            <w:pPr>
              <w:spacing w:after="0"/>
            </w:pPr>
            <w:r>
              <w:t xml:space="preserve">500 – 2,000+</w:t>
            </w:r>
          </w:p>
        </w:tc>
      </w:tr>
      <w:tr>
        <w:tc>
          <w:tcPr>
            <w:tcW w:type="dxa" w:w="1825"/>
            <w:shd w:fill="F1F5F9" w:color="auto" w:val="clear"/>
            <w:tcMar>
              <w:top w:type="dxa" w:w="80"/>
              <w:left w:type="dxa" w:w="100"/>
              <w:bottom w:type="dxa" w:w="80"/>
              <w:right w:type="dxa" w:w="100"/>
            </w:tcMar>
            <w:vAlign w:val="center"/>
          </w:tcPr>
          <w:p>
            <w:pPr>
              <w:spacing w:after="0"/>
            </w:pPr>
            <w:r>
              <w:t xml:space="preserve">Plumbing</w:t>
            </w:r>
          </w:p>
        </w:tc>
        <w:tc>
          <w:tcPr>
            <w:tcW w:type="dxa" w:w="4766"/>
            <w:shd w:fill="F1F5F9" w:color="auto" w:val="clear"/>
            <w:tcMar>
              <w:top w:type="dxa" w:w="80"/>
              <w:left w:type="dxa" w:w="100"/>
              <w:bottom w:type="dxa" w:w="80"/>
              <w:right w:type="dxa" w:w="100"/>
            </w:tcMar>
            <w:vAlign w:val="center"/>
          </w:tcPr>
          <w:p>
            <w:pPr>
              <w:spacing w:after="0"/>
            </w:pPr>
            <w:r>
              <w:t xml:space="preserve">Fixture repair/replacement (tap, sanitary ware)</w:t>
            </w:r>
          </w:p>
        </w:tc>
        <w:tc>
          <w:tcPr>
            <w:tcW w:type="dxa" w:w="2435"/>
            <w:shd w:fill="F1F5F9" w:color="auto" w:val="clear"/>
            <w:tcMar>
              <w:top w:type="dxa" w:w="80"/>
              <w:left w:type="dxa" w:w="100"/>
              <w:bottom w:type="dxa" w:w="80"/>
              <w:right w:type="dxa" w:w="100"/>
            </w:tcMar>
            <w:vAlign w:val="center"/>
          </w:tcPr>
          <w:p>
            <w:pPr>
              <w:spacing w:after="0"/>
            </w:pPr>
            <w:r>
              <w:t xml:space="preserve">150 – 400</w:t>
            </w:r>
          </w:p>
        </w:tc>
      </w:tr>
      <w:tr>
        <w:tc>
          <w:tcPr>
            <w:tcW w:type="dxa" w:w="1825"/>
            <w:tcMar>
              <w:top w:type="dxa" w:w="80"/>
              <w:left w:type="dxa" w:w="100"/>
              <w:bottom w:type="dxa" w:w="80"/>
              <w:right w:type="dxa" w:w="100"/>
            </w:tcMar>
            <w:vAlign w:val="center"/>
          </w:tcPr>
          <w:p>
            <w:pPr>
              <w:spacing w:after="0"/>
            </w:pPr>
            <w:r>
              <w:t xml:space="preserve">Plumbing</w:t>
            </w:r>
          </w:p>
        </w:tc>
        <w:tc>
          <w:tcPr>
            <w:tcW w:type="dxa" w:w="4766"/>
            <w:tcMar>
              <w:top w:type="dxa" w:w="80"/>
              <w:left w:type="dxa" w:w="100"/>
              <w:bottom w:type="dxa" w:w="80"/>
              <w:right w:type="dxa" w:w="100"/>
            </w:tcMar>
            <w:vAlign w:val="center"/>
          </w:tcPr>
          <w:p>
            <w:pPr>
              <w:spacing w:after="0"/>
            </w:pPr>
            <w:r>
              <w:t xml:space="preserve">Water heater install/repair</w:t>
            </w:r>
          </w:p>
        </w:tc>
        <w:tc>
          <w:tcPr>
            <w:tcW w:type="dxa" w:w="2435"/>
            <w:tcMar>
              <w:top w:type="dxa" w:w="80"/>
              <w:left w:type="dxa" w:w="100"/>
              <w:bottom w:type="dxa" w:w="80"/>
              <w:right w:type="dxa" w:w="100"/>
            </w:tcMar>
            <w:vAlign w:val="center"/>
          </w:tcPr>
          <w:p>
            <w:pPr>
              <w:spacing w:after="0"/>
            </w:pPr>
            <w:r>
              <w:t xml:space="preserve">400 – 1,200</w:t>
            </w:r>
          </w:p>
        </w:tc>
      </w:tr>
      <w:tr>
        <w:tc>
          <w:tcPr>
            <w:tcW w:type="dxa" w:w="1825"/>
            <w:shd w:fill="F1F5F9" w:color="auto" w:val="clear"/>
            <w:tcMar>
              <w:top w:type="dxa" w:w="80"/>
              <w:left w:type="dxa" w:w="100"/>
              <w:bottom w:type="dxa" w:w="80"/>
              <w:right w:type="dxa" w:w="100"/>
            </w:tcMar>
            <w:vAlign w:val="center"/>
          </w:tcPr>
          <w:p>
            <w:pPr>
              <w:spacing w:after="0"/>
            </w:pPr>
            <w:r>
              <w:t xml:space="preserve">Plumbing</w:t>
            </w:r>
          </w:p>
        </w:tc>
        <w:tc>
          <w:tcPr>
            <w:tcW w:type="dxa" w:w="4766"/>
            <w:shd w:fill="F1F5F9" w:color="auto" w:val="clear"/>
            <w:tcMar>
              <w:top w:type="dxa" w:w="80"/>
              <w:left w:type="dxa" w:w="100"/>
              <w:bottom w:type="dxa" w:w="80"/>
              <w:right w:type="dxa" w:w="100"/>
            </w:tcMar>
            <w:vAlign w:val="center"/>
          </w:tcPr>
          <w:p>
            <w:pPr>
              <w:spacing w:after="0"/>
            </w:pPr>
            <w:r>
              <w:t xml:space="preserve">Drainage / major leak / supply line issue</w:t>
            </w:r>
          </w:p>
        </w:tc>
        <w:tc>
          <w:tcPr>
            <w:tcW w:type="dxa" w:w="2435"/>
            <w:shd w:fill="F1F5F9" w:color="auto" w:val="clear"/>
            <w:tcMar>
              <w:top w:type="dxa" w:w="80"/>
              <w:left w:type="dxa" w:w="100"/>
              <w:bottom w:type="dxa" w:w="80"/>
              <w:right w:type="dxa" w:w="100"/>
            </w:tcMar>
            <w:vAlign w:val="center"/>
          </w:tcPr>
          <w:p>
            <w:pPr>
              <w:spacing w:after="0"/>
            </w:pPr>
            <w:r>
              <w:t xml:space="preserve">500 – 2,000</w:t>
            </w:r>
          </w:p>
        </w:tc>
      </w:tr>
      <w:tr>
        <w:tc>
          <w:tcPr>
            <w:tcW w:type="dxa" w:w="1825"/>
            <w:tcMar>
              <w:top w:type="dxa" w:w="80"/>
              <w:left w:type="dxa" w:w="100"/>
              <w:bottom w:type="dxa" w:w="80"/>
              <w:right w:type="dxa" w:w="100"/>
            </w:tcMar>
            <w:vAlign w:val="center"/>
          </w:tcPr>
          <w:p>
            <w:pPr>
              <w:spacing w:after="0"/>
            </w:pPr>
            <w:r>
              <w:t xml:space="preserve">HVAC</w:t>
            </w:r>
          </w:p>
        </w:tc>
        <w:tc>
          <w:tcPr>
            <w:tcW w:type="dxa" w:w="4766"/>
            <w:tcMar>
              <w:top w:type="dxa" w:w="80"/>
              <w:left w:type="dxa" w:w="100"/>
              <w:bottom w:type="dxa" w:w="80"/>
              <w:right w:type="dxa" w:w="100"/>
            </w:tcMar>
            <w:vAlign w:val="center"/>
          </w:tcPr>
          <w:p>
            <w:pPr>
              <w:spacing w:after="0"/>
            </w:pPr>
            <w:r>
              <w:t xml:space="preserve">Window AC service</w:t>
            </w:r>
          </w:p>
        </w:tc>
        <w:tc>
          <w:tcPr>
            <w:tcW w:type="dxa" w:w="2435"/>
            <w:tcMar>
              <w:top w:type="dxa" w:w="80"/>
              <w:left w:type="dxa" w:w="100"/>
              <w:bottom w:type="dxa" w:w="80"/>
              <w:right w:type="dxa" w:w="100"/>
            </w:tcMar>
            <w:vAlign w:val="center"/>
          </w:tcPr>
          <w:p>
            <w:pPr>
              <w:spacing w:after="0"/>
            </w:pPr>
            <w:r>
              <w:t xml:space="preserve">150 – 250</w:t>
            </w:r>
          </w:p>
        </w:tc>
      </w:tr>
      <w:tr>
        <w:tc>
          <w:tcPr>
            <w:tcW w:type="dxa" w:w="1825"/>
            <w:shd w:fill="F1F5F9" w:color="auto" w:val="clear"/>
            <w:tcMar>
              <w:top w:type="dxa" w:w="80"/>
              <w:left w:type="dxa" w:w="100"/>
              <w:bottom w:type="dxa" w:w="80"/>
              <w:right w:type="dxa" w:w="100"/>
            </w:tcMar>
            <w:vAlign w:val="center"/>
          </w:tcPr>
          <w:p>
            <w:pPr>
              <w:spacing w:after="0"/>
            </w:pPr>
            <w:r>
              <w:t xml:space="preserve">HVAC</w:t>
            </w:r>
          </w:p>
        </w:tc>
        <w:tc>
          <w:tcPr>
            <w:tcW w:type="dxa" w:w="4766"/>
            <w:shd w:fill="F1F5F9" w:color="auto" w:val="clear"/>
            <w:tcMar>
              <w:top w:type="dxa" w:w="80"/>
              <w:left w:type="dxa" w:w="100"/>
              <w:bottom w:type="dxa" w:w="80"/>
              <w:right w:type="dxa" w:w="100"/>
            </w:tcMar>
            <w:vAlign w:val="center"/>
          </w:tcPr>
          <w:p>
            <w:pPr>
              <w:spacing w:after="0"/>
            </w:pPr>
            <w:r>
              <w:t xml:space="preserve">Window AC replace/install</w:t>
            </w:r>
          </w:p>
        </w:tc>
        <w:tc>
          <w:tcPr>
            <w:tcW w:type="dxa" w:w="2435"/>
            <w:shd w:fill="F1F5F9" w:color="auto" w:val="clear"/>
            <w:tcMar>
              <w:top w:type="dxa" w:w="80"/>
              <w:left w:type="dxa" w:w="100"/>
              <w:bottom w:type="dxa" w:w="80"/>
              <w:right w:type="dxa" w:w="100"/>
            </w:tcMar>
            <w:vAlign w:val="center"/>
          </w:tcPr>
          <w:p>
            <w:pPr>
              <w:spacing w:after="0"/>
            </w:pPr>
            <w:r>
              <w:t xml:space="preserve">800 – 1,800</w:t>
            </w:r>
          </w:p>
        </w:tc>
      </w:tr>
      <w:tr>
        <w:tc>
          <w:tcPr>
            <w:tcW w:type="dxa" w:w="1825"/>
            <w:tcMar>
              <w:top w:type="dxa" w:w="80"/>
              <w:left w:type="dxa" w:w="100"/>
              <w:bottom w:type="dxa" w:w="80"/>
              <w:right w:type="dxa" w:w="100"/>
            </w:tcMar>
            <w:vAlign w:val="center"/>
          </w:tcPr>
          <w:p>
            <w:pPr>
              <w:spacing w:after="0"/>
            </w:pPr>
            <w:r>
              <w:t xml:space="preserve">HVAC</w:t>
            </w:r>
          </w:p>
        </w:tc>
        <w:tc>
          <w:tcPr>
            <w:tcW w:type="dxa" w:w="4766"/>
            <w:tcMar>
              <w:top w:type="dxa" w:w="80"/>
              <w:left w:type="dxa" w:w="100"/>
              <w:bottom w:type="dxa" w:w="80"/>
              <w:right w:type="dxa" w:w="100"/>
            </w:tcMar>
            <w:vAlign w:val="center"/>
          </w:tcPr>
          <w:p>
            <w:pPr>
              <w:spacing w:after="0"/>
            </w:pPr>
            <w:r>
              <w:t xml:space="preserve">Split AC service (per unit)</w:t>
            </w:r>
          </w:p>
        </w:tc>
        <w:tc>
          <w:tcPr>
            <w:tcW w:type="dxa" w:w="2435"/>
            <w:tcMar>
              <w:top w:type="dxa" w:w="80"/>
              <w:left w:type="dxa" w:w="100"/>
              <w:bottom w:type="dxa" w:w="80"/>
              <w:right w:type="dxa" w:w="100"/>
            </w:tcMar>
            <w:vAlign w:val="center"/>
          </w:tcPr>
          <w:p>
            <w:pPr>
              <w:spacing w:after="0"/>
            </w:pPr>
            <w:r>
              <w:t xml:space="preserve">150 – 300</w:t>
            </w:r>
          </w:p>
        </w:tc>
      </w:tr>
      <w:tr>
        <w:tc>
          <w:tcPr>
            <w:tcW w:type="dxa" w:w="1825"/>
            <w:shd w:fill="F1F5F9" w:color="auto" w:val="clear"/>
            <w:tcMar>
              <w:top w:type="dxa" w:w="80"/>
              <w:left w:type="dxa" w:w="100"/>
              <w:bottom w:type="dxa" w:w="80"/>
              <w:right w:type="dxa" w:w="100"/>
            </w:tcMar>
            <w:vAlign w:val="center"/>
          </w:tcPr>
          <w:p>
            <w:pPr>
              <w:spacing w:after="0"/>
            </w:pPr>
            <w:r>
              <w:t xml:space="preserve">HVAC</w:t>
            </w:r>
          </w:p>
        </w:tc>
        <w:tc>
          <w:tcPr>
            <w:tcW w:type="dxa" w:w="4766"/>
            <w:shd w:fill="F1F5F9" w:color="auto" w:val="clear"/>
            <w:tcMar>
              <w:top w:type="dxa" w:w="80"/>
              <w:left w:type="dxa" w:w="100"/>
              <w:bottom w:type="dxa" w:w="80"/>
              <w:right w:type="dxa" w:w="100"/>
            </w:tcMar>
            <w:vAlign w:val="center"/>
          </w:tcPr>
          <w:p>
            <w:pPr>
              <w:spacing w:after="0"/>
            </w:pPr>
            <w:r>
              <w:t xml:space="preserve">Split AC install (labor only)</w:t>
            </w:r>
          </w:p>
        </w:tc>
        <w:tc>
          <w:tcPr>
            <w:tcW w:type="dxa" w:w="2435"/>
            <w:shd w:fill="F1F5F9" w:color="auto" w:val="clear"/>
            <w:tcMar>
              <w:top w:type="dxa" w:w="80"/>
              <w:left w:type="dxa" w:w="100"/>
              <w:bottom w:type="dxa" w:w="80"/>
              <w:right w:type="dxa" w:w="100"/>
            </w:tcMar>
            <w:vAlign w:val="center"/>
          </w:tcPr>
          <w:p>
            <w:pPr>
              <w:spacing w:after="0"/>
            </w:pPr>
            <w:r>
              <w:t xml:space="preserve">600 – 1,500</w:t>
            </w:r>
          </w:p>
        </w:tc>
      </w:tr>
      <w:tr>
        <w:tc>
          <w:tcPr>
            <w:tcW w:type="dxa" w:w="1825"/>
            <w:tcMar>
              <w:top w:type="dxa" w:w="80"/>
              <w:left w:type="dxa" w:w="100"/>
              <w:bottom w:type="dxa" w:w="80"/>
              <w:right w:type="dxa" w:w="100"/>
            </w:tcMar>
            <w:vAlign w:val="center"/>
          </w:tcPr>
          <w:p>
            <w:pPr>
              <w:spacing w:after="0"/>
            </w:pPr>
            <w:r>
              <w:t xml:space="preserve">HVAC</w:t>
            </w:r>
          </w:p>
        </w:tc>
        <w:tc>
          <w:tcPr>
            <w:tcW w:type="dxa" w:w="4766"/>
            <w:tcMar>
              <w:top w:type="dxa" w:w="80"/>
              <w:left w:type="dxa" w:w="100"/>
              <w:bottom w:type="dxa" w:w="80"/>
              <w:right w:type="dxa" w:w="100"/>
            </w:tcMar>
            <w:vAlign w:val="center"/>
          </w:tcPr>
          <w:p>
            <w:pPr>
              <w:spacing w:after="0"/>
            </w:pPr>
            <w:r>
              <w:t xml:space="preserve">Package unit service</w:t>
            </w:r>
          </w:p>
        </w:tc>
        <w:tc>
          <w:tcPr>
            <w:tcW w:type="dxa" w:w="2435"/>
            <w:tcMar>
              <w:top w:type="dxa" w:w="80"/>
              <w:left w:type="dxa" w:w="100"/>
              <w:bottom w:type="dxa" w:w="80"/>
              <w:right w:type="dxa" w:w="100"/>
            </w:tcMar>
            <w:vAlign w:val="center"/>
          </w:tcPr>
          <w:p>
            <w:pPr>
              <w:spacing w:after="0"/>
            </w:pPr>
            <w:r>
              <w:t xml:space="preserve">400 – 900</w:t>
            </w:r>
          </w:p>
        </w:tc>
      </w:tr>
      <w:tr>
        <w:tc>
          <w:tcPr>
            <w:tcW w:type="dxa" w:w="1825"/>
            <w:shd w:fill="F1F5F9" w:color="auto" w:val="clear"/>
            <w:tcMar>
              <w:top w:type="dxa" w:w="80"/>
              <w:left w:type="dxa" w:w="100"/>
              <w:bottom w:type="dxa" w:w="80"/>
              <w:right w:type="dxa" w:w="100"/>
            </w:tcMar>
            <w:vAlign w:val="center"/>
          </w:tcPr>
          <w:p>
            <w:pPr>
              <w:spacing w:after="0"/>
            </w:pPr>
            <w:r>
              <w:t xml:space="preserve">Civil finishes</w:t>
            </w:r>
          </w:p>
        </w:tc>
        <w:tc>
          <w:tcPr>
            <w:tcW w:type="dxa" w:w="4766"/>
            <w:shd w:fill="F1F5F9" w:color="auto" w:val="clear"/>
            <w:tcMar>
              <w:top w:type="dxa" w:w="80"/>
              <w:left w:type="dxa" w:w="100"/>
              <w:bottom w:type="dxa" w:w="80"/>
              <w:right w:type="dxa" w:w="100"/>
            </w:tcMar>
            <w:vAlign w:val="center"/>
          </w:tcPr>
          <w:p>
            <w:pPr>
              <w:spacing w:after="0"/>
            </w:pPr>
            <w:r>
              <w:t xml:space="preserve">Painting (per room, basic materials incl.)</w:t>
            </w:r>
          </w:p>
        </w:tc>
        <w:tc>
          <w:tcPr>
            <w:tcW w:type="dxa" w:w="2435"/>
            <w:shd w:fill="F1F5F9" w:color="auto" w:val="clear"/>
            <w:tcMar>
              <w:top w:type="dxa" w:w="80"/>
              <w:left w:type="dxa" w:w="100"/>
              <w:bottom w:type="dxa" w:w="80"/>
              <w:right w:type="dxa" w:w="100"/>
            </w:tcMar>
            <w:vAlign w:val="center"/>
          </w:tcPr>
          <w:p>
            <w:pPr>
              <w:spacing w:after="0"/>
            </w:pPr>
            <w:r>
              <w:t xml:space="preserve">400 – 1,200</w:t>
            </w:r>
          </w:p>
        </w:tc>
      </w:tr>
      <w:tr>
        <w:tc>
          <w:tcPr>
            <w:tcW w:type="dxa" w:w="1825"/>
            <w:tcMar>
              <w:top w:type="dxa" w:w="80"/>
              <w:left w:type="dxa" w:w="100"/>
              <w:bottom w:type="dxa" w:w="80"/>
              <w:right w:type="dxa" w:w="100"/>
            </w:tcMar>
            <w:vAlign w:val="center"/>
          </w:tcPr>
          <w:p>
            <w:pPr>
              <w:spacing w:after="0"/>
            </w:pPr>
            <w:r>
              <w:t xml:space="preserve">Civil finishes</w:t>
            </w:r>
          </w:p>
        </w:tc>
        <w:tc>
          <w:tcPr>
            <w:tcW w:type="dxa" w:w="4766"/>
            <w:tcMar>
              <w:top w:type="dxa" w:w="80"/>
              <w:left w:type="dxa" w:w="100"/>
              <w:bottom w:type="dxa" w:w="80"/>
              <w:right w:type="dxa" w:w="100"/>
            </w:tcMar>
            <w:vAlign w:val="center"/>
          </w:tcPr>
          <w:p>
            <w:pPr>
              <w:spacing w:after="0"/>
            </w:pPr>
            <w:r>
              <w:t xml:space="preserve">Tiling (per m², labor only)</w:t>
            </w:r>
          </w:p>
        </w:tc>
        <w:tc>
          <w:tcPr>
            <w:tcW w:type="dxa" w:w="2435"/>
            <w:tcMar>
              <w:top w:type="dxa" w:w="80"/>
              <w:left w:type="dxa" w:w="100"/>
              <w:bottom w:type="dxa" w:w="80"/>
              <w:right w:type="dxa" w:w="100"/>
            </w:tcMar>
            <w:vAlign w:val="center"/>
          </w:tcPr>
          <w:p>
            <w:pPr>
              <w:spacing w:after="0"/>
            </w:pPr>
            <w:r>
              <w:t xml:space="preserve">40 – 90</w:t>
            </w:r>
          </w:p>
        </w:tc>
      </w:tr>
    </w:tbl>
    <w:p>
      <w:pPr>
        <w:spacing w:after="200"/>
      </w:pPr>
    </w:p>
    <w:p>
      <w:pPr>
        <w:pStyle w:val="Heading3"/>
        <w:spacing w:after="160" w:before="360"/>
      </w:pPr>
      <w:r>
        <w:t xml:space="preserve">A worked example</w:t>
      </w:r>
    </w:p>
    <w:p>
      <w:pPr>
        <w:spacing w:after="160"/>
      </w:pPr>
      <w:r>
        <w:t xml:space="preserve">A SAR 350 socket-and-breaker job: customer pays </w:t>
      </w:r>
      <w:r>
        <w:rPr>
          <w:b/>
          <w:bCs/>
        </w:rPr>
        <w:t xml:space="preserve">SAR 370</w:t>
      </w:r>
      <w:r>
        <w:t xml:space="preserve"> (350 + SAR 20 booking fee). We keep </w:t>
      </w:r>
      <w:r>
        <w:rPr>
          <w:b/>
          <w:bCs/>
        </w:rPr>
        <w:t xml:space="preserve">SAR 63</w:t>
      </w:r>
      <w:r>
        <w:t xml:space="preserve"> commission (18% of 350) + the SAR 20 fee = </w:t>
      </w:r>
      <w:r>
        <w:rPr>
          <w:b/>
          <w:bCs/>
        </w:rPr>
        <w:t xml:space="preserve">SAR 83</w:t>
      </w:r>
      <w:r>
        <w:t xml:space="preserve"> to us; the contractor receives </w:t>
      </w:r>
      <w:r>
        <w:rPr>
          <w:b/>
          <w:bCs/>
        </w:rPr>
        <w:t xml:space="preserve">SAR 287</w:t>
      </w:r>
      <w:r>
        <w:t xml:space="preserve">.</w:t>
      </w:r>
    </w:p>
    <w:p>
      <w:pPr>
        <w:pStyle w:val="Heading2"/>
        <w:spacing w:after="160" w:before="360"/>
      </w:pPr>
      <w:r>
        <w:t xml:space="preserve">6.6 Illustrative path to break-even (Year 1)</w:t>
      </w:r>
    </w:p>
    <w:p>
      <w:pPr>
        <w:spacing w:after="160"/>
      </w:pPr>
      <w:r>
        <w:t xml:space="preserve">This is a simplified model to show the </w:t>
      </w:r>
      <w:r>
        <w:rPr>
          <w:i/>
          <w:iCs/>
        </w:rPr>
        <w:t xml:space="preserve">shape</w:t>
      </w:r>
      <w:r>
        <w:t xml:space="preserve"> of the ramp, not a precise forecast — actual numbers depend heavily on real CAC and contractor density achieved.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2578"/>
        <w:gridCol w:w="1289"/>
        <w:gridCol w:w="1292"/>
      </w:tblGrid>
      <w:tr>
        <w:trPr>
          <w:tblHeader/>
        </w:trPr>
        <w:tc>
          <w:tcPr>
            <w:tcW w:type="dxa" w:w="1289"/>
            <w:shd w:fill="334155" w:color="auto" w:val="clear"/>
            <w:tcMar>
              <w:top w:type="dxa" w:w="80"/>
              <w:left w:type="dxa" w:w="100"/>
              <w:bottom w:type="dxa" w:w="80"/>
              <w:right w:type="dxa" w:w="100"/>
            </w:tcMar>
            <w:vAlign w:val="center"/>
          </w:tcPr>
          <w:p>
            <w:r>
              <w:rPr>
                <w:b/>
                <w:bCs/>
                <w:color w:val="FFFFFF"/>
              </w:rPr>
              <w:t xml:space="preserve">Month</w:t>
            </w:r>
          </w:p>
        </w:tc>
        <w:tc>
          <w:tcPr>
            <w:tcW w:type="dxa" w:w="1289"/>
            <w:shd w:fill="334155" w:color="auto" w:val="clear"/>
            <w:tcMar>
              <w:top w:type="dxa" w:w="80"/>
              <w:left w:type="dxa" w:w="100"/>
              <w:bottom w:type="dxa" w:w="80"/>
              <w:right w:type="dxa" w:w="100"/>
            </w:tcMar>
            <w:vAlign w:val="center"/>
          </w:tcPr>
          <w:p>
            <w:r>
              <w:rPr>
                <w:b/>
                <w:bCs/>
                <w:color w:val="FFFFFF"/>
              </w:rPr>
              <w:t xml:space="preserve">City coverage</w:t>
            </w:r>
          </w:p>
        </w:tc>
        <w:tc>
          <w:tcPr>
            <w:tcW w:type="dxa" w:w="1289"/>
            <w:shd w:fill="334155" w:color="auto" w:val="clear"/>
            <w:tcMar>
              <w:top w:type="dxa" w:w="80"/>
              <w:left w:type="dxa" w:w="100"/>
              <w:bottom w:type="dxa" w:w="80"/>
              <w:right w:type="dxa" w:w="100"/>
            </w:tcMar>
            <w:vAlign w:val="center"/>
          </w:tcPr>
          <w:p>
            <w:r>
              <w:rPr>
                <w:b/>
                <w:bCs/>
                <w:color w:val="FFFFFF"/>
              </w:rPr>
              <w:t xml:space="preserve">Est. jobs/month</w:t>
            </w:r>
          </w:p>
        </w:tc>
        <w:tc>
          <w:tcPr>
            <w:tcW w:type="dxa" w:w="2578"/>
            <w:shd w:fill="334155" w:color="auto" w:val="clear"/>
            <w:tcMar>
              <w:top w:type="dxa" w:w="80"/>
              <w:left w:type="dxa" w:w="100"/>
              <w:bottom w:type="dxa" w:w="80"/>
              <w:right w:type="dxa" w:w="100"/>
            </w:tcMar>
            <w:vAlign w:val="center"/>
          </w:tcPr>
          <w:p>
            <w:r>
              <w:rPr>
                <w:b/>
                <w:bCs/>
                <w:color w:val="FFFFFF"/>
              </w:rPr>
              <w:t xml:space="preserve">Est. net revenue (commission + fees)</w:t>
            </w:r>
          </w:p>
        </w:tc>
        <w:tc>
          <w:tcPr>
            <w:tcW w:type="dxa" w:w="1289"/>
            <w:shd w:fill="334155" w:color="auto" w:val="clear"/>
            <w:tcMar>
              <w:top w:type="dxa" w:w="80"/>
              <w:left w:type="dxa" w:w="100"/>
              <w:bottom w:type="dxa" w:w="80"/>
              <w:right w:type="dxa" w:w="100"/>
            </w:tcMar>
            <w:vAlign w:val="center"/>
          </w:tcPr>
          <w:p>
            <w:r>
              <w:rPr>
                <w:b/>
                <w:bCs/>
                <w:color w:val="FFFFFF"/>
              </w:rPr>
              <w:t xml:space="preserve">Running cost</w:t>
            </w:r>
          </w:p>
        </w:tc>
        <w:tc>
          <w:tcPr>
            <w:tcW w:type="dxa" w:w="1292"/>
            <w:shd w:fill="334155" w:color="auto" w:val="clear"/>
            <w:tcMar>
              <w:top w:type="dxa" w:w="80"/>
              <w:left w:type="dxa" w:w="100"/>
              <w:bottom w:type="dxa" w:w="80"/>
              <w:right w:type="dxa" w:w="100"/>
            </w:tcMar>
            <w:vAlign w:val="center"/>
          </w:tcPr>
          <w:p>
            <w:r>
              <w:rPr>
                <w:b/>
                <w:bCs/>
                <w:color w:val="FFFFFF"/>
              </w:rPr>
              <w:t xml:space="preserve">Monthly gap</w:t>
            </w:r>
          </w:p>
        </w:tc>
      </w:tr>
      <w:tr>
        <w:tc>
          <w:tcPr>
            <w:tcW w:type="dxa" w:w="1289"/>
            <w:tcMar>
              <w:top w:type="dxa" w:w="80"/>
              <w:left w:type="dxa" w:w="100"/>
              <w:bottom w:type="dxa" w:w="80"/>
              <w:right w:type="dxa" w:w="100"/>
            </w:tcMar>
            <w:vAlign w:val="center"/>
          </w:tcPr>
          <w:p>
            <w:pPr>
              <w:spacing w:after="0"/>
            </w:pPr>
            <w:r>
              <w:t xml:space="preserve">3</w:t>
            </w:r>
          </w:p>
        </w:tc>
        <w:tc>
          <w:tcPr>
            <w:tcW w:type="dxa" w:w="1289"/>
            <w:tcMar>
              <w:top w:type="dxa" w:w="80"/>
              <w:left w:type="dxa" w:w="100"/>
              <w:bottom w:type="dxa" w:w="80"/>
              <w:right w:type="dxa" w:w="100"/>
            </w:tcMar>
            <w:vAlign w:val="center"/>
          </w:tcPr>
          <w:p>
            <w:pPr>
              <w:spacing w:after="0"/>
            </w:pPr>
            <w:r>
              <w:t xml:space="preserve">Jeddah soft launch</w:t>
            </w:r>
          </w:p>
        </w:tc>
        <w:tc>
          <w:tcPr>
            <w:tcW w:type="dxa" w:w="1289"/>
            <w:tcMar>
              <w:top w:type="dxa" w:w="80"/>
              <w:left w:type="dxa" w:w="100"/>
              <w:bottom w:type="dxa" w:w="80"/>
              <w:right w:type="dxa" w:w="100"/>
            </w:tcMar>
            <w:vAlign w:val="center"/>
          </w:tcPr>
          <w:p>
            <w:pPr>
              <w:spacing w:after="0"/>
            </w:pPr>
            <w:r>
              <w:t xml:space="preserve">50</w:t>
            </w:r>
          </w:p>
        </w:tc>
        <w:tc>
          <w:tcPr>
            <w:tcW w:type="dxa" w:w="2578"/>
            <w:tcMar>
              <w:top w:type="dxa" w:w="80"/>
              <w:left w:type="dxa" w:w="100"/>
              <w:bottom w:type="dxa" w:w="80"/>
              <w:right w:type="dxa" w:w="100"/>
            </w:tcMar>
            <w:vAlign w:val="center"/>
          </w:tcPr>
          <w:p>
            <w:pPr>
              <w:spacing w:after="0"/>
            </w:pPr>
            <w:r>
              <w:t xml:space="preserve">~4,150</w:t>
            </w:r>
          </w:p>
        </w:tc>
        <w:tc>
          <w:tcPr>
            <w:tcW w:type="dxa" w:w="1289"/>
            <w:tcMar>
              <w:top w:type="dxa" w:w="80"/>
              <w:left w:type="dxa" w:w="100"/>
              <w:bottom w:type="dxa" w:w="80"/>
              <w:right w:type="dxa" w:w="100"/>
            </w:tcMar>
            <w:vAlign w:val="center"/>
          </w:tcPr>
          <w:p>
            <w:pPr>
              <w:spacing w:after="0"/>
            </w:pPr>
            <w:r>
              <w:t xml:space="preserve">72,000</w:t>
            </w:r>
          </w:p>
        </w:tc>
        <w:tc>
          <w:tcPr>
            <w:tcW w:type="dxa" w:w="1292"/>
            <w:tcMar>
              <w:top w:type="dxa" w:w="80"/>
              <w:left w:type="dxa" w:w="100"/>
              <w:bottom w:type="dxa" w:w="80"/>
              <w:right w:type="dxa" w:w="100"/>
            </w:tcMar>
            <w:vAlign w:val="center"/>
          </w:tcPr>
          <w:p>
            <w:pPr>
              <w:spacing w:after="0"/>
            </w:pPr>
            <w:r>
              <w:t xml:space="preserve">-67,850</w:t>
            </w:r>
          </w:p>
        </w:tc>
      </w:tr>
      <w:tr>
        <w:tc>
          <w:tcPr>
            <w:tcW w:type="dxa" w:w="1289"/>
            <w:shd w:fill="F1F5F9" w:color="auto" w:val="clear"/>
            <w:tcMar>
              <w:top w:type="dxa" w:w="80"/>
              <w:left w:type="dxa" w:w="100"/>
              <w:bottom w:type="dxa" w:w="80"/>
              <w:right w:type="dxa" w:w="100"/>
            </w:tcMar>
            <w:vAlign w:val="center"/>
          </w:tcPr>
          <w:p>
            <w:pPr>
              <w:spacing w:after="0"/>
            </w:pPr>
            <w:r>
              <w:t xml:space="preserve">6</w:t>
            </w:r>
          </w:p>
        </w:tc>
        <w:tc>
          <w:tcPr>
            <w:tcW w:type="dxa" w:w="1289"/>
            <w:shd w:fill="F1F5F9" w:color="auto" w:val="clear"/>
            <w:tcMar>
              <w:top w:type="dxa" w:w="80"/>
              <w:left w:type="dxa" w:w="100"/>
              <w:bottom w:type="dxa" w:w="80"/>
              <w:right w:type="dxa" w:w="100"/>
            </w:tcMar>
            <w:vAlign w:val="center"/>
          </w:tcPr>
          <w:p>
            <w:pPr>
              <w:spacing w:after="0"/>
            </w:pPr>
            <w:r>
              <w:t xml:space="preserve">Jeddah ramping</w:t>
            </w:r>
          </w:p>
        </w:tc>
        <w:tc>
          <w:tcPr>
            <w:tcW w:type="dxa" w:w="1289"/>
            <w:shd w:fill="F1F5F9" w:color="auto" w:val="clear"/>
            <w:tcMar>
              <w:top w:type="dxa" w:w="80"/>
              <w:left w:type="dxa" w:w="100"/>
              <w:bottom w:type="dxa" w:w="80"/>
              <w:right w:type="dxa" w:w="100"/>
            </w:tcMar>
            <w:vAlign w:val="center"/>
          </w:tcPr>
          <w:p>
            <w:pPr>
              <w:spacing w:after="0"/>
            </w:pPr>
            <w:r>
              <w:t xml:space="preserve">500</w:t>
            </w:r>
          </w:p>
        </w:tc>
        <w:tc>
          <w:tcPr>
            <w:tcW w:type="dxa" w:w="2578"/>
            <w:shd w:fill="F1F5F9" w:color="auto" w:val="clear"/>
            <w:tcMar>
              <w:top w:type="dxa" w:w="80"/>
              <w:left w:type="dxa" w:w="100"/>
              <w:bottom w:type="dxa" w:w="80"/>
              <w:right w:type="dxa" w:w="100"/>
            </w:tcMar>
            <w:vAlign w:val="center"/>
          </w:tcPr>
          <w:p>
            <w:pPr>
              <w:spacing w:after="0"/>
            </w:pPr>
            <w:r>
              <w:t xml:space="preserve">~41,500</w:t>
            </w:r>
          </w:p>
        </w:tc>
        <w:tc>
          <w:tcPr>
            <w:tcW w:type="dxa" w:w="1289"/>
            <w:shd w:fill="F1F5F9" w:color="auto" w:val="clear"/>
            <w:tcMar>
              <w:top w:type="dxa" w:w="80"/>
              <w:left w:type="dxa" w:w="100"/>
              <w:bottom w:type="dxa" w:w="80"/>
              <w:right w:type="dxa" w:w="100"/>
            </w:tcMar>
            <w:vAlign w:val="center"/>
          </w:tcPr>
          <w:p>
            <w:pPr>
              <w:spacing w:after="0"/>
            </w:pPr>
            <w:r>
              <w:t xml:space="preserve">98,000</w:t>
            </w:r>
          </w:p>
        </w:tc>
        <w:tc>
          <w:tcPr>
            <w:tcW w:type="dxa" w:w="1292"/>
            <w:shd w:fill="F1F5F9" w:color="auto" w:val="clear"/>
            <w:tcMar>
              <w:top w:type="dxa" w:w="80"/>
              <w:left w:type="dxa" w:w="100"/>
              <w:bottom w:type="dxa" w:w="80"/>
              <w:right w:type="dxa" w:w="100"/>
            </w:tcMar>
            <w:vAlign w:val="center"/>
          </w:tcPr>
          <w:p>
            <w:pPr>
              <w:spacing w:after="0"/>
            </w:pPr>
            <w:r>
              <w:t xml:space="preserve">-56,500</w:t>
            </w:r>
          </w:p>
        </w:tc>
      </w:tr>
      <w:tr>
        <w:tc>
          <w:tcPr>
            <w:tcW w:type="dxa" w:w="1289"/>
            <w:tcMar>
              <w:top w:type="dxa" w:w="80"/>
              <w:left w:type="dxa" w:w="100"/>
              <w:bottom w:type="dxa" w:w="80"/>
              <w:right w:type="dxa" w:w="100"/>
            </w:tcMar>
            <w:vAlign w:val="center"/>
          </w:tcPr>
          <w:p>
            <w:pPr>
              <w:spacing w:after="0"/>
            </w:pPr>
            <w:r>
              <w:t xml:space="preserve">9</w:t>
            </w:r>
          </w:p>
        </w:tc>
        <w:tc>
          <w:tcPr>
            <w:tcW w:type="dxa" w:w="1289"/>
            <w:tcMar>
              <w:top w:type="dxa" w:w="80"/>
              <w:left w:type="dxa" w:w="100"/>
              <w:bottom w:type="dxa" w:w="80"/>
              <w:right w:type="dxa" w:w="100"/>
            </w:tcMar>
            <w:vAlign w:val="center"/>
          </w:tcPr>
          <w:p>
            <w:pPr>
              <w:spacing w:after="0"/>
            </w:pPr>
            <w:r>
              <w:t xml:space="preserve">+ Riyadh</w:t>
            </w:r>
          </w:p>
        </w:tc>
        <w:tc>
          <w:tcPr>
            <w:tcW w:type="dxa" w:w="1289"/>
            <w:tcMar>
              <w:top w:type="dxa" w:w="80"/>
              <w:left w:type="dxa" w:w="100"/>
              <w:bottom w:type="dxa" w:w="80"/>
              <w:right w:type="dxa" w:w="100"/>
            </w:tcMar>
            <w:vAlign w:val="center"/>
          </w:tcPr>
          <w:p>
            <w:pPr>
              <w:spacing w:after="0"/>
            </w:pPr>
            <w:r>
              <w:t xml:space="preserve">1,400</w:t>
            </w:r>
          </w:p>
        </w:tc>
        <w:tc>
          <w:tcPr>
            <w:tcW w:type="dxa" w:w="2578"/>
            <w:tcMar>
              <w:top w:type="dxa" w:w="80"/>
              <w:left w:type="dxa" w:w="100"/>
              <w:bottom w:type="dxa" w:w="80"/>
              <w:right w:type="dxa" w:w="100"/>
            </w:tcMar>
            <w:vAlign w:val="center"/>
          </w:tcPr>
          <w:p>
            <w:pPr>
              <w:spacing w:after="0"/>
            </w:pPr>
            <w:r>
              <w:t xml:space="preserve">~116,200</w:t>
            </w:r>
          </w:p>
        </w:tc>
        <w:tc>
          <w:tcPr>
            <w:tcW w:type="dxa" w:w="1289"/>
            <w:tcMar>
              <w:top w:type="dxa" w:w="80"/>
              <w:left w:type="dxa" w:w="100"/>
              <w:bottom w:type="dxa" w:w="80"/>
              <w:right w:type="dxa" w:w="100"/>
            </w:tcMar>
            <w:vAlign w:val="center"/>
          </w:tcPr>
          <w:p>
            <w:pPr>
              <w:spacing w:after="0"/>
            </w:pPr>
            <w:r>
              <w:t xml:space="preserve">137,000</w:t>
            </w:r>
          </w:p>
        </w:tc>
        <w:tc>
          <w:tcPr>
            <w:tcW w:type="dxa" w:w="1292"/>
            <w:tcMar>
              <w:top w:type="dxa" w:w="80"/>
              <w:left w:type="dxa" w:w="100"/>
              <w:bottom w:type="dxa" w:w="80"/>
              <w:right w:type="dxa" w:w="100"/>
            </w:tcMar>
            <w:vAlign w:val="center"/>
          </w:tcPr>
          <w:p>
            <w:pPr>
              <w:spacing w:after="0"/>
            </w:pPr>
            <w:r>
              <w:t xml:space="preserve">-20,800</w:t>
            </w:r>
          </w:p>
        </w:tc>
      </w:tr>
      <w:tr>
        <w:tc>
          <w:tcPr>
            <w:tcW w:type="dxa" w:w="1289"/>
            <w:shd w:fill="F1F5F9" w:color="auto" w:val="clear"/>
            <w:tcMar>
              <w:top w:type="dxa" w:w="80"/>
              <w:left w:type="dxa" w:w="100"/>
              <w:bottom w:type="dxa" w:w="80"/>
              <w:right w:type="dxa" w:w="100"/>
            </w:tcMar>
            <w:vAlign w:val="center"/>
          </w:tcPr>
          <w:p>
            <w:pPr>
              <w:spacing w:after="0"/>
            </w:pPr>
            <w:r>
              <w:t xml:space="preserve">12</w:t>
            </w:r>
          </w:p>
        </w:tc>
        <w:tc>
          <w:tcPr>
            <w:tcW w:type="dxa" w:w="1289"/>
            <w:shd w:fill="F1F5F9" w:color="auto" w:val="clear"/>
            <w:tcMar>
              <w:top w:type="dxa" w:w="80"/>
              <w:left w:type="dxa" w:w="100"/>
              <w:bottom w:type="dxa" w:w="80"/>
              <w:right w:type="dxa" w:w="100"/>
            </w:tcMar>
            <w:vAlign w:val="center"/>
          </w:tcPr>
          <w:p>
            <w:pPr>
              <w:spacing w:after="0"/>
            </w:pPr>
            <w:r>
              <w:t xml:space="preserve">+ Dammam</w:t>
            </w:r>
          </w:p>
        </w:tc>
        <w:tc>
          <w:tcPr>
            <w:tcW w:type="dxa" w:w="1289"/>
            <w:shd w:fill="F1F5F9" w:color="auto" w:val="clear"/>
            <w:tcMar>
              <w:top w:type="dxa" w:w="80"/>
              <w:left w:type="dxa" w:w="100"/>
              <w:bottom w:type="dxa" w:w="80"/>
              <w:right w:type="dxa" w:w="100"/>
            </w:tcMar>
            <w:vAlign w:val="center"/>
          </w:tcPr>
          <w:p>
            <w:pPr>
              <w:spacing w:after="0"/>
            </w:pPr>
            <w:r>
              <w:t xml:space="preserve">2,800</w:t>
            </w:r>
          </w:p>
        </w:tc>
        <w:tc>
          <w:tcPr>
            <w:tcW w:type="dxa" w:w="2578"/>
            <w:shd w:fill="F1F5F9" w:color="auto" w:val="clear"/>
            <w:tcMar>
              <w:top w:type="dxa" w:w="80"/>
              <w:left w:type="dxa" w:w="100"/>
              <w:bottom w:type="dxa" w:w="80"/>
              <w:right w:type="dxa" w:w="100"/>
            </w:tcMar>
            <w:vAlign w:val="center"/>
          </w:tcPr>
          <w:p>
            <w:pPr>
              <w:spacing w:after="0"/>
            </w:pPr>
            <w:r>
              <w:t xml:space="preserve">~232,400</w:t>
            </w:r>
          </w:p>
        </w:tc>
        <w:tc>
          <w:tcPr>
            <w:tcW w:type="dxa" w:w="1289"/>
            <w:shd w:fill="F1F5F9" w:color="auto" w:val="clear"/>
            <w:tcMar>
              <w:top w:type="dxa" w:w="80"/>
              <w:left w:type="dxa" w:w="100"/>
              <w:bottom w:type="dxa" w:w="80"/>
              <w:right w:type="dxa" w:w="100"/>
            </w:tcMar>
            <w:vAlign w:val="center"/>
          </w:tcPr>
          <w:p>
            <w:pPr>
              <w:spacing w:after="0"/>
            </w:pPr>
            <w:r>
              <w:t xml:space="preserve">171,000</w:t>
            </w:r>
          </w:p>
        </w:tc>
        <w:tc>
          <w:tcPr>
            <w:tcW w:type="dxa" w:w="1292"/>
            <w:shd w:fill="F1F5F9" w:color="auto" w:val="clear"/>
            <w:tcMar>
              <w:top w:type="dxa" w:w="80"/>
              <w:left w:type="dxa" w:w="100"/>
              <w:bottom w:type="dxa" w:w="80"/>
              <w:right w:type="dxa" w:w="100"/>
            </w:tcMar>
            <w:vAlign w:val="center"/>
          </w:tcPr>
          <w:p>
            <w:pPr>
              <w:spacing w:after="0"/>
            </w:pPr>
            <w:r>
              <w:rPr>
                <w:b/>
                <w:bCs/>
              </w:rPr>
              <w:t xml:space="preserve">+61,400</w:t>
            </w:r>
          </w:p>
        </w:tc>
      </w:tr>
    </w:tbl>
    <w:p>
      <w:pPr>
        <w:spacing w:after="200"/>
      </w:pPr>
    </w:p>
    <w:p>
      <w:pPr>
        <w:spacing w:after="160"/>
      </w:pPr>
      <w:r>
        <w:t xml:space="preserve">On this illustrative model, </w:t>
      </w:r>
      <w:r>
        <w:rPr>
          <w:b/>
          <w:bCs/>
        </w:rPr>
        <w:t xml:space="preserve">monthly operating break-even lands around month 10-12</w:t>
      </w:r>
      <w:r>
        <w:t xml:space="preserve">, with the subscription revenue stream (not modeled in the table above, as it starts small) providing further upside beyond this. </w:t>
      </w:r>
      <w:r>
        <w:rPr>
          <w:b/>
          <w:bCs/>
        </w:rPr>
        <w:t xml:space="preserve">Full payback of the initial capital invested</w:t>
      </w:r>
      <w:r>
        <w:t xml:space="preserve"> (recovering the ~SAR 550,000-650,000 one-time build cost plus the operating losses incurred while ramping) realistically lands around </w:t>
      </w:r>
      <w:r>
        <w:rPr>
          <w:b/>
          <w:bCs/>
        </w:rPr>
        <w:t xml:space="preserve">month 18-24</w:t>
      </w:r>
      <w:r>
        <w:t xml:space="preserve"> — this is why the Stage 0/Stage 1 phased funding approach in §6.1 matters so much: you want to know the ramp is real before you're carrying that much cumulative risk.</w:t>
      </w:r>
    </w:p>
    <w:p>
      <w:pPr>
        <w:pStyle w:val="Heading2"/>
        <w:spacing w:after="160" w:before="360"/>
      </w:pPr>
      <w:r>
        <w:t xml:space="preserve">6.7 Financing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9"/>
        <w:gridCol w:w="4477"/>
        <w:gridCol w:w="3640"/>
      </w:tblGrid>
      <w:tr>
        <w:trPr>
          <w:tblHeader/>
        </w:trPr>
        <w:tc>
          <w:tcPr>
            <w:tcW w:type="dxa" w:w="909"/>
            <w:shd w:fill="334155" w:color="auto" w:val="clear"/>
            <w:tcMar>
              <w:top w:type="dxa" w:w="80"/>
              <w:left w:type="dxa" w:w="100"/>
              <w:bottom w:type="dxa" w:w="80"/>
              <w:right w:type="dxa" w:w="100"/>
            </w:tcMar>
            <w:vAlign w:val="center"/>
          </w:tcPr>
          <w:p>
            <w:r>
              <w:rPr>
                <w:b/>
                <w:bCs/>
                <w:color w:val="FFFFFF"/>
              </w:rPr>
              <w:t xml:space="preserve">Option</w:t>
            </w:r>
          </w:p>
        </w:tc>
        <w:tc>
          <w:tcPr>
            <w:tcW w:type="dxa" w:w="4477"/>
            <w:shd w:fill="334155" w:color="auto" w:val="clear"/>
            <w:tcMar>
              <w:top w:type="dxa" w:w="80"/>
              <w:left w:type="dxa" w:w="100"/>
              <w:bottom w:type="dxa" w:w="80"/>
              <w:right w:type="dxa" w:w="100"/>
            </w:tcMar>
            <w:vAlign w:val="center"/>
          </w:tcPr>
          <w:p>
            <w:r>
              <w:rPr>
                <w:b/>
                <w:bCs/>
                <w:color w:val="FFFFFF"/>
              </w:rPr>
              <w:t xml:space="preserve">What it is</w:t>
            </w:r>
          </w:p>
        </w:tc>
        <w:tc>
          <w:tcPr>
            <w:tcW w:type="dxa" w:w="3640"/>
            <w:shd w:fill="334155" w:color="auto" w:val="clear"/>
            <w:tcMar>
              <w:top w:type="dxa" w:w="80"/>
              <w:left w:type="dxa" w:w="100"/>
              <w:bottom w:type="dxa" w:w="80"/>
              <w:right w:type="dxa" w:w="100"/>
            </w:tcMar>
            <w:vAlign w:val="center"/>
          </w:tcPr>
          <w:p>
            <w:r>
              <w:rPr>
                <w:b/>
                <w:bCs/>
                <w:color w:val="FFFFFF"/>
              </w:rPr>
              <w:t xml:space="preserve">Fit for this business</w:t>
            </w:r>
          </w:p>
        </w:tc>
      </w:tr>
      <w:tr>
        <w:tc>
          <w:tcPr>
            <w:tcW w:type="dxa" w:w="909"/>
            <w:tcMar>
              <w:top w:type="dxa" w:w="80"/>
              <w:left w:type="dxa" w:w="100"/>
              <w:bottom w:type="dxa" w:w="80"/>
              <w:right w:type="dxa" w:w="100"/>
            </w:tcMar>
            <w:vAlign w:val="center"/>
          </w:tcPr>
          <w:p>
            <w:pPr>
              <w:spacing w:after="0"/>
            </w:pPr>
            <w:r>
              <w:rPr>
                <w:b/>
                <w:bCs/>
              </w:rPr>
              <w:t xml:space="preserve">Self-funded / founder capital</w:t>
            </w:r>
          </w:p>
        </w:tc>
        <w:tc>
          <w:tcPr>
            <w:tcW w:type="dxa" w:w="4477"/>
            <w:tcMar>
              <w:top w:type="dxa" w:w="80"/>
              <w:left w:type="dxa" w:w="100"/>
              <w:bottom w:type="dxa" w:w="80"/>
              <w:right w:type="dxa" w:w="100"/>
            </w:tcMar>
            <w:vAlign w:val="center"/>
          </w:tcPr>
          <w:p>
            <w:pPr>
              <w:spacing w:after="0"/>
            </w:pPr>
            <w:r>
              <w:t xml:space="preserve">You fund Stage 0 yourself</w:t>
            </w:r>
          </w:p>
        </w:tc>
        <w:tc>
          <w:tcPr>
            <w:tcW w:type="dxa" w:w="3640"/>
            <w:tcMar>
              <w:top w:type="dxa" w:w="80"/>
              <w:left w:type="dxa" w:w="100"/>
              <w:bottom w:type="dxa" w:w="80"/>
              <w:right w:type="dxa" w:w="100"/>
            </w:tcMar>
            <w:vAlign w:val="center"/>
          </w:tcPr>
          <w:p>
            <w:pPr>
              <w:spacing w:after="0"/>
            </w:pPr>
            <w:r>
              <w:t xml:space="preserve">Best for Stage 0 specifically — keeps early equity clean and proves the model before external money is needed</w:t>
            </w:r>
          </w:p>
        </w:tc>
      </w:tr>
      <w:tr>
        <w:tc>
          <w:tcPr>
            <w:tcW w:type="dxa" w:w="909"/>
            <w:shd w:fill="F1F5F9" w:color="auto" w:val="clear"/>
            <w:tcMar>
              <w:top w:type="dxa" w:w="80"/>
              <w:left w:type="dxa" w:w="100"/>
              <w:bottom w:type="dxa" w:w="80"/>
              <w:right w:type="dxa" w:w="100"/>
            </w:tcMar>
            <w:vAlign w:val="center"/>
          </w:tcPr>
          <w:p>
            <w:pPr>
              <w:spacing w:after="0"/>
            </w:pPr>
            <w:r>
              <w:rPr>
                <w:b/>
                <w:bCs/>
              </w:rPr>
              <w:t xml:space="preserve">Angel/seed investment</w:t>
            </w:r>
          </w:p>
        </w:tc>
        <w:tc>
          <w:tcPr>
            <w:tcW w:type="dxa" w:w="4477"/>
            <w:shd w:fill="F1F5F9" w:color="auto" w:val="clear"/>
            <w:tcMar>
              <w:top w:type="dxa" w:w="80"/>
              <w:left w:type="dxa" w:w="100"/>
              <w:bottom w:type="dxa" w:w="80"/>
              <w:right w:type="dxa" w:w="100"/>
            </w:tcMar>
            <w:vAlign w:val="center"/>
          </w:tcPr>
          <w:p>
            <w:pPr>
              <w:spacing w:after="0"/>
            </w:pPr>
            <w:r>
              <w:t xml:space="preserve">External investors take equity</w:t>
            </w:r>
          </w:p>
        </w:tc>
        <w:tc>
          <w:tcPr>
            <w:tcW w:type="dxa" w:w="3640"/>
            <w:shd w:fill="F1F5F9" w:color="auto" w:val="clear"/>
            <w:tcMar>
              <w:top w:type="dxa" w:w="80"/>
              <w:left w:type="dxa" w:w="100"/>
              <w:bottom w:type="dxa" w:w="80"/>
              <w:right w:type="dxa" w:w="100"/>
            </w:tcMar>
            <w:vAlign w:val="center"/>
          </w:tcPr>
          <w:p>
            <w:pPr>
              <w:spacing w:after="0"/>
            </w:pPr>
            <w:r>
              <w:t xml:space="preserve">Natural fit for Stage 1, once Stage 0 has real validation data to show</w:t>
            </w:r>
          </w:p>
        </w:tc>
      </w:tr>
      <w:tr>
        <w:tc>
          <w:tcPr>
            <w:tcW w:type="dxa" w:w="909"/>
            <w:tcMar>
              <w:top w:type="dxa" w:w="80"/>
              <w:left w:type="dxa" w:w="100"/>
              <w:bottom w:type="dxa" w:w="80"/>
              <w:right w:type="dxa" w:w="100"/>
            </w:tcMar>
            <w:vAlign w:val="center"/>
          </w:tcPr>
          <w:p>
            <w:pPr>
              <w:spacing w:after="0"/>
            </w:pPr>
            <w:r>
              <w:rPr>
                <w:b/>
                <w:bCs/>
              </w:rPr>
              <w:t xml:space="preserve">Kafalah SME Loan Guarantee Program</w:t>
            </w:r>
          </w:p>
        </w:tc>
        <w:tc>
          <w:tcPr>
            <w:tcW w:type="dxa" w:w="4477"/>
            <w:tcMar>
              <w:top w:type="dxa" w:w="80"/>
              <w:left w:type="dxa" w:w="100"/>
              <w:bottom w:type="dxa" w:w="80"/>
              <w:right w:type="dxa" w:w="100"/>
            </w:tcMar>
            <w:vAlign w:val="center"/>
          </w:tcPr>
          <w:p>
            <w:pPr>
              <w:spacing w:after="0"/>
            </w:pPr>
            <w:r>
              <w:t xml:space="preserve">A Saudi government program (via Monsha'at) that guarantees a portion of an SME loan to a participating bank, making banks more willing to lend to a new company without a long track record</w:t>
            </w:r>
          </w:p>
        </w:tc>
        <w:tc>
          <w:tcPr>
            <w:tcW w:type="dxa" w:w="3640"/>
            <w:tcMar>
              <w:top w:type="dxa" w:w="80"/>
              <w:left w:type="dxa" w:w="100"/>
              <w:bottom w:type="dxa" w:w="80"/>
              <w:right w:type="dxa" w:w="100"/>
            </w:tcMar>
            <w:vAlign w:val="center"/>
          </w:tcPr>
          <w:p>
            <w:pPr>
              <w:spacing w:after="0"/>
            </w:pPr>
            <w:r>
              <w:t xml:space="preserve">Worth exploring for Stage 1 debt financing — reduces reliance on giving up equity; requires working with a bank that participates in the Kafalah program</w:t>
            </w:r>
          </w:p>
        </w:tc>
      </w:tr>
      <w:tr>
        <w:tc>
          <w:tcPr>
            <w:tcW w:type="dxa" w:w="909"/>
            <w:shd w:fill="F1F5F9" w:color="auto" w:val="clear"/>
            <w:tcMar>
              <w:top w:type="dxa" w:w="80"/>
              <w:left w:type="dxa" w:w="100"/>
              <w:bottom w:type="dxa" w:w="80"/>
              <w:right w:type="dxa" w:w="100"/>
            </w:tcMar>
            <w:vAlign w:val="center"/>
          </w:tcPr>
          <w:p>
            <w:pPr>
              <w:spacing w:after="0"/>
            </w:pPr>
            <w:r>
              <w:rPr>
                <w:b/>
                <w:bCs/>
              </w:rPr>
              <w:t xml:space="preserve">Monsha'at broader SME support</w:t>
            </w:r>
          </w:p>
        </w:tc>
        <w:tc>
          <w:tcPr>
            <w:tcW w:type="dxa" w:w="4477"/>
            <w:shd w:fill="F1F5F9" w:color="auto" w:val="clear"/>
            <w:tcMar>
              <w:top w:type="dxa" w:w="80"/>
              <w:left w:type="dxa" w:w="100"/>
              <w:bottom w:type="dxa" w:w="80"/>
              <w:right w:type="dxa" w:w="100"/>
            </w:tcMar>
            <w:vAlign w:val="center"/>
          </w:tcPr>
          <w:p>
            <w:pPr>
              <w:spacing w:after="0"/>
            </w:pPr>
            <w:r>
              <w:t xml:space="preserve">Non-financial support: training, mentorship, market-access programs</w:t>
            </w:r>
          </w:p>
        </w:tc>
        <w:tc>
          <w:tcPr>
            <w:tcW w:type="dxa" w:w="3640"/>
            <w:shd w:fill="F1F5F9" w:color="auto" w:val="clear"/>
            <w:tcMar>
              <w:top w:type="dxa" w:w="80"/>
              <w:left w:type="dxa" w:w="100"/>
              <w:bottom w:type="dxa" w:w="80"/>
              <w:right w:type="dxa" w:w="100"/>
            </w:tcMar>
            <w:vAlign w:val="center"/>
          </w:tcPr>
          <w:p>
            <w:pPr>
              <w:spacing w:after="0"/>
            </w:pPr>
            <w:r>
              <w:t xml:space="preserve">Low-cost, high-value — engage with Monsha'at early regardless of your financing choice</w:t>
            </w:r>
          </w:p>
        </w:tc>
      </w:tr>
    </w:tbl>
    <w:p>
      <w:pPr>
        <w:spacing w:after="200"/>
      </w:pPr>
    </w:p>
    <w:p>
      <w:pPr>
        <w:pStyle w:val="Heading2"/>
        <w:spacing w:after="160" w:before="360"/>
      </w:pPr>
      <w:r>
        <w:t xml:space="preserve">6.8 What this plan can and can't do on financials</w:t>
      </w:r>
    </w:p>
    <w:p>
      <w:pPr>
        <w:spacing w:after="160"/>
      </w:pPr>
      <w:r>
        <w:t xml:space="preserve">This plan gives you a </w:t>
      </w:r>
      <w:r>
        <w:rPr>
          <w:b/>
          <w:bCs/>
        </w:rPr>
        <w:t xml:space="preserve">realistic, internally consistent budgeting framework</w:t>
      </w:r>
      <w:r>
        <w:t xml:space="preserve"> you can hand to a bank, investor, or accountant as a starting structure. It </w:t>
      </w:r>
      <w:r>
        <w:rPr>
          <w:b/>
          <w:bCs/>
        </w:rPr>
        <w:t xml:space="preserve">cannot</w:t>
      </w:r>
      <w:r>
        <w:t xml:space="preserve"> replace a licensed accountant's statutory financial statements, a real vendor quote, or a bank's own credit assessment. Before you raise money on these numbers, get: (1) at least 3 real app-development quotes, (2) a licensed accountant to build this into a proper 3-statement model (P&amp;L, balance sheet, cash flow) with your actual chosen legal structure and tax treatment, and (3) real contractor conversations on commission tolerance.</w:t>
      </w:r>
    </w:p>
    <w:p>
      <w:pPr>
        <w:pStyle w:val="Heading1"/>
        <w:pageBreakBefore/>
        <w:spacing w:after="240" w:before="0"/>
      </w:pPr>
      <w:r>
        <w:t xml:space="preserve">7. Partnership Framework — Working With Contractor Partners</w:t>
      </w:r>
    </w:p>
    <w:p>
      <w:pPr>
        <w:spacing w:after="160"/>
      </w:pPr>
      <w:r>
        <w:t xml:space="preserve">Your entire supply side depends on getting this right. This document covers how to find, vet, sign, onboard, pay, and manage contractor partners, plus what belongs in the actual partnership agreement (</w:t>
      </w:r>
      <w:r>
        <w:rPr>
          <w:b/>
          <w:bCs/>
        </w:rPr>
        <w:t xml:space="preserve">the agreement itself must be drafted/reviewed by a licensed Saudi lawyer</w:t>
      </w:r>
      <w:r>
        <w:t xml:space="preserve"> — this document tells you what it needs to cover, not the enforceable legal language).</w:t>
      </w:r>
    </w:p>
    <w:p>
      <w:pPr>
        <w:pStyle w:val="Heading2"/>
        <w:spacing w:after="160" w:before="360"/>
      </w:pPr>
      <w:r>
        <w:t xml:space="preserve">7.1 What kind of partner you're looking for</w:t>
      </w:r>
    </w:p>
    <w:p>
      <w:pPr>
        <w:spacing w:after="160"/>
      </w:pPr>
      <w:r>
        <w:t xml:space="preserve">Target </w:t>
      </w:r>
      <w:r>
        <w:rPr>
          <w:b/>
          <w:bCs/>
        </w:rPr>
        <w:t xml:space="preserve">small-to-mid-size maintenance/trade companies that already have technicians stationed in your target cities</w:t>
      </w:r>
      <w:r>
        <w:t xml:space="preserve">, not individual freelancers. Why:</w:t>
      </w:r>
    </w:p>
    <w:p>
      <w:pPr>
        <w:pStyle w:val="ListParagraph"/>
        <w:numPr>
          <w:ilvl w:val="0"/>
          <w:numId w:val="2"/>
        </w:numPr>
        <w:spacing w:after="80"/>
      </w:pPr>
      <w:r>
        <w:t xml:space="preserve">They already hold (or can readily hold) the correct municipal/Balady and, where relevant, Civil Defense and SCA licensing — this is their legal existence, not something we grant them.</w:t>
      </w:r>
    </w:p>
    <w:p>
      <w:pPr>
        <w:pStyle w:val="ListParagraph"/>
        <w:numPr>
          <w:ilvl w:val="0"/>
          <w:numId w:val="2"/>
        </w:numPr>
        <w:spacing w:after="80"/>
      </w:pPr>
      <w:r>
        <w:t xml:space="preserve">They already carry (or can be required to obtain) liability insurance.</w:t>
      </w:r>
    </w:p>
    <w:p>
      <w:pPr>
        <w:pStyle w:val="ListParagraph"/>
        <w:numPr>
          <w:ilvl w:val="0"/>
          <w:numId w:val="2"/>
        </w:numPr>
        <w:spacing w:after="80"/>
      </w:pPr>
      <w:r>
        <w:t xml:space="preserve">They have existing technician management, payroll, and supervision — you are not building an HR function for gig workers.</w:t>
      </w:r>
    </w:p>
    <w:p>
      <w:pPr>
        <w:pStyle w:val="ListParagraph"/>
        <w:numPr>
          <w:ilvl w:val="0"/>
          <w:numId w:val="2"/>
        </w:numPr>
        <w:spacing w:after="80"/>
      </w:pPr>
      <w:r>
        <w:t xml:space="preserve">A company is easier to hold accountable (via contract, deposit/holdback, and reputational consequences) than an individual.</w:t>
      </w:r>
    </w:p>
    <w:p>
      <w:pPr>
        <w:spacing w:after="160"/>
      </w:pPr>
      <w:r>
        <w:rPr>
          <w:b/>
          <w:bCs/>
        </w:rPr>
        <w:t xml:space="preserve">Look for</w:t>
      </w:r>
      <w:r>
        <w:t xml:space="preserve">: companies already doing electrical, plumbing, HVAC, or general maintenance work for villas/compounds/facility management contracts in your target cities — they have exactly the footprint you need, and the app gives them a new demand channel without them needing to build one themselves.</w:t>
      </w:r>
    </w:p>
    <w:p>
      <w:pPr>
        <w:pStyle w:val="Heading2"/>
        <w:spacing w:after="160" w:before="360"/>
      </w:pPr>
      <w:r>
        <w:t xml:space="preserve">7.2 The recruitment funnel</w:t>
      </w:r>
    </w:p>
    <w:p>
      <w:pPr>
        <w:spacing w:after="80"/>
        <w:ind w:left="720" w:hanging="360"/>
      </w:pPr>
      <w:r>
        <w:t xml:space="preserve">1.  </w:t>
      </w:r>
      <w:r>
        <w:rPr>
          <w:b/>
          <w:bCs/>
        </w:rPr>
        <w:t xml:space="preserve">Sourcing</w:t>
      </w:r>
      <w:r>
        <w:t xml:space="preserve"> — direct outreach (this is largely relationship-driven in KSA; industry associations, municipal contractor directories, referrals from one good partner to another, and even competitor-app technician sightings — "who does this van belong to?" — are all legitimate sourcing channels).</w:t>
      </w:r>
    </w:p>
    <w:p>
      <w:pPr>
        <w:spacing w:after="80"/>
        <w:ind w:left="720" w:hanging="360"/>
      </w:pPr>
      <w:r>
        <w:t xml:space="preserve">2.  </w:t>
      </w:r>
      <w:r>
        <w:rPr>
          <w:b/>
          <w:bCs/>
        </w:rPr>
        <w:t xml:space="preserve">Initial screening call/meeting</w:t>
      </w:r>
      <w:r>
        <w:t xml:space="preserve"> — trade focus, city coverage, number of technicians, years operating, willingness to the commission model.</w:t>
      </w:r>
    </w:p>
    <w:p>
      <w:pPr>
        <w:spacing w:after="80"/>
        <w:ind w:left="720" w:hanging="360"/>
      </w:pPr>
      <w:r>
        <w:t xml:space="preserve">3.  </w:t>
      </w:r>
      <w:r>
        <w:rPr>
          <w:b/>
          <w:bCs/>
        </w:rPr>
        <w:t xml:space="preserve">Document verification</w:t>
      </w:r>
      <w:r>
        <w:t xml:space="preserve"> (do this before signing anything):</w:t>
      </w:r>
    </w:p>
    <w:p>
      <w:pPr>
        <w:spacing w:after="160"/>
      </w:pPr>
      <w:r>
        <w:t xml:space="preserve">- Commercial Registration (verify live status via the </w:t>
      </w:r>
      <w:r>
        <w:rPr>
          <w:b/>
          <w:bCs/>
        </w:rPr>
        <w:t xml:space="preserve">Wathq</w:t>
      </w:r>
      <w:r>
        <w:t xml:space="preserve"> business-verification platform)</w:t>
      </w:r>
    </w:p>
    <w:p>
      <w:pPr>
        <w:spacing w:after="160"/>
      </w:pPr>
      <w:r>
        <w:t xml:space="preserve">- Municipal/Balady trade license matching the claimed trade</w:t>
      </w:r>
    </w:p>
    <w:p>
      <w:pPr>
        <w:spacing w:after="160"/>
      </w:pPr>
      <w:r>
        <w:t xml:space="preserve">- Civil Defense approval, where applicable to their premises/activity</w:t>
      </w:r>
    </w:p>
    <w:p>
      <w:pPr>
        <w:spacing w:after="160"/>
      </w:pPr>
      <w:r>
        <w:t xml:space="preserve">- Proof of liability insurance (or a commitment to obtain it as a condition of onboarding)</w:t>
      </w:r>
    </w:p>
    <w:p>
      <w:pPr>
        <w:spacing w:after="160"/>
      </w:pPr>
      <w:r>
        <w:t xml:space="preserve">- GOSI registration (confirms they're actually running payroll for their technicians, not using undocumented labor)</w:t>
      </w:r>
    </w:p>
    <w:p>
      <w:pPr>
        <w:spacing w:after="80"/>
        <w:ind w:left="720" w:hanging="360"/>
      </w:pPr>
      <w:r>
        <w:t xml:space="preserve">4.  </w:t>
      </w:r>
      <w:r>
        <w:rPr>
          <w:b/>
          <w:bCs/>
        </w:rPr>
        <w:t xml:space="preserve">Sample work/reference check</w:t>
      </w:r>
      <w:r>
        <w:t xml:space="preserve"> — ask for 2-3 recent customer references, or if feasible, have a team member book and observe a real job before signing.</w:t>
      </w:r>
    </w:p>
    <w:p>
      <w:pPr>
        <w:spacing w:after="80"/>
        <w:ind w:left="720" w:hanging="360"/>
      </w:pPr>
      <w:r>
        <w:t xml:space="preserve">5.  </w:t>
      </w:r>
      <w:r>
        <w:rPr>
          <w:b/>
          <w:bCs/>
        </w:rPr>
        <w:t xml:space="preserve">Contract signing</w:t>
      </w:r>
      <w:r>
        <w:t xml:space="preserve"> (see §7.3).</w:t>
      </w:r>
    </w:p>
    <w:p>
      <w:pPr>
        <w:spacing w:after="80"/>
        <w:ind w:left="720" w:hanging="360"/>
      </w:pPr>
      <w:r>
        <w:t xml:space="preserve">6.  </w:t>
      </w:r>
      <w:r>
        <w:rPr>
          <w:b/>
          <w:bCs/>
        </w:rPr>
        <w:t xml:space="preserve">Onboarding &amp; training</w:t>
      </w:r>
      <w:r>
        <w:t xml:space="preserve"> — how the app/dispatch system works, your pricing bands, your SLA expectations, your dispute process.</w:t>
      </w:r>
    </w:p>
    <w:p>
      <w:pPr>
        <w:spacing w:after="80"/>
        <w:ind w:left="720" w:hanging="360"/>
      </w:pPr>
      <w:r>
        <w:t xml:space="preserve">7.  </w:t>
      </w:r>
      <w:r>
        <w:rPr>
          <w:b/>
          <w:bCs/>
        </w:rPr>
        <w:t xml:space="preserve">Probation period</w:t>
      </w:r>
      <w:r>
        <w:t xml:space="preserve"> — first 30-60 days and first ~10-20 jobs on a shorter review cycle before they're treated as a fully trusted, high-volume partner.</w:t>
      </w:r>
    </w:p>
    <w:p>
      <w:pPr>
        <w:pStyle w:val="Heading2"/>
        <w:spacing w:after="160" w:before="360"/>
      </w:pPr>
      <w:r>
        <w:t xml:space="preserve">7.3 What the partnership agreement needs to cover (brief for your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9"/>
        <w:gridCol w:w="7757"/>
      </w:tblGrid>
      <w:tr>
        <w:trPr>
          <w:tblHeader/>
        </w:trPr>
        <w:tc>
          <w:tcPr>
            <w:tcW w:type="dxa" w:w="1269"/>
            <w:shd w:fill="334155" w:color="auto" w:val="clear"/>
            <w:tcMar>
              <w:top w:type="dxa" w:w="80"/>
              <w:left w:type="dxa" w:w="100"/>
              <w:bottom w:type="dxa" w:w="80"/>
              <w:right w:type="dxa" w:w="100"/>
            </w:tcMar>
            <w:vAlign w:val="center"/>
          </w:tcPr>
          <w:p>
            <w:r>
              <w:rPr>
                <w:b/>
                <w:bCs/>
                <w:color w:val="FFFFFF"/>
              </w:rPr>
              <w:t xml:space="preserve">Section</w:t>
            </w:r>
          </w:p>
        </w:tc>
        <w:tc>
          <w:tcPr>
            <w:tcW w:type="dxa" w:w="7757"/>
            <w:shd w:fill="334155" w:color="auto" w:val="clear"/>
            <w:tcMar>
              <w:top w:type="dxa" w:w="80"/>
              <w:left w:type="dxa" w:w="100"/>
              <w:bottom w:type="dxa" w:w="80"/>
              <w:right w:type="dxa" w:w="100"/>
            </w:tcMar>
            <w:vAlign w:val="center"/>
          </w:tcPr>
          <w:p>
            <w:r>
              <w:rPr>
                <w:b/>
                <w:bCs/>
                <w:color w:val="FFFFFF"/>
              </w:rPr>
              <w:t xml:space="preserve">What it should establish</w:t>
            </w:r>
          </w:p>
        </w:tc>
      </w:tr>
      <w:tr>
        <w:tc>
          <w:tcPr>
            <w:tcW w:type="dxa" w:w="1269"/>
            <w:tcMar>
              <w:top w:type="dxa" w:w="80"/>
              <w:left w:type="dxa" w:w="100"/>
              <w:bottom w:type="dxa" w:w="80"/>
              <w:right w:type="dxa" w:w="100"/>
            </w:tcMar>
            <w:vAlign w:val="center"/>
          </w:tcPr>
          <w:p>
            <w:pPr>
              <w:spacing w:after="0"/>
            </w:pPr>
            <w:r>
              <w:rPr>
                <w:b/>
                <w:bCs/>
              </w:rPr>
              <w:t xml:space="preserve">Parties &amp; term</w:t>
            </w:r>
          </w:p>
        </w:tc>
        <w:tc>
          <w:tcPr>
            <w:tcW w:type="dxa" w:w="7757"/>
            <w:tcMar>
              <w:top w:type="dxa" w:w="80"/>
              <w:left w:type="dxa" w:w="100"/>
              <w:bottom w:type="dxa" w:w="80"/>
              <w:right w:type="dxa" w:w="100"/>
            </w:tcMar>
            <w:vAlign w:val="center"/>
          </w:tcPr>
          <w:p>
            <w:pPr>
              <w:spacing w:after="0"/>
            </w:pPr>
            <w:r>
              <w:t xml:space="preserve">Who's who, contract duration, renewal, and termination conditions (including a clear, fast "for cause" termination for safety violations or repeated poor performance)</w:t>
            </w:r>
          </w:p>
        </w:tc>
      </w:tr>
      <w:tr>
        <w:tc>
          <w:tcPr>
            <w:tcW w:type="dxa" w:w="1269"/>
            <w:shd w:fill="F1F5F9" w:color="auto" w:val="clear"/>
            <w:tcMar>
              <w:top w:type="dxa" w:w="80"/>
              <w:left w:type="dxa" w:w="100"/>
              <w:bottom w:type="dxa" w:w="80"/>
              <w:right w:type="dxa" w:w="100"/>
            </w:tcMar>
            <w:vAlign w:val="center"/>
          </w:tcPr>
          <w:p>
            <w:pPr>
              <w:spacing w:after="0"/>
            </w:pPr>
            <w:r>
              <w:rPr>
                <w:b/>
                <w:bCs/>
              </w:rPr>
              <w:t xml:space="preserve">Scope of work</w:t>
            </w:r>
          </w:p>
        </w:tc>
        <w:tc>
          <w:tcPr>
            <w:tcW w:type="dxa" w:w="7757"/>
            <w:shd w:fill="F1F5F9" w:color="auto" w:val="clear"/>
            <w:tcMar>
              <w:top w:type="dxa" w:w="80"/>
              <w:left w:type="dxa" w:w="100"/>
              <w:bottom w:type="dxa" w:w="80"/>
              <w:right w:type="dxa" w:w="100"/>
            </w:tcMar>
            <w:vAlign w:val="center"/>
          </w:tcPr>
          <w:p>
            <w:pPr>
              <w:spacing w:after="0"/>
            </w:pPr>
            <w:r>
              <w:t xml:space="preserve">Which trades/services the contractor is approved to accept jobs for through the platform</w:t>
            </w:r>
          </w:p>
        </w:tc>
      </w:tr>
      <w:tr>
        <w:tc>
          <w:tcPr>
            <w:tcW w:type="dxa" w:w="1269"/>
            <w:tcMar>
              <w:top w:type="dxa" w:w="80"/>
              <w:left w:type="dxa" w:w="100"/>
              <w:bottom w:type="dxa" w:w="80"/>
              <w:right w:type="dxa" w:w="100"/>
            </w:tcMar>
            <w:vAlign w:val="center"/>
          </w:tcPr>
          <w:p>
            <w:pPr>
              <w:spacing w:after="0"/>
            </w:pPr>
            <w:r>
              <w:rPr>
                <w:b/>
                <w:bCs/>
              </w:rPr>
              <w:t xml:space="preserve">Commission &amp; payment terms</w:t>
            </w:r>
          </w:p>
        </w:tc>
        <w:tc>
          <w:tcPr>
            <w:tcW w:type="dxa" w:w="7757"/>
            <w:tcMar>
              <w:top w:type="dxa" w:w="80"/>
              <w:left w:type="dxa" w:w="100"/>
              <w:bottom w:type="dxa" w:w="80"/>
              <w:right w:type="dxa" w:w="100"/>
            </w:tcMar>
            <w:vAlign w:val="center"/>
          </w:tcPr>
          <w:p>
            <w:pPr>
              <w:spacing w:after="0"/>
            </w:pPr>
            <w:r>
              <w:t xml:space="preserve">The commission rate (§6.5 of the Financial Plan (Chapter 6)), payment schedule (e.g., weekly payout), and what happens on customer refunds/disputes</w:t>
            </w:r>
          </w:p>
        </w:tc>
      </w:tr>
      <w:tr>
        <w:tc>
          <w:tcPr>
            <w:tcW w:type="dxa" w:w="1269"/>
            <w:shd w:fill="F1F5F9" w:color="auto" w:val="clear"/>
            <w:tcMar>
              <w:top w:type="dxa" w:w="80"/>
              <w:left w:type="dxa" w:w="100"/>
              <w:bottom w:type="dxa" w:w="80"/>
              <w:right w:type="dxa" w:w="100"/>
            </w:tcMar>
            <w:vAlign w:val="center"/>
          </w:tcPr>
          <w:p>
            <w:pPr>
              <w:spacing w:after="0"/>
            </w:pPr>
            <w:r>
              <w:rPr>
                <w:b/>
                <w:bCs/>
              </w:rPr>
              <w:t xml:space="preserve">Performance standards / SLA</w:t>
            </w:r>
          </w:p>
        </w:tc>
        <w:tc>
          <w:tcPr>
            <w:tcW w:type="dxa" w:w="7757"/>
            <w:shd w:fill="F1F5F9" w:color="auto" w:val="clear"/>
            <w:tcMar>
              <w:top w:type="dxa" w:w="80"/>
              <w:left w:type="dxa" w:w="100"/>
              <w:bottom w:type="dxa" w:w="80"/>
              <w:right w:type="dxa" w:w="100"/>
            </w:tcMar>
            <w:vAlign w:val="center"/>
          </w:tcPr>
          <w:p>
            <w:pPr>
              <w:spacing w:after="0"/>
            </w:pPr>
            <w:r>
              <w:t xml:space="preserve">Response time commitments, completion time, no-show policy — cross-reference SLA Templates (Chapter 8)</w:t>
            </w:r>
          </w:p>
        </w:tc>
      </w:tr>
      <w:tr>
        <w:tc>
          <w:tcPr>
            <w:tcW w:type="dxa" w:w="1269"/>
            <w:tcMar>
              <w:top w:type="dxa" w:w="80"/>
              <w:left w:type="dxa" w:w="100"/>
              <w:bottom w:type="dxa" w:w="80"/>
              <w:right w:type="dxa" w:w="100"/>
            </w:tcMar>
            <w:vAlign w:val="center"/>
          </w:tcPr>
          <w:p>
            <w:pPr>
              <w:spacing w:after="0"/>
            </w:pPr>
            <w:r>
              <w:rPr>
                <w:b/>
                <w:bCs/>
              </w:rPr>
              <w:t xml:space="preserve">Licensing &amp; insurance warranties</w:t>
            </w:r>
          </w:p>
        </w:tc>
        <w:tc>
          <w:tcPr>
            <w:tcW w:type="dxa" w:w="7757"/>
            <w:tcMar>
              <w:top w:type="dxa" w:w="80"/>
              <w:left w:type="dxa" w:w="100"/>
              <w:bottom w:type="dxa" w:w="80"/>
              <w:right w:type="dxa" w:w="100"/>
            </w:tcMar>
            <w:vAlign w:val="center"/>
          </w:tcPr>
          <w:p>
            <w:pPr>
              <w:spacing w:after="0"/>
            </w:pPr>
            <w:r>
              <w:t xml:space="preserve">Contractor warrants it holds and will maintain all required licenses and insurance, and must notify us immediately if any lapse</w:t>
            </w:r>
          </w:p>
        </w:tc>
      </w:tr>
      <w:tr>
        <w:tc>
          <w:tcPr>
            <w:tcW w:type="dxa" w:w="1269"/>
            <w:shd w:fill="F1F5F9" w:color="auto" w:val="clear"/>
            <w:tcMar>
              <w:top w:type="dxa" w:w="80"/>
              <w:left w:type="dxa" w:w="100"/>
              <w:bottom w:type="dxa" w:w="80"/>
              <w:right w:type="dxa" w:w="100"/>
            </w:tcMar>
            <w:vAlign w:val="center"/>
          </w:tcPr>
          <w:p>
            <w:pPr>
              <w:spacing w:after="0"/>
            </w:pPr>
            <w:r>
              <w:rPr>
                <w:b/>
                <w:bCs/>
              </w:rPr>
              <w:t xml:space="preserve">Non-circumvention clause</w:t>
            </w:r>
          </w:p>
        </w:tc>
        <w:tc>
          <w:tcPr>
            <w:tcW w:type="dxa" w:w="7757"/>
            <w:shd w:fill="F1F5F9" w:color="auto" w:val="clear"/>
            <w:tcMar>
              <w:top w:type="dxa" w:w="80"/>
              <w:left w:type="dxa" w:w="100"/>
              <w:bottom w:type="dxa" w:w="80"/>
              <w:right w:type="dxa" w:w="100"/>
            </w:tcMar>
            <w:vAlign w:val="center"/>
          </w:tcPr>
          <w:p>
            <w:pPr>
              <w:spacing w:after="0"/>
            </w:pPr>
            <w:r>
              <w:t xml:space="preserve">A clause discouraging the contractor from taking a platform-sourced customer off-platform to avoid commission (understand this is difficult to enforce in practice — see Risk Analysis (Chapter 5) §5.1 — but it sets a clear contractual expectation and is standard in every marketplace agreement)</w:t>
            </w:r>
          </w:p>
        </w:tc>
      </w:tr>
      <w:tr>
        <w:tc>
          <w:tcPr>
            <w:tcW w:type="dxa" w:w="1269"/>
            <w:tcMar>
              <w:top w:type="dxa" w:w="80"/>
              <w:left w:type="dxa" w:w="100"/>
              <w:bottom w:type="dxa" w:w="80"/>
              <w:right w:type="dxa" w:w="100"/>
            </w:tcMar>
            <w:vAlign w:val="center"/>
          </w:tcPr>
          <w:p>
            <w:pPr>
              <w:spacing w:after="0"/>
            </w:pPr>
            <w:r>
              <w:rPr>
                <w:b/>
                <w:bCs/>
              </w:rPr>
              <w:t xml:space="preserve">Quality &amp; conduct standards</w:t>
            </w:r>
          </w:p>
        </w:tc>
        <w:tc>
          <w:tcPr>
            <w:tcW w:type="dxa" w:w="7757"/>
            <w:tcMar>
              <w:top w:type="dxa" w:w="80"/>
              <w:left w:type="dxa" w:w="100"/>
              <w:bottom w:type="dxa" w:w="80"/>
              <w:right w:type="dxa" w:w="100"/>
            </w:tcMar>
            <w:vAlign w:val="center"/>
          </w:tcPr>
          <w:p>
            <w:pPr>
              <w:spacing w:after="0"/>
            </w:pPr>
            <w:r>
              <w:t xml:space="preserve">Technician conduct at customer homes (ID badge worn, no smoking inside, respectful of customer property/family — important trust factors), safety-standard compliance</w:t>
            </w:r>
          </w:p>
        </w:tc>
      </w:tr>
      <w:tr>
        <w:tc>
          <w:tcPr>
            <w:tcW w:type="dxa" w:w="1269"/>
            <w:shd w:fill="F1F5F9" w:color="auto" w:val="clear"/>
            <w:tcMar>
              <w:top w:type="dxa" w:w="80"/>
              <w:left w:type="dxa" w:w="100"/>
              <w:bottom w:type="dxa" w:w="80"/>
              <w:right w:type="dxa" w:w="100"/>
            </w:tcMar>
            <w:vAlign w:val="center"/>
          </w:tcPr>
          <w:p>
            <w:pPr>
              <w:spacing w:after="0"/>
            </w:pPr>
            <w:r>
              <w:rPr>
                <w:b/>
                <w:bCs/>
              </w:rPr>
              <w:t xml:space="preserve">Deposit/holdback mechanism</w:t>
            </w:r>
          </w:p>
        </w:tc>
        <w:tc>
          <w:tcPr>
            <w:tcW w:type="dxa" w:w="7757"/>
            <w:shd w:fill="F1F5F9" w:color="auto" w:val="clear"/>
            <w:tcMar>
              <w:top w:type="dxa" w:w="80"/>
              <w:left w:type="dxa" w:w="100"/>
              <w:bottom w:type="dxa" w:w="80"/>
              <w:right w:type="dxa" w:w="100"/>
            </w:tcMar>
            <w:vAlign w:val="center"/>
          </w:tcPr>
          <w:p>
            <w:pPr>
              <w:spacing w:after="0"/>
            </w:pPr>
            <w:r>
              <w:t xml:space="preserve">A modest, refundable security holdback (e.g., withheld from early payouts) that can be drawn on for verified customer damage claims — protects your guarantee/refund policy without you carrying 100% of that risk yourself</w:t>
            </w:r>
          </w:p>
        </w:tc>
      </w:tr>
      <w:tr>
        <w:tc>
          <w:tcPr>
            <w:tcW w:type="dxa" w:w="1269"/>
            <w:tcMar>
              <w:top w:type="dxa" w:w="80"/>
              <w:left w:type="dxa" w:w="100"/>
              <w:bottom w:type="dxa" w:w="80"/>
              <w:right w:type="dxa" w:w="100"/>
            </w:tcMar>
            <w:vAlign w:val="center"/>
          </w:tcPr>
          <w:p>
            <w:pPr>
              <w:spacing w:after="0"/>
            </w:pPr>
            <w:r>
              <w:rPr>
                <w:b/>
                <w:bCs/>
              </w:rPr>
              <w:t xml:space="preserve">Data protection</w:t>
            </w:r>
          </w:p>
        </w:tc>
        <w:tc>
          <w:tcPr>
            <w:tcW w:type="dxa" w:w="7757"/>
            <w:tcMar>
              <w:top w:type="dxa" w:w="80"/>
              <w:left w:type="dxa" w:w="100"/>
              <w:bottom w:type="dxa" w:w="80"/>
              <w:right w:type="dxa" w:w="100"/>
            </w:tcMar>
            <w:vAlign w:val="center"/>
          </w:tcPr>
          <w:p>
            <w:pPr>
              <w:spacing w:after="0"/>
            </w:pPr>
            <w:r>
              <w:t xml:space="preserve">Contractor's obligations regarding customer personal data (address, access details) they receive through the platform, consistent with our PDPL obligations</w:t>
            </w:r>
          </w:p>
        </w:tc>
      </w:tr>
      <w:tr>
        <w:tc>
          <w:tcPr>
            <w:tcW w:type="dxa" w:w="1269"/>
            <w:shd w:fill="F1F5F9" w:color="auto" w:val="clear"/>
            <w:tcMar>
              <w:top w:type="dxa" w:w="80"/>
              <w:left w:type="dxa" w:w="100"/>
              <w:bottom w:type="dxa" w:w="80"/>
              <w:right w:type="dxa" w:w="100"/>
            </w:tcMar>
            <w:vAlign w:val="center"/>
          </w:tcPr>
          <w:p>
            <w:pPr>
              <w:spacing w:after="0"/>
            </w:pPr>
            <w:r>
              <w:rPr>
                <w:b/>
                <w:bCs/>
              </w:rPr>
              <w:t xml:space="preserve">Liability &amp; indemnity</w:t>
            </w:r>
          </w:p>
        </w:tc>
        <w:tc>
          <w:tcPr>
            <w:tcW w:type="dxa" w:w="7757"/>
            <w:shd w:fill="F1F5F9" w:color="auto" w:val="clear"/>
            <w:tcMar>
              <w:top w:type="dxa" w:w="80"/>
              <w:left w:type="dxa" w:w="100"/>
              <w:bottom w:type="dxa" w:w="80"/>
              <w:right w:type="dxa" w:w="100"/>
            </w:tcMar>
            <w:vAlign w:val="center"/>
          </w:tcPr>
          <w:p>
            <w:pPr>
              <w:spacing w:after="0"/>
            </w:pPr>
            <w:r>
              <w:t xml:space="preserve">Who is responsible for what in case of property damage, injury, or a botched job — this needs real legal drafting, not a template</w:t>
            </w:r>
          </w:p>
        </w:tc>
      </w:tr>
      <w:tr>
        <w:tc>
          <w:tcPr>
            <w:tcW w:type="dxa" w:w="1269"/>
            <w:tcMar>
              <w:top w:type="dxa" w:w="80"/>
              <w:left w:type="dxa" w:w="100"/>
              <w:bottom w:type="dxa" w:w="80"/>
              <w:right w:type="dxa" w:w="100"/>
            </w:tcMar>
            <w:vAlign w:val="center"/>
          </w:tcPr>
          <w:p>
            <w:pPr>
              <w:spacing w:after="0"/>
            </w:pPr>
            <w:r>
              <w:rPr>
                <w:b/>
                <w:bCs/>
              </w:rPr>
              <w:t xml:space="preserve">Exclusivity (or lack of it)</w:t>
            </w:r>
          </w:p>
        </w:tc>
        <w:tc>
          <w:tcPr>
            <w:tcW w:type="dxa" w:w="7757"/>
            <w:tcMar>
              <w:top w:type="dxa" w:w="80"/>
              <w:left w:type="dxa" w:w="100"/>
              <w:bottom w:type="dxa" w:w="80"/>
              <w:right w:type="dxa" w:w="100"/>
            </w:tcMar>
            <w:vAlign w:val="center"/>
          </w:tcPr>
          <w:p>
            <w:pPr>
              <w:spacing w:after="0"/>
            </w:pPr>
            <w:r>
              <w:t xml:space="preserve">Almost certainly </w:t>
            </w:r>
            <w:r>
              <w:rPr>
                <w:b/>
                <w:bCs/>
              </w:rPr>
              <w:t xml:space="preserve">non-exclusive</w:t>
            </w:r>
            <w:r>
              <w:t xml:space="preserve"> at launch (contractors keep their existing business alongside us) — exclusivity is a Phase 2+ negotiation once you're providing them significant volume</w:t>
            </w:r>
          </w:p>
        </w:tc>
      </w:tr>
      <w:tr>
        <w:tc>
          <w:tcPr>
            <w:tcW w:type="dxa" w:w="1269"/>
            <w:shd w:fill="F1F5F9" w:color="auto" w:val="clear"/>
            <w:tcMar>
              <w:top w:type="dxa" w:w="80"/>
              <w:left w:type="dxa" w:w="100"/>
              <w:bottom w:type="dxa" w:w="80"/>
              <w:right w:type="dxa" w:w="100"/>
            </w:tcMar>
            <w:vAlign w:val="center"/>
          </w:tcPr>
          <w:p>
            <w:pPr>
              <w:spacing w:after="0"/>
            </w:pPr>
            <w:r>
              <w:rPr>
                <w:b/>
                <w:bCs/>
              </w:rPr>
              <w:t xml:space="preserve">Dispute resolution</w:t>
            </w:r>
          </w:p>
        </w:tc>
        <w:tc>
          <w:tcPr>
            <w:tcW w:type="dxa" w:w="7757"/>
            <w:shd w:fill="F1F5F9" w:color="auto" w:val="clear"/>
            <w:tcMar>
              <w:top w:type="dxa" w:w="80"/>
              <w:left w:type="dxa" w:w="100"/>
              <w:bottom w:type="dxa" w:w="80"/>
              <w:right w:type="dxa" w:w="100"/>
            </w:tcMar>
            <w:vAlign w:val="center"/>
          </w:tcPr>
          <w:p>
            <w:pPr>
              <w:spacing w:after="0"/>
            </w:pPr>
            <w:r>
              <w:t xml:space="preserve">Governing law (Saudi law), and the process/venue for resolving disagreements</w:t>
            </w:r>
          </w:p>
        </w:tc>
      </w:tr>
    </w:tbl>
    <w:p>
      <w:pPr>
        <w:spacing w:after="200"/>
      </w:pPr>
    </w:p>
    <w:p>
      <w:pPr>
        <w:pStyle w:val="Heading2"/>
        <w:spacing w:after="160" w:before="360"/>
      </w:pPr>
      <w:r>
        <w:t xml:space="preserve">7.4 Ongoing partner management</w:t>
      </w:r>
    </w:p>
    <w:p>
      <w:pPr>
        <w:pStyle w:val="ListParagraph"/>
        <w:numPr>
          <w:ilvl w:val="0"/>
          <w:numId w:val="2"/>
        </w:numPr>
        <w:spacing w:after="80"/>
      </w:pPr>
      <w:r>
        <w:rPr>
          <w:b/>
          <w:bCs/>
        </w:rPr>
        <w:t xml:space="preserve">Score every partner</w:t>
      </w:r>
      <w:r>
        <w:t xml:space="preserve"> on: on-time rate, completion rate, average customer rating, dispute rate, and cancellation rate. Review monthly.</w:t>
      </w:r>
    </w:p>
    <w:p>
      <w:pPr>
        <w:pStyle w:val="ListParagraph"/>
        <w:numPr>
          <w:ilvl w:val="0"/>
          <w:numId w:val="2"/>
        </w:numPr>
        <w:spacing w:after="80"/>
      </w:pPr>
      <w:r>
        <w:rPr>
          <w:b/>
          <w:bCs/>
        </w:rPr>
        <w:t xml:space="preserve">Tiering</w:t>
      </w:r>
      <w:r>
        <w:t xml:space="preserve">: consider a simple Bronze/Silver/Gold tier tied to performance — better-performing partners get priority job routing and, eventually, a small commission discount. This creates a genuine incentive loop beyond the contract's stick-based clauses.</w:t>
      </w:r>
    </w:p>
    <w:p>
      <w:pPr>
        <w:pStyle w:val="ListParagraph"/>
        <w:numPr>
          <w:ilvl w:val="0"/>
          <w:numId w:val="2"/>
        </w:numPr>
        <w:spacing w:after="80"/>
      </w:pPr>
      <w:r>
        <w:rPr>
          <w:b/>
          <w:bCs/>
        </w:rPr>
        <w:t xml:space="preserve">A real three-strikes policy</w:t>
      </w:r>
      <w:r>
        <w:t xml:space="preserve">: document specific trigger events (safety violation, no-show without notice, verified customer complaint of theft/damage, license lapse) and enforce it consistently — the app's entire value proposition collapses if bad actors are tolerated for revenue reasons.</w:t>
      </w:r>
    </w:p>
    <w:p>
      <w:pPr>
        <w:pStyle w:val="ListParagraph"/>
        <w:numPr>
          <w:ilvl w:val="0"/>
          <w:numId w:val="2"/>
        </w:numPr>
        <w:spacing w:after="80"/>
      </w:pPr>
      <w:r>
        <w:rPr>
          <w:b/>
          <w:bCs/>
        </w:rPr>
        <w:t xml:space="preserve">Regular check-ins</w:t>
      </w:r>
      <w:r>
        <w:t xml:space="preserve">: don't just manage partners through the app dashboard — a human relationship (calls, periodic in-person visits) keeps you informed of problems before they show up as bad reviews.</w:t>
      </w:r>
    </w:p>
    <w:p>
      <w:pPr>
        <w:pStyle w:val="Heading2"/>
        <w:spacing w:after="160" w:before="360"/>
      </w:pPr>
      <w:r>
        <w:t xml:space="preserve">7.5 Coverage-planning target for Phase 1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5"/>
        <w:gridCol w:w="3057"/>
        <w:gridCol w:w="4004"/>
      </w:tblGrid>
      <w:tr>
        <w:trPr>
          <w:tblHeader/>
        </w:trPr>
        <w:tc>
          <w:tcPr>
            <w:tcW w:type="dxa" w:w="1965"/>
            <w:shd w:fill="334155" w:color="auto" w:val="clear"/>
            <w:tcMar>
              <w:top w:type="dxa" w:w="80"/>
              <w:left w:type="dxa" w:w="100"/>
              <w:bottom w:type="dxa" w:w="80"/>
              <w:right w:type="dxa" w:w="100"/>
            </w:tcMar>
            <w:vAlign w:val="center"/>
          </w:tcPr>
          <w:p>
            <w:r>
              <w:rPr>
                <w:b/>
                <w:bCs/>
                <w:color w:val="FFFFFF"/>
              </w:rPr>
              <w:t xml:space="preserve">City</w:t>
            </w:r>
          </w:p>
        </w:tc>
        <w:tc>
          <w:tcPr>
            <w:tcW w:type="dxa" w:w="3057"/>
            <w:shd w:fill="334155" w:color="auto" w:val="clear"/>
            <w:tcMar>
              <w:top w:type="dxa" w:w="80"/>
              <w:left w:type="dxa" w:w="100"/>
              <w:bottom w:type="dxa" w:w="80"/>
              <w:right w:type="dxa" w:w="100"/>
            </w:tcMar>
            <w:vAlign w:val="center"/>
          </w:tcPr>
          <w:p>
            <w:r>
              <w:rPr>
                <w:b/>
                <w:bCs/>
                <w:color w:val="FFFFFF"/>
              </w:rPr>
              <w:t xml:space="preserve">Trades</w:t>
            </w:r>
          </w:p>
        </w:tc>
        <w:tc>
          <w:tcPr>
            <w:tcW w:type="dxa" w:w="4004"/>
            <w:shd w:fill="334155" w:color="auto" w:val="clear"/>
            <w:tcMar>
              <w:top w:type="dxa" w:w="80"/>
              <w:left w:type="dxa" w:w="100"/>
              <w:bottom w:type="dxa" w:w="80"/>
              <w:right w:type="dxa" w:w="100"/>
            </w:tcMar>
            <w:vAlign w:val="center"/>
          </w:tcPr>
          <w:p>
            <w:r>
              <w:rPr>
                <w:b/>
                <w:bCs/>
                <w:color w:val="FFFFFF"/>
              </w:rPr>
              <w:t xml:space="preserve">Minimum partner companies per trade (redundancy target)</w:t>
            </w:r>
          </w:p>
        </w:tc>
      </w:tr>
      <w:tr>
        <w:tc>
          <w:tcPr>
            <w:tcW w:type="dxa" w:w="1965"/>
            <w:tcMar>
              <w:top w:type="dxa" w:w="80"/>
              <w:left w:type="dxa" w:w="100"/>
              <w:bottom w:type="dxa" w:w="80"/>
              <w:right w:type="dxa" w:w="100"/>
            </w:tcMar>
            <w:vAlign w:val="center"/>
          </w:tcPr>
          <w:p>
            <w:pPr>
              <w:spacing w:after="0"/>
            </w:pPr>
            <w:r>
              <w:t xml:space="preserve">Jeddah (launch city)</w:t>
            </w:r>
          </w:p>
        </w:tc>
        <w:tc>
          <w:tcPr>
            <w:tcW w:type="dxa" w:w="3057"/>
            <w:tcMar>
              <w:top w:type="dxa" w:w="80"/>
              <w:left w:type="dxa" w:w="100"/>
              <w:bottom w:type="dxa" w:w="80"/>
              <w:right w:type="dxa" w:w="100"/>
            </w:tcMar>
            <w:vAlign w:val="center"/>
          </w:tcPr>
          <w:p>
            <w:pPr>
              <w:spacing w:after="0"/>
            </w:pPr>
            <w:r>
              <w:t xml:space="preserve">Electrical, Plumbing, HVAC, Civil finishes</w:t>
            </w:r>
          </w:p>
        </w:tc>
        <w:tc>
          <w:tcPr>
            <w:tcW w:type="dxa" w:w="4004"/>
            <w:tcMar>
              <w:top w:type="dxa" w:w="80"/>
              <w:left w:type="dxa" w:w="100"/>
              <w:bottom w:type="dxa" w:w="80"/>
              <w:right w:type="dxa" w:w="100"/>
            </w:tcMar>
            <w:vAlign w:val="center"/>
          </w:tcPr>
          <w:p>
            <w:pPr>
              <w:spacing w:after="0"/>
            </w:pPr>
            <w:r>
              <w:t xml:space="preserve">4-5 each</w:t>
            </w:r>
          </w:p>
        </w:tc>
      </w:tr>
      <w:tr>
        <w:tc>
          <w:tcPr>
            <w:tcW w:type="dxa" w:w="1965"/>
            <w:shd w:fill="F1F5F9" w:color="auto" w:val="clear"/>
            <w:tcMar>
              <w:top w:type="dxa" w:w="80"/>
              <w:left w:type="dxa" w:w="100"/>
              <w:bottom w:type="dxa" w:w="80"/>
              <w:right w:type="dxa" w:w="100"/>
            </w:tcMar>
            <w:vAlign w:val="center"/>
          </w:tcPr>
          <w:p>
            <w:pPr>
              <w:spacing w:after="0"/>
            </w:pPr>
            <w:r>
              <w:t xml:space="preserve">Riyadh (Phase 1, month 7+)</w:t>
            </w:r>
          </w:p>
        </w:tc>
        <w:tc>
          <w:tcPr>
            <w:tcW w:type="dxa" w:w="3057"/>
            <w:shd w:fill="F1F5F9" w:color="auto" w:val="clear"/>
            <w:tcMar>
              <w:top w:type="dxa" w:w="80"/>
              <w:left w:type="dxa" w:w="100"/>
              <w:bottom w:type="dxa" w:w="80"/>
              <w:right w:type="dxa" w:w="100"/>
            </w:tcMar>
            <w:vAlign w:val="center"/>
          </w:tcPr>
          <w:p>
            <w:pPr>
              <w:spacing w:after="0"/>
            </w:pPr>
            <w:r>
              <w:t xml:space="preserve">Same</w:t>
            </w:r>
          </w:p>
        </w:tc>
        <w:tc>
          <w:tcPr>
            <w:tcW w:type="dxa" w:w="4004"/>
            <w:shd w:fill="F1F5F9" w:color="auto" w:val="clear"/>
            <w:tcMar>
              <w:top w:type="dxa" w:w="80"/>
              <w:left w:type="dxa" w:w="100"/>
              <w:bottom w:type="dxa" w:w="80"/>
              <w:right w:type="dxa" w:w="100"/>
            </w:tcMar>
            <w:vAlign w:val="center"/>
          </w:tcPr>
          <w:p>
            <w:pPr>
              <w:spacing w:after="0"/>
            </w:pPr>
            <w:r>
              <w:t xml:space="preserve">4-5 each</w:t>
            </w:r>
          </w:p>
        </w:tc>
      </w:tr>
      <w:tr>
        <w:tc>
          <w:tcPr>
            <w:tcW w:type="dxa" w:w="1965"/>
            <w:tcMar>
              <w:top w:type="dxa" w:w="80"/>
              <w:left w:type="dxa" w:w="100"/>
              <w:bottom w:type="dxa" w:w="80"/>
              <w:right w:type="dxa" w:w="100"/>
            </w:tcMar>
            <w:vAlign w:val="center"/>
          </w:tcPr>
          <w:p>
            <w:pPr>
              <w:spacing w:after="0"/>
            </w:pPr>
            <w:r>
              <w:t xml:space="preserve">Dammam (Phase 1, month 10+)</w:t>
            </w:r>
          </w:p>
        </w:tc>
        <w:tc>
          <w:tcPr>
            <w:tcW w:type="dxa" w:w="3057"/>
            <w:tcMar>
              <w:top w:type="dxa" w:w="80"/>
              <w:left w:type="dxa" w:w="100"/>
              <w:bottom w:type="dxa" w:w="80"/>
              <w:right w:type="dxa" w:w="100"/>
            </w:tcMar>
            <w:vAlign w:val="center"/>
          </w:tcPr>
          <w:p>
            <w:pPr>
              <w:spacing w:after="0"/>
            </w:pPr>
            <w:r>
              <w:t xml:space="preserve">Same</w:t>
            </w:r>
          </w:p>
        </w:tc>
        <w:tc>
          <w:tcPr>
            <w:tcW w:type="dxa" w:w="4004"/>
            <w:tcMar>
              <w:top w:type="dxa" w:w="80"/>
              <w:left w:type="dxa" w:w="100"/>
              <w:bottom w:type="dxa" w:w="80"/>
              <w:right w:type="dxa" w:w="100"/>
            </w:tcMar>
            <w:vAlign w:val="center"/>
          </w:tcPr>
          <w:p>
            <w:pPr>
              <w:spacing w:after="0"/>
            </w:pPr>
            <w:r>
              <w:t xml:space="preserve">3-4 each (smaller market)</w:t>
            </w:r>
          </w:p>
        </w:tc>
      </w:tr>
    </w:tbl>
    <w:p>
      <w:pPr>
        <w:spacing w:after="200"/>
      </w:pPr>
    </w:p>
    <w:p>
      <w:pPr>
        <w:spacing w:after="160"/>
      </w:pPr>
      <w:r>
        <w:t xml:space="preserve">Redundancy matters: if you only have one electrical partner in a city and they have a bad week, every electrical customer in that city has a bad experience. Never launch a trade in a city with only a single partner.</w:t>
      </w:r>
    </w:p>
    <w:p>
      <w:pPr>
        <w:pStyle w:val="Heading2"/>
        <w:spacing w:after="160" w:before="360"/>
      </w:pPr>
      <w:r>
        <w:t xml:space="preserve">7.6 What this plan can and can't do here</w:t>
      </w:r>
    </w:p>
    <w:p>
      <w:pPr>
        <w:spacing w:after="160"/>
      </w:pPr>
      <w:r>
        <w:t xml:space="preserve">This framework tells you exactly what to look for, verify, and negotiate. It </w:t>
      </w:r>
      <w:r>
        <w:rPr>
          <w:b/>
          <w:bCs/>
        </w:rPr>
        <w:t xml:space="preserve">cannot</w:t>
      </w:r>
      <w:r>
        <w:t xml:space="preserve"> draft the enforceable contract language, verify a specific company's license status for you (you must check Wathq/Balady yourself or through your lawyer), or negotiate on your behalf. Bring this document to a Saudi corporate/commercial lawyer as the brief for drafting your actual Partnership Agreement template.</w:t>
      </w:r>
    </w:p>
    <w:p>
      <w:pPr>
        <w:pStyle w:val="Heading1"/>
        <w:pageBreakBefore/>
        <w:spacing w:after="240" w:before="0"/>
      </w:pPr>
      <w:r>
        <w:t xml:space="preserve">8. SLA Templates — Service Level Agreements</w:t>
      </w:r>
    </w:p>
    <w:p>
      <w:pPr>
        <w:spacing w:after="160"/>
      </w:pPr>
      <w:r>
        <w:t xml:space="preserve">An SLA (Service Level Agreement) is simply a written promise: "here's exactly what you can expect, and here's what happens if we don't deliver it." You need SLAs in </w:t>
      </w:r>
      <w:r>
        <w:rPr>
          <w:b/>
          <w:bCs/>
        </w:rPr>
        <w:t xml:space="preserve">two directions</w:t>
      </w:r>
      <w:r>
        <w:t xml:space="preserve">: what you promise the customer, and what you require from the contractor to be able to keep that promise. Use these as a drafting brief — final wording should be reviewed by your lawyer before publishing.</w:t>
      </w:r>
    </w:p>
    <w:p>
      <w:pPr>
        <w:pStyle w:val="Heading2"/>
        <w:spacing w:after="160" w:before="360"/>
      </w:pPr>
      <w:r>
        <w:t xml:space="preserve">8.1 Customer-facing SLA (what we promise the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74"/>
        <w:gridCol w:w="3148"/>
        <w:gridCol w:w="2604"/>
      </w:tblGrid>
      <w:tr>
        <w:trPr>
          <w:tblHeader/>
        </w:trPr>
        <w:tc>
          <w:tcPr>
            <w:tcW w:type="dxa" w:w="3274"/>
            <w:shd w:fill="334155" w:color="auto" w:val="clear"/>
            <w:tcMar>
              <w:top w:type="dxa" w:w="80"/>
              <w:left w:type="dxa" w:w="100"/>
              <w:bottom w:type="dxa" w:w="80"/>
              <w:right w:type="dxa" w:w="100"/>
            </w:tcMar>
            <w:vAlign w:val="center"/>
          </w:tcPr>
          <w:p>
            <w:r>
              <w:rPr>
                <w:b/>
                <w:bCs/>
                <w:color w:val="FFFFFF"/>
              </w:rPr>
              <w:t xml:space="preserve">Commitment</w:t>
            </w:r>
          </w:p>
        </w:tc>
        <w:tc>
          <w:tcPr>
            <w:tcW w:type="dxa" w:w="3148"/>
            <w:shd w:fill="334155" w:color="auto" w:val="clear"/>
            <w:tcMar>
              <w:top w:type="dxa" w:w="80"/>
              <w:left w:type="dxa" w:w="100"/>
              <w:bottom w:type="dxa" w:w="80"/>
              <w:right w:type="dxa" w:w="100"/>
            </w:tcMar>
            <w:vAlign w:val="center"/>
          </w:tcPr>
          <w:p>
            <w:r>
              <w:rPr>
                <w:b/>
                <w:bCs/>
                <w:color w:val="FFFFFF"/>
              </w:rPr>
              <w:t xml:space="preserve">Standard tier</w:t>
            </w:r>
          </w:p>
        </w:tc>
        <w:tc>
          <w:tcPr>
            <w:tcW w:type="dxa" w:w="2604"/>
            <w:shd w:fill="334155" w:color="auto" w:val="clear"/>
            <w:tcMar>
              <w:top w:type="dxa" w:w="80"/>
              <w:left w:type="dxa" w:w="100"/>
              <w:bottom w:type="dxa" w:w="80"/>
              <w:right w:type="dxa" w:w="100"/>
            </w:tcMar>
            <w:vAlign w:val="center"/>
          </w:tcPr>
          <w:p>
            <w:r>
              <w:rPr>
                <w:b/>
                <w:bCs/>
                <w:color w:val="FFFFFF"/>
              </w:rPr>
              <w:t xml:space="preserve">Priority tier (subscription members)</w:t>
            </w:r>
          </w:p>
        </w:tc>
      </w:tr>
      <w:tr>
        <w:tc>
          <w:tcPr>
            <w:tcW w:type="dxa" w:w="3274"/>
            <w:tcMar>
              <w:top w:type="dxa" w:w="80"/>
              <w:left w:type="dxa" w:w="100"/>
              <w:bottom w:type="dxa" w:w="80"/>
              <w:right w:type="dxa" w:w="100"/>
            </w:tcMar>
            <w:vAlign w:val="center"/>
          </w:tcPr>
          <w:p>
            <w:pPr>
              <w:spacing w:after="0"/>
            </w:pPr>
            <w:r>
              <w:t xml:space="preserve">Booking confirmation</w:t>
            </w:r>
          </w:p>
        </w:tc>
        <w:tc>
          <w:tcPr>
            <w:tcW w:type="dxa" w:w="3148"/>
            <w:tcMar>
              <w:top w:type="dxa" w:w="80"/>
              <w:left w:type="dxa" w:w="100"/>
              <w:bottom w:type="dxa" w:w="80"/>
              <w:right w:type="dxa" w:w="100"/>
            </w:tcMar>
            <w:vAlign w:val="center"/>
          </w:tcPr>
          <w:p>
            <w:pPr>
              <w:spacing w:after="0"/>
            </w:pPr>
            <w:r>
              <w:t xml:space="preserve">Within 15 minutes of request</w:t>
            </w:r>
          </w:p>
        </w:tc>
        <w:tc>
          <w:tcPr>
            <w:tcW w:type="dxa" w:w="2604"/>
            <w:tcMar>
              <w:top w:type="dxa" w:w="80"/>
              <w:left w:type="dxa" w:w="100"/>
              <w:bottom w:type="dxa" w:w="80"/>
              <w:right w:type="dxa" w:w="100"/>
            </w:tcMar>
            <w:vAlign w:val="center"/>
          </w:tcPr>
          <w:p>
            <w:pPr>
              <w:spacing w:after="0"/>
            </w:pPr>
            <w:r>
              <w:t xml:space="preserve">Within 5 minutes</w:t>
            </w:r>
          </w:p>
        </w:tc>
      </w:tr>
      <w:tr>
        <w:tc>
          <w:tcPr>
            <w:tcW w:type="dxa" w:w="3274"/>
            <w:shd w:fill="F1F5F9" w:color="auto" w:val="clear"/>
            <w:tcMar>
              <w:top w:type="dxa" w:w="80"/>
              <w:left w:type="dxa" w:w="100"/>
              <w:bottom w:type="dxa" w:w="80"/>
              <w:right w:type="dxa" w:w="100"/>
            </w:tcMar>
            <w:vAlign w:val="center"/>
          </w:tcPr>
          <w:p>
            <w:pPr>
              <w:spacing w:after="0"/>
            </w:pPr>
            <w:r>
              <w:t xml:space="preserve">Technician dispatch window (non-emergency)</w:t>
            </w:r>
          </w:p>
        </w:tc>
        <w:tc>
          <w:tcPr>
            <w:tcW w:type="dxa" w:w="3148"/>
            <w:shd w:fill="F1F5F9" w:color="auto" w:val="clear"/>
            <w:tcMar>
              <w:top w:type="dxa" w:w="80"/>
              <w:left w:type="dxa" w:w="100"/>
              <w:bottom w:type="dxa" w:w="80"/>
              <w:right w:type="dxa" w:w="100"/>
            </w:tcMar>
            <w:vAlign w:val="center"/>
          </w:tcPr>
          <w:p>
            <w:pPr>
              <w:spacing w:after="0"/>
            </w:pPr>
            <w:r>
              <w:t xml:space="preserve">Same day or next day, scheduled slot</w:t>
            </w:r>
          </w:p>
        </w:tc>
        <w:tc>
          <w:tcPr>
            <w:tcW w:type="dxa" w:w="2604"/>
            <w:shd w:fill="F1F5F9" w:color="auto" w:val="clear"/>
            <w:tcMar>
              <w:top w:type="dxa" w:w="80"/>
              <w:left w:type="dxa" w:w="100"/>
              <w:bottom w:type="dxa" w:w="80"/>
              <w:right w:type="dxa" w:w="100"/>
            </w:tcMar>
            <w:vAlign w:val="center"/>
          </w:tcPr>
          <w:p>
            <w:pPr>
              <w:spacing w:after="0"/>
            </w:pPr>
            <w:r>
              <w:t xml:space="preserve">Same day, priority slot</w:t>
            </w:r>
          </w:p>
        </w:tc>
      </w:tr>
      <w:tr>
        <w:tc>
          <w:tcPr>
            <w:tcW w:type="dxa" w:w="3274"/>
            <w:tcMar>
              <w:top w:type="dxa" w:w="80"/>
              <w:left w:type="dxa" w:w="100"/>
              <w:bottom w:type="dxa" w:w="80"/>
              <w:right w:type="dxa" w:w="100"/>
            </w:tcMar>
            <w:vAlign w:val="center"/>
          </w:tcPr>
          <w:p>
            <w:pPr>
              <w:spacing w:after="0"/>
            </w:pPr>
            <w:r>
              <w:t xml:space="preserve">Emergency response (burst pipe, total power loss, gas smell — safety-relevant)</w:t>
            </w:r>
          </w:p>
        </w:tc>
        <w:tc>
          <w:tcPr>
            <w:tcW w:type="dxa" w:w="3148"/>
            <w:tcMar>
              <w:top w:type="dxa" w:w="80"/>
              <w:left w:type="dxa" w:w="100"/>
              <w:bottom w:type="dxa" w:w="80"/>
              <w:right w:type="dxa" w:w="100"/>
            </w:tcMar>
            <w:vAlign w:val="center"/>
          </w:tcPr>
          <w:p>
            <w:pPr>
              <w:spacing w:after="0"/>
            </w:pPr>
            <w:r>
              <w:t xml:space="preserve">Within 2-4 hours, where a partner is available</w:t>
            </w:r>
          </w:p>
        </w:tc>
        <w:tc>
          <w:tcPr>
            <w:tcW w:type="dxa" w:w="2604"/>
            <w:tcMar>
              <w:top w:type="dxa" w:w="80"/>
              <w:left w:type="dxa" w:w="100"/>
              <w:bottom w:type="dxa" w:w="80"/>
              <w:right w:type="dxa" w:w="100"/>
            </w:tcMar>
            <w:vAlign w:val="center"/>
          </w:tcPr>
          <w:p>
            <w:pPr>
              <w:spacing w:after="0"/>
            </w:pPr>
            <w:r>
              <w:t xml:space="preserve">Within 1-2 hours</w:t>
            </w:r>
          </w:p>
        </w:tc>
      </w:tr>
      <w:tr>
        <w:tc>
          <w:tcPr>
            <w:tcW w:type="dxa" w:w="3274"/>
            <w:shd w:fill="F1F5F9" w:color="auto" w:val="clear"/>
            <w:tcMar>
              <w:top w:type="dxa" w:w="80"/>
              <w:left w:type="dxa" w:w="100"/>
              <w:bottom w:type="dxa" w:w="80"/>
              <w:right w:type="dxa" w:w="100"/>
            </w:tcMar>
            <w:vAlign w:val="center"/>
          </w:tcPr>
          <w:p>
            <w:pPr>
              <w:spacing w:after="0"/>
            </w:pPr>
            <w:r>
              <w:t xml:space="preserve">Technician arrival window accuracy</w:t>
            </w:r>
          </w:p>
        </w:tc>
        <w:tc>
          <w:tcPr>
            <w:tcW w:type="dxa" w:w="3148"/>
            <w:shd w:fill="F1F5F9" w:color="auto" w:val="clear"/>
            <w:tcMar>
              <w:top w:type="dxa" w:w="80"/>
              <w:left w:type="dxa" w:w="100"/>
              <w:bottom w:type="dxa" w:w="80"/>
              <w:right w:type="dxa" w:w="100"/>
            </w:tcMar>
            <w:vAlign w:val="center"/>
          </w:tcPr>
          <w:p>
            <w:pPr>
              <w:spacing w:after="0"/>
            </w:pPr>
            <w:r>
              <w:t xml:space="preserve">Within a 2-hour window communicated in advance</w:t>
            </w:r>
          </w:p>
        </w:tc>
        <w:tc>
          <w:tcPr>
            <w:tcW w:type="dxa" w:w="2604"/>
            <w:shd w:fill="F1F5F9" w:color="auto" w:val="clear"/>
            <w:tcMar>
              <w:top w:type="dxa" w:w="80"/>
              <w:left w:type="dxa" w:w="100"/>
              <w:bottom w:type="dxa" w:w="80"/>
              <w:right w:type="dxa" w:w="100"/>
            </w:tcMar>
            <w:vAlign w:val="center"/>
          </w:tcPr>
          <w:p>
            <w:pPr>
              <w:spacing w:after="0"/>
            </w:pPr>
            <w:r>
              <w:t xml:space="preserve">Within a 1-hour window</w:t>
            </w:r>
          </w:p>
        </w:tc>
      </w:tr>
      <w:tr>
        <w:tc>
          <w:tcPr>
            <w:tcW w:type="dxa" w:w="3274"/>
            <w:tcMar>
              <w:top w:type="dxa" w:w="80"/>
              <w:left w:type="dxa" w:w="100"/>
              <w:bottom w:type="dxa" w:w="80"/>
              <w:right w:type="dxa" w:w="100"/>
            </w:tcMar>
            <w:vAlign w:val="center"/>
          </w:tcPr>
          <w:p>
            <w:pPr>
              <w:spacing w:after="0"/>
            </w:pPr>
            <w:r>
              <w:t xml:space="preserve">Upfront price estimate</w:t>
            </w:r>
          </w:p>
        </w:tc>
        <w:tc>
          <w:tcPr>
            <w:tcW w:type="dxa" w:w="3148"/>
            <w:tcMar>
              <w:top w:type="dxa" w:w="80"/>
              <w:left w:type="dxa" w:w="100"/>
              <w:bottom w:type="dxa" w:w="80"/>
              <w:right w:type="dxa" w:w="100"/>
            </w:tcMar>
            <w:vAlign w:val="center"/>
          </w:tcPr>
          <w:p>
            <w:pPr>
              <w:spacing w:after="0"/>
            </w:pPr>
            <w:r>
              <w:t xml:space="preserve">Provided before technician dispatch for standard job types</w:t>
            </w:r>
          </w:p>
        </w:tc>
        <w:tc>
          <w:tcPr>
            <w:tcW w:type="dxa" w:w="2604"/>
            <w:tcMar>
              <w:top w:type="dxa" w:w="80"/>
              <w:left w:type="dxa" w:w="100"/>
              <w:bottom w:type="dxa" w:w="80"/>
              <w:right w:type="dxa" w:w="100"/>
            </w:tcMar>
            <w:vAlign w:val="center"/>
          </w:tcPr>
          <w:p>
            <w:pPr>
              <w:spacing w:after="0"/>
            </w:pPr>
            <w:r>
              <w:t xml:space="preserve">Same, plus locked-in pricing for subscription-covered services</w:t>
            </w:r>
          </w:p>
        </w:tc>
      </w:tr>
      <w:tr>
        <w:tc>
          <w:tcPr>
            <w:tcW w:type="dxa" w:w="3274"/>
            <w:shd w:fill="F1F5F9" w:color="auto" w:val="clear"/>
            <w:tcMar>
              <w:top w:type="dxa" w:w="80"/>
              <w:left w:type="dxa" w:w="100"/>
              <w:bottom w:type="dxa" w:w="80"/>
              <w:right w:type="dxa" w:w="100"/>
            </w:tcMar>
            <w:vAlign w:val="center"/>
          </w:tcPr>
          <w:p>
            <w:pPr>
              <w:spacing w:after="0"/>
            </w:pPr>
            <w:r>
              <w:t xml:space="preserve">Post-job guarantee/warranty</w:t>
            </w:r>
          </w:p>
        </w:tc>
        <w:tc>
          <w:tcPr>
            <w:tcW w:type="dxa" w:w="3148"/>
            <w:shd w:fill="F1F5F9" w:color="auto" w:val="clear"/>
            <w:tcMar>
              <w:top w:type="dxa" w:w="80"/>
              <w:left w:type="dxa" w:w="100"/>
              <w:bottom w:type="dxa" w:w="80"/>
              <w:right w:type="dxa" w:w="100"/>
            </w:tcMar>
            <w:vAlign w:val="center"/>
          </w:tcPr>
          <w:p>
            <w:pPr>
              <w:spacing w:after="0"/>
            </w:pPr>
            <w:r>
              <w:t xml:space="preserve">30 days on workmanship for the same issue, at no extra charge</w:t>
            </w:r>
          </w:p>
        </w:tc>
        <w:tc>
          <w:tcPr>
            <w:tcW w:type="dxa" w:w="2604"/>
            <w:shd w:fill="F1F5F9" w:color="auto" w:val="clear"/>
            <w:tcMar>
              <w:top w:type="dxa" w:w="80"/>
              <w:left w:type="dxa" w:w="100"/>
              <w:bottom w:type="dxa" w:w="80"/>
              <w:right w:type="dxa" w:w="100"/>
            </w:tcMar>
            <w:vAlign w:val="center"/>
          </w:tcPr>
          <w:p>
            <w:pPr>
              <w:spacing w:after="0"/>
            </w:pPr>
            <w:r>
              <w:t xml:space="preserve">60 days</w:t>
            </w:r>
          </w:p>
        </w:tc>
      </w:tr>
      <w:tr>
        <w:tc>
          <w:tcPr>
            <w:tcW w:type="dxa" w:w="3274"/>
            <w:tcMar>
              <w:top w:type="dxa" w:w="80"/>
              <w:left w:type="dxa" w:w="100"/>
              <w:bottom w:type="dxa" w:w="80"/>
              <w:right w:type="dxa" w:w="100"/>
            </w:tcMar>
            <w:vAlign w:val="center"/>
          </w:tcPr>
          <w:p>
            <w:pPr>
              <w:spacing w:after="0"/>
            </w:pPr>
            <w:r>
              <w:t xml:space="preserve">Cancellation notice</w:t>
            </w:r>
          </w:p>
        </w:tc>
        <w:tc>
          <w:tcPr>
            <w:tcW w:type="dxa" w:w="3148"/>
            <w:tcMar>
              <w:top w:type="dxa" w:w="80"/>
              <w:left w:type="dxa" w:w="100"/>
              <w:bottom w:type="dxa" w:w="80"/>
              <w:right w:type="dxa" w:w="100"/>
            </w:tcMar>
            <w:vAlign w:val="center"/>
          </w:tcPr>
          <w:p>
            <w:pPr>
              <w:spacing w:after="0"/>
            </w:pPr>
            <w:r>
              <w:t xml:space="preserve">Customer may cancel free of charge up to 1 hour before scheduled arrival</w:t>
            </w:r>
          </w:p>
        </w:tc>
        <w:tc>
          <w:tcPr>
            <w:tcW w:type="dxa" w:w="2604"/>
            <w:tcMar>
              <w:top w:type="dxa" w:w="80"/>
              <w:left w:type="dxa" w:w="100"/>
              <w:bottom w:type="dxa" w:w="80"/>
              <w:right w:type="dxa" w:w="100"/>
            </w:tcMar>
            <w:vAlign w:val="center"/>
          </w:tcPr>
          <w:p>
            <w:pPr>
              <w:spacing w:after="0"/>
            </w:pPr>
            <w:r>
              <w:t xml:space="preserve">Up to 30 minutes</w:t>
            </w:r>
          </w:p>
        </w:tc>
      </w:tr>
      <w:tr>
        <w:tc>
          <w:tcPr>
            <w:tcW w:type="dxa" w:w="3274"/>
            <w:shd w:fill="F1F5F9" w:color="auto" w:val="clear"/>
            <w:tcMar>
              <w:top w:type="dxa" w:w="80"/>
              <w:left w:type="dxa" w:w="100"/>
              <w:bottom w:type="dxa" w:w="80"/>
              <w:right w:type="dxa" w:w="100"/>
            </w:tcMar>
            <w:vAlign w:val="center"/>
          </w:tcPr>
          <w:p>
            <w:pPr>
              <w:spacing w:after="0"/>
            </w:pPr>
            <w:r>
              <w:t xml:space="preserve">Response to a complaint</w:t>
            </w:r>
          </w:p>
        </w:tc>
        <w:tc>
          <w:tcPr>
            <w:tcW w:type="dxa" w:w="3148"/>
            <w:shd w:fill="F1F5F9" w:color="auto" w:val="clear"/>
            <w:tcMar>
              <w:top w:type="dxa" w:w="80"/>
              <w:left w:type="dxa" w:w="100"/>
              <w:bottom w:type="dxa" w:w="80"/>
              <w:right w:type="dxa" w:w="100"/>
            </w:tcMar>
            <w:vAlign w:val="center"/>
          </w:tcPr>
          <w:p>
            <w:pPr>
              <w:spacing w:after="0"/>
            </w:pPr>
            <w:r>
              <w:t xml:space="preserve">Acknowledged within 4 business hours, resolved or escalated within 48 hours</w:t>
            </w:r>
          </w:p>
        </w:tc>
        <w:tc>
          <w:tcPr>
            <w:tcW w:type="dxa" w:w="2604"/>
            <w:shd w:fill="F1F5F9" w:color="auto" w:val="clear"/>
            <w:tcMar>
              <w:top w:type="dxa" w:w="80"/>
              <w:left w:type="dxa" w:w="100"/>
              <w:bottom w:type="dxa" w:w="80"/>
              <w:right w:type="dxa" w:w="100"/>
            </w:tcMar>
            <w:vAlign w:val="center"/>
          </w:tcPr>
          <w:p>
            <w:pPr>
              <w:spacing w:after="0"/>
            </w:pPr>
            <w:r>
              <w:t xml:space="preserve">Within 2 business hours / 24 hours</w:t>
            </w:r>
          </w:p>
        </w:tc>
      </w:tr>
      <w:tr>
        <w:tc>
          <w:tcPr>
            <w:tcW w:type="dxa" w:w="3274"/>
            <w:tcMar>
              <w:top w:type="dxa" w:w="80"/>
              <w:left w:type="dxa" w:w="100"/>
              <w:bottom w:type="dxa" w:w="80"/>
              <w:right w:type="dxa" w:w="100"/>
            </w:tcMar>
            <w:vAlign w:val="center"/>
          </w:tcPr>
          <w:p>
            <w:pPr>
              <w:spacing w:after="0"/>
            </w:pPr>
            <w:r>
              <w:t xml:space="preserve">Refund on verified no-show or unresolved issue</w:t>
            </w:r>
          </w:p>
        </w:tc>
        <w:tc>
          <w:tcPr>
            <w:tcW w:type="dxa" w:w="3148"/>
            <w:tcMar>
              <w:top w:type="dxa" w:w="80"/>
              <w:left w:type="dxa" w:w="100"/>
              <w:bottom w:type="dxa" w:w="80"/>
              <w:right w:type="dxa" w:w="100"/>
            </w:tcMar>
            <w:vAlign w:val="center"/>
          </w:tcPr>
          <w:p>
            <w:pPr>
              <w:spacing w:after="0"/>
            </w:pPr>
            <w:r>
              <w:t xml:space="preserve">Full refund of booking fee + job cost if unresolved after warranty visit</w:t>
            </w:r>
          </w:p>
        </w:tc>
        <w:tc>
          <w:tcPr>
            <w:tcW w:type="dxa" w:w="2604"/>
            <w:tcMar>
              <w:top w:type="dxa" w:w="80"/>
              <w:left w:type="dxa" w:w="100"/>
              <w:bottom w:type="dxa" w:w="80"/>
              <w:right w:type="dxa" w:w="100"/>
            </w:tcMar>
            <w:vAlign w:val="center"/>
          </w:tcPr>
          <w:p>
            <w:pPr>
              <w:spacing w:after="0"/>
            </w:pPr>
            <w:r>
              <w:t xml:space="preserve">Same, expedited</w:t>
            </w:r>
          </w:p>
        </w:tc>
      </w:tr>
    </w:tbl>
    <w:p>
      <w:pPr>
        <w:spacing w:after="200"/>
      </w:pPr>
    </w:p>
    <w:p>
      <w:pPr>
        <w:spacing w:after="160"/>
      </w:pPr>
      <w:r>
        <w:rPr>
          <w:b/>
          <w:bCs/>
        </w:rPr>
        <w:t xml:space="preserve">Escalation ladder for customers</w:t>
      </w:r>
      <w:r>
        <w:t xml:space="preserve">: in-app chat/rating → phone support → formal complaint with a case number and resolution deadline → refund/compensation per policy. Publish this ladder in the app so customers know what to expect — ambiguity is what turns a single bad job into a public one-star review.</w:t>
      </w:r>
    </w:p>
    <w:p>
      <w:pPr>
        <w:pStyle w:val="Heading2"/>
        <w:spacing w:after="160" w:before="360"/>
      </w:pPr>
      <w:r>
        <w:t xml:space="preserve">8.2 Contractor-facing SLA (what we require from partners)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5"/>
        <w:gridCol w:w="4047"/>
        <w:gridCol w:w="4074"/>
      </w:tblGrid>
      <w:tr>
        <w:trPr>
          <w:tblHeader/>
        </w:trPr>
        <w:tc>
          <w:tcPr>
            <w:tcW w:type="dxa" w:w="905"/>
            <w:shd w:fill="334155" w:color="auto" w:val="clear"/>
            <w:tcMar>
              <w:top w:type="dxa" w:w="80"/>
              <w:left w:type="dxa" w:w="100"/>
              <w:bottom w:type="dxa" w:w="80"/>
              <w:right w:type="dxa" w:w="100"/>
            </w:tcMar>
            <w:vAlign w:val="center"/>
          </w:tcPr>
          <w:p>
            <w:r>
              <w:rPr>
                <w:b/>
                <w:bCs/>
                <w:color w:val="FFFFFF"/>
              </w:rPr>
              <w:t xml:space="preserve">Requirement</w:t>
            </w:r>
          </w:p>
        </w:tc>
        <w:tc>
          <w:tcPr>
            <w:tcW w:type="dxa" w:w="4047"/>
            <w:shd w:fill="334155" w:color="auto" w:val="clear"/>
            <w:tcMar>
              <w:top w:type="dxa" w:w="80"/>
              <w:left w:type="dxa" w:w="100"/>
              <w:bottom w:type="dxa" w:w="80"/>
              <w:right w:type="dxa" w:w="100"/>
            </w:tcMar>
            <w:vAlign w:val="center"/>
          </w:tcPr>
          <w:p>
            <w:r>
              <w:rPr>
                <w:b/>
                <w:bCs/>
                <w:color w:val="FFFFFF"/>
              </w:rPr>
              <w:t xml:space="preserve">Standard</w:t>
            </w:r>
          </w:p>
        </w:tc>
        <w:tc>
          <w:tcPr>
            <w:tcW w:type="dxa" w:w="4074"/>
            <w:shd w:fill="334155" w:color="auto" w:val="clear"/>
            <w:tcMar>
              <w:top w:type="dxa" w:w="80"/>
              <w:left w:type="dxa" w:w="100"/>
              <w:bottom w:type="dxa" w:w="80"/>
              <w:right w:type="dxa" w:w="100"/>
            </w:tcMar>
            <w:vAlign w:val="center"/>
          </w:tcPr>
          <w:p>
            <w:r>
              <w:rPr>
                <w:b/>
                <w:bCs/>
                <w:color w:val="FFFFFF"/>
              </w:rPr>
              <w:t xml:space="preserve">Consequence of breach</w:t>
            </w:r>
          </w:p>
        </w:tc>
      </w:tr>
      <w:tr>
        <w:tc>
          <w:tcPr>
            <w:tcW w:type="dxa" w:w="905"/>
            <w:tcMar>
              <w:top w:type="dxa" w:w="80"/>
              <w:left w:type="dxa" w:w="100"/>
              <w:bottom w:type="dxa" w:w="80"/>
              <w:right w:type="dxa" w:w="100"/>
            </w:tcMar>
            <w:vAlign w:val="center"/>
          </w:tcPr>
          <w:p>
            <w:pPr>
              <w:spacing w:after="0"/>
            </w:pPr>
            <w:r>
              <w:t xml:space="preserve">Job acceptance/decline response time</w:t>
            </w:r>
          </w:p>
        </w:tc>
        <w:tc>
          <w:tcPr>
            <w:tcW w:type="dxa" w:w="4047"/>
            <w:tcMar>
              <w:top w:type="dxa" w:w="80"/>
              <w:left w:type="dxa" w:w="100"/>
              <w:bottom w:type="dxa" w:w="80"/>
              <w:right w:type="dxa" w:w="100"/>
            </w:tcMar>
            <w:vAlign w:val="center"/>
          </w:tcPr>
          <w:p>
            <w:pPr>
              <w:spacing w:after="0"/>
            </w:pPr>
            <w:r>
              <w:t xml:space="preserve">Within 10 minutes of dispatch</w:t>
            </w:r>
          </w:p>
        </w:tc>
        <w:tc>
          <w:tcPr>
            <w:tcW w:type="dxa" w:w="4074"/>
            <w:tcMar>
              <w:top w:type="dxa" w:w="80"/>
              <w:left w:type="dxa" w:w="100"/>
              <w:bottom w:type="dxa" w:w="80"/>
              <w:right w:type="dxa" w:w="100"/>
            </w:tcMar>
            <w:vAlign w:val="center"/>
          </w:tcPr>
          <w:p>
            <w:pPr>
              <w:spacing w:after="0"/>
            </w:pPr>
            <w:r>
              <w:t xml:space="preserve">Job auto-routed to next available partner; repeated slow response affects tier ranking</w:t>
            </w:r>
          </w:p>
        </w:tc>
      </w:tr>
      <w:tr>
        <w:tc>
          <w:tcPr>
            <w:tcW w:type="dxa" w:w="905"/>
            <w:shd w:fill="F1F5F9" w:color="auto" w:val="clear"/>
            <w:tcMar>
              <w:top w:type="dxa" w:w="80"/>
              <w:left w:type="dxa" w:w="100"/>
              <w:bottom w:type="dxa" w:w="80"/>
              <w:right w:type="dxa" w:w="100"/>
            </w:tcMar>
            <w:vAlign w:val="center"/>
          </w:tcPr>
          <w:p>
            <w:pPr>
              <w:spacing w:after="0"/>
            </w:pPr>
            <w:r>
              <w:t xml:space="preserve">Arrival within the promised window</w:t>
            </w:r>
          </w:p>
        </w:tc>
        <w:tc>
          <w:tcPr>
            <w:tcW w:type="dxa" w:w="4047"/>
            <w:shd w:fill="F1F5F9" w:color="auto" w:val="clear"/>
            <w:tcMar>
              <w:top w:type="dxa" w:w="80"/>
              <w:left w:type="dxa" w:w="100"/>
              <w:bottom w:type="dxa" w:w="80"/>
              <w:right w:type="dxa" w:w="100"/>
            </w:tcMar>
            <w:vAlign w:val="center"/>
          </w:tcPr>
          <w:p>
            <w:pPr>
              <w:spacing w:after="0"/>
            </w:pPr>
            <w:r>
              <w:t xml:space="preserve">Required, with proactive in-app notice if delayed</w:t>
            </w:r>
          </w:p>
        </w:tc>
        <w:tc>
          <w:tcPr>
            <w:tcW w:type="dxa" w:w="4074"/>
            <w:shd w:fill="F1F5F9" w:color="auto" w:val="clear"/>
            <w:tcMar>
              <w:top w:type="dxa" w:w="80"/>
              <w:left w:type="dxa" w:w="100"/>
              <w:bottom w:type="dxa" w:w="80"/>
              <w:right w:type="dxa" w:w="100"/>
            </w:tcMar>
            <w:vAlign w:val="center"/>
          </w:tcPr>
          <w:p>
            <w:pPr>
              <w:spacing w:after="0"/>
            </w:pPr>
            <w:r>
              <w:t xml:space="preserve">Late-arrival penalty (commission discount on that job) after a grace period; repeated lateness triggers review</w:t>
            </w:r>
          </w:p>
        </w:tc>
      </w:tr>
      <w:tr>
        <w:tc>
          <w:tcPr>
            <w:tcW w:type="dxa" w:w="905"/>
            <w:tcMar>
              <w:top w:type="dxa" w:w="80"/>
              <w:left w:type="dxa" w:w="100"/>
              <w:bottom w:type="dxa" w:w="80"/>
              <w:right w:type="dxa" w:w="100"/>
            </w:tcMar>
            <w:vAlign w:val="center"/>
          </w:tcPr>
          <w:p>
            <w:pPr>
              <w:spacing w:after="0"/>
            </w:pPr>
            <w:r>
              <w:t xml:space="preserve">No-show</w:t>
            </w:r>
          </w:p>
        </w:tc>
        <w:tc>
          <w:tcPr>
            <w:tcW w:type="dxa" w:w="4047"/>
            <w:tcMar>
              <w:top w:type="dxa" w:w="80"/>
              <w:left w:type="dxa" w:w="100"/>
              <w:bottom w:type="dxa" w:w="80"/>
              <w:right w:type="dxa" w:w="100"/>
            </w:tcMar>
            <w:vAlign w:val="center"/>
          </w:tcPr>
          <w:p>
            <w:pPr>
              <w:spacing w:after="0"/>
            </w:pPr>
            <w:r>
              <w:t xml:space="preserve">Not permitted without ≥2 hours' notice</w:t>
            </w:r>
          </w:p>
        </w:tc>
        <w:tc>
          <w:tcPr>
            <w:tcW w:type="dxa" w:w="4074"/>
            <w:tcMar>
              <w:top w:type="dxa" w:w="80"/>
              <w:left w:type="dxa" w:w="100"/>
              <w:bottom w:type="dxa" w:w="80"/>
              <w:right w:type="dxa" w:w="100"/>
            </w:tcMar>
            <w:vAlign w:val="center"/>
          </w:tcPr>
          <w:p>
            <w:pPr>
              <w:spacing w:after="0"/>
            </w:pPr>
            <w:r>
              <w:t xml:space="preserve">Immediate review; second occurrence in a rolling 90 days = probation; third = termination</w:t>
            </w:r>
          </w:p>
        </w:tc>
      </w:tr>
      <w:tr>
        <w:tc>
          <w:tcPr>
            <w:tcW w:type="dxa" w:w="905"/>
            <w:shd w:fill="F1F5F9" w:color="auto" w:val="clear"/>
            <w:tcMar>
              <w:top w:type="dxa" w:w="80"/>
              <w:left w:type="dxa" w:w="100"/>
              <w:bottom w:type="dxa" w:w="80"/>
              <w:right w:type="dxa" w:w="100"/>
            </w:tcMar>
            <w:vAlign w:val="center"/>
          </w:tcPr>
          <w:p>
            <w:pPr>
              <w:spacing w:after="0"/>
            </w:pPr>
            <w:r>
              <w:t xml:space="preserve">Technician identification</w:t>
            </w:r>
          </w:p>
        </w:tc>
        <w:tc>
          <w:tcPr>
            <w:tcW w:type="dxa" w:w="4047"/>
            <w:shd w:fill="F1F5F9" w:color="auto" w:val="clear"/>
            <w:tcMar>
              <w:top w:type="dxa" w:w="80"/>
              <w:left w:type="dxa" w:w="100"/>
              <w:bottom w:type="dxa" w:w="80"/>
              <w:right w:type="dxa" w:w="100"/>
            </w:tcMar>
            <w:vAlign w:val="center"/>
          </w:tcPr>
          <w:p>
            <w:pPr>
              <w:spacing w:after="0"/>
            </w:pPr>
            <w:r>
              <w:t xml:space="preserve">Must wear/display platform ID badge and carry company ID</w:t>
            </w:r>
          </w:p>
        </w:tc>
        <w:tc>
          <w:tcPr>
            <w:tcW w:type="dxa" w:w="4074"/>
            <w:shd w:fill="F1F5F9" w:color="auto" w:val="clear"/>
            <w:tcMar>
              <w:top w:type="dxa" w:w="80"/>
              <w:left w:type="dxa" w:w="100"/>
              <w:bottom w:type="dxa" w:w="80"/>
              <w:right w:type="dxa" w:w="100"/>
            </w:tcMar>
            <w:vAlign w:val="center"/>
          </w:tcPr>
          <w:p>
            <w:pPr>
              <w:spacing w:after="0"/>
            </w:pPr>
            <w:r>
              <w:t xml:space="preserve">Job can be refused by customer; contractor is responsible for retraining</w:t>
            </w:r>
          </w:p>
        </w:tc>
      </w:tr>
      <w:tr>
        <w:tc>
          <w:tcPr>
            <w:tcW w:type="dxa" w:w="905"/>
            <w:tcMar>
              <w:top w:type="dxa" w:w="80"/>
              <w:left w:type="dxa" w:w="100"/>
              <w:bottom w:type="dxa" w:w="80"/>
              <w:right w:type="dxa" w:w="100"/>
            </w:tcMar>
            <w:vAlign w:val="center"/>
          </w:tcPr>
          <w:p>
            <w:pPr>
              <w:spacing w:after="0"/>
            </w:pPr>
            <w:r>
              <w:t xml:space="preserve">Upfront pricing adherence</w:t>
            </w:r>
          </w:p>
        </w:tc>
        <w:tc>
          <w:tcPr>
            <w:tcW w:type="dxa" w:w="4047"/>
            <w:tcMar>
              <w:top w:type="dxa" w:w="80"/>
              <w:left w:type="dxa" w:w="100"/>
              <w:bottom w:type="dxa" w:w="80"/>
              <w:right w:type="dxa" w:w="100"/>
            </w:tcMar>
            <w:vAlign w:val="center"/>
          </w:tcPr>
          <w:p>
            <w:pPr>
              <w:spacing w:after="0"/>
            </w:pPr>
            <w:r>
              <w:t xml:space="preserve">Must quote within the platform's published price band for standard job types, or clearly justify and get customer approval for any deviation before starting work</w:t>
            </w:r>
          </w:p>
        </w:tc>
        <w:tc>
          <w:tcPr>
            <w:tcW w:type="dxa" w:w="4074"/>
            <w:tcMar>
              <w:top w:type="dxa" w:w="80"/>
              <w:left w:type="dxa" w:w="100"/>
              <w:bottom w:type="dxa" w:w="80"/>
              <w:right w:type="dxa" w:w="100"/>
            </w:tcMar>
            <w:vAlign w:val="center"/>
          </w:tcPr>
          <w:p>
            <w:pPr>
              <w:spacing w:after="0"/>
            </w:pPr>
            <w:r>
              <w:t xml:space="preserve">Price disputes reviewed case-by-case; repeated overcharging = removal</w:t>
            </w:r>
          </w:p>
        </w:tc>
      </w:tr>
      <w:tr>
        <w:tc>
          <w:tcPr>
            <w:tcW w:type="dxa" w:w="905"/>
            <w:shd w:fill="F1F5F9" w:color="auto" w:val="clear"/>
            <w:tcMar>
              <w:top w:type="dxa" w:w="80"/>
              <w:left w:type="dxa" w:w="100"/>
              <w:bottom w:type="dxa" w:w="80"/>
              <w:right w:type="dxa" w:w="100"/>
            </w:tcMar>
            <w:vAlign w:val="center"/>
          </w:tcPr>
          <w:p>
            <w:pPr>
              <w:spacing w:after="0"/>
            </w:pPr>
            <w:r>
              <w:t xml:space="preserve">Workmanship warranty compliance</w:t>
            </w:r>
          </w:p>
        </w:tc>
        <w:tc>
          <w:tcPr>
            <w:tcW w:type="dxa" w:w="4047"/>
            <w:shd w:fill="F1F5F9" w:color="auto" w:val="clear"/>
            <w:tcMar>
              <w:top w:type="dxa" w:w="80"/>
              <w:left w:type="dxa" w:w="100"/>
              <w:bottom w:type="dxa" w:w="80"/>
              <w:right w:type="dxa" w:w="100"/>
            </w:tcMar>
            <w:vAlign w:val="center"/>
          </w:tcPr>
          <w:p>
            <w:pPr>
              <w:spacing w:after="0"/>
            </w:pPr>
            <w:r>
              <w:t xml:space="preserve">Must return to fix the same issue free of charge within the warranty period if it recurs</w:t>
            </w:r>
          </w:p>
        </w:tc>
        <w:tc>
          <w:tcPr>
            <w:tcW w:type="dxa" w:w="4074"/>
            <w:shd w:fill="F1F5F9" w:color="auto" w:val="clear"/>
            <w:tcMar>
              <w:top w:type="dxa" w:w="80"/>
              <w:left w:type="dxa" w:w="100"/>
              <w:bottom w:type="dxa" w:w="80"/>
              <w:right w:type="dxa" w:w="100"/>
            </w:tcMar>
            <w:vAlign w:val="center"/>
          </w:tcPr>
          <w:p>
            <w:pPr>
              <w:spacing w:after="0"/>
            </w:pPr>
            <w:r>
              <w:t xml:space="preserve">Cost of the warranty visit is not billable to us or the customer; contractor absorbs it as their standard trade practice</w:t>
            </w:r>
          </w:p>
        </w:tc>
      </w:tr>
      <w:tr>
        <w:tc>
          <w:tcPr>
            <w:tcW w:type="dxa" w:w="905"/>
            <w:tcMar>
              <w:top w:type="dxa" w:w="80"/>
              <w:left w:type="dxa" w:w="100"/>
              <w:bottom w:type="dxa" w:w="80"/>
              <w:right w:type="dxa" w:w="100"/>
            </w:tcMar>
            <w:vAlign w:val="center"/>
          </w:tcPr>
          <w:p>
            <w:pPr>
              <w:spacing w:after="0"/>
            </w:pPr>
            <w:r>
              <w:t xml:space="preserve">Safety &amp; licensing</w:t>
            </w:r>
          </w:p>
        </w:tc>
        <w:tc>
          <w:tcPr>
            <w:tcW w:type="dxa" w:w="4047"/>
            <w:tcMar>
              <w:top w:type="dxa" w:w="80"/>
              <w:left w:type="dxa" w:w="100"/>
              <w:bottom w:type="dxa" w:w="80"/>
              <w:right w:type="dxa" w:w="100"/>
            </w:tcMar>
            <w:vAlign w:val="center"/>
          </w:tcPr>
          <w:p>
            <w:pPr>
              <w:spacing w:after="0"/>
            </w:pPr>
            <w:r>
              <w:t xml:space="preserve">Must maintain valid municipal/Civil Defense/SCA licensing and required insurance at all times, and self-report any lapse</w:t>
            </w:r>
          </w:p>
        </w:tc>
        <w:tc>
          <w:tcPr>
            <w:tcW w:type="dxa" w:w="4074"/>
            <w:tcMar>
              <w:top w:type="dxa" w:w="80"/>
              <w:left w:type="dxa" w:w="100"/>
              <w:bottom w:type="dxa" w:w="80"/>
              <w:right w:type="dxa" w:w="100"/>
            </w:tcMar>
            <w:vAlign w:val="center"/>
          </w:tcPr>
          <w:p>
            <w:pPr>
              <w:spacing w:after="0"/>
            </w:pPr>
            <w:r>
              <w:t xml:space="preserve">Immediate suspension pending resolution</w:t>
            </w:r>
          </w:p>
        </w:tc>
      </w:tr>
      <w:tr>
        <w:tc>
          <w:tcPr>
            <w:tcW w:type="dxa" w:w="905"/>
            <w:shd w:fill="F1F5F9" w:color="auto" w:val="clear"/>
            <w:tcMar>
              <w:top w:type="dxa" w:w="80"/>
              <w:left w:type="dxa" w:w="100"/>
              <w:bottom w:type="dxa" w:w="80"/>
              <w:right w:type="dxa" w:w="100"/>
            </w:tcMar>
            <w:vAlign w:val="center"/>
          </w:tcPr>
          <w:p>
            <w:pPr>
              <w:spacing w:after="0"/>
            </w:pPr>
            <w:r>
              <w:t xml:space="preserve">Property care</w:t>
            </w:r>
          </w:p>
        </w:tc>
        <w:tc>
          <w:tcPr>
            <w:tcW w:type="dxa" w:w="4047"/>
            <w:shd w:fill="F1F5F9" w:color="auto" w:val="clear"/>
            <w:tcMar>
              <w:top w:type="dxa" w:w="80"/>
              <w:left w:type="dxa" w:w="100"/>
              <w:bottom w:type="dxa" w:w="80"/>
              <w:right w:type="dxa" w:w="100"/>
            </w:tcMar>
            <w:vAlign w:val="center"/>
          </w:tcPr>
          <w:p>
            <w:pPr>
              <w:spacing w:after="0"/>
            </w:pPr>
            <w:r>
              <w:t xml:space="preserve">No property damage beyond the job scope; any damage must be reported immediately, not discovered by the customer later</w:t>
            </w:r>
          </w:p>
        </w:tc>
        <w:tc>
          <w:tcPr>
            <w:tcW w:type="dxa" w:w="4074"/>
            <w:shd w:fill="F1F5F9" w:color="auto" w:val="clear"/>
            <w:tcMar>
              <w:top w:type="dxa" w:w="80"/>
              <w:left w:type="dxa" w:w="100"/>
              <w:bottom w:type="dxa" w:w="80"/>
              <w:right w:type="dxa" w:w="100"/>
            </w:tcMar>
            <w:vAlign w:val="center"/>
          </w:tcPr>
          <w:p>
            <w:pPr>
              <w:spacing w:after="0"/>
            </w:pPr>
            <w:r>
              <w:t xml:space="preserve">Damage claims draw first from the contractor's security holdback (see Partnership Framework (Chapter 7) §7.3); repeated incidents = termination</w:t>
            </w:r>
          </w:p>
        </w:tc>
      </w:tr>
      <w:tr>
        <w:tc>
          <w:tcPr>
            <w:tcW w:type="dxa" w:w="905"/>
            <w:tcMar>
              <w:top w:type="dxa" w:w="80"/>
              <w:left w:type="dxa" w:w="100"/>
              <w:bottom w:type="dxa" w:w="80"/>
              <w:right w:type="dxa" w:w="100"/>
            </w:tcMar>
            <w:vAlign w:val="center"/>
          </w:tcPr>
          <w:p>
            <w:pPr>
              <w:spacing w:after="0"/>
            </w:pPr>
            <w:r>
              <w:t xml:space="preserve">Conduct</w:t>
            </w:r>
          </w:p>
        </w:tc>
        <w:tc>
          <w:tcPr>
            <w:tcW w:type="dxa" w:w="4047"/>
            <w:tcMar>
              <w:top w:type="dxa" w:w="80"/>
              <w:left w:type="dxa" w:w="100"/>
              <w:bottom w:type="dxa" w:w="80"/>
              <w:right w:type="dxa" w:w="100"/>
            </w:tcMar>
            <w:vAlign w:val="center"/>
          </w:tcPr>
          <w:p>
            <w:pPr>
              <w:spacing w:after="0"/>
            </w:pPr>
            <w:r>
              <w:t xml:space="preserve">Professional, respectful conduct in customer homes; no smoking indoors; respect for privacy</w:t>
            </w:r>
          </w:p>
        </w:tc>
        <w:tc>
          <w:tcPr>
            <w:tcW w:type="dxa" w:w="4074"/>
            <w:tcMar>
              <w:top w:type="dxa" w:w="80"/>
              <w:left w:type="dxa" w:w="100"/>
              <w:bottom w:type="dxa" w:w="80"/>
              <w:right w:type="dxa" w:w="100"/>
            </w:tcMar>
            <w:vAlign w:val="center"/>
          </w:tcPr>
          <w:p>
            <w:pPr>
              <w:spacing w:after="0"/>
            </w:pPr>
            <w:r>
              <w:t xml:space="preserve">Any verified harassment/theft complaint = immediate suspension pending investigation, likely termination</w:t>
            </w:r>
          </w:p>
        </w:tc>
      </w:tr>
    </w:tbl>
    <w:p>
      <w:pPr>
        <w:spacing w:after="200"/>
      </w:pPr>
    </w:p>
    <w:p>
      <w:pPr>
        <w:pStyle w:val="Heading2"/>
        <w:spacing w:after="160" w:before="360"/>
      </w:pPr>
      <w:r>
        <w:t xml:space="preserve">8.3 Trade-specific SLA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7"/>
        <w:gridCol w:w="7849"/>
      </w:tblGrid>
      <w:tr>
        <w:trPr>
          <w:tblHeader/>
        </w:trPr>
        <w:tc>
          <w:tcPr>
            <w:tcW w:type="dxa" w:w="1177"/>
            <w:shd w:fill="334155" w:color="auto" w:val="clear"/>
            <w:tcMar>
              <w:top w:type="dxa" w:w="80"/>
              <w:left w:type="dxa" w:w="100"/>
              <w:bottom w:type="dxa" w:w="80"/>
              <w:right w:type="dxa" w:w="100"/>
            </w:tcMar>
            <w:vAlign w:val="center"/>
          </w:tcPr>
          <w:p>
            <w:r>
              <w:rPr>
                <w:b/>
                <w:bCs/>
                <w:color w:val="FFFFFF"/>
              </w:rPr>
              <w:t xml:space="preserve">Trade</w:t>
            </w:r>
          </w:p>
        </w:tc>
        <w:tc>
          <w:tcPr>
            <w:tcW w:type="dxa" w:w="7849"/>
            <w:shd w:fill="334155" w:color="auto" w:val="clear"/>
            <w:tcMar>
              <w:top w:type="dxa" w:w="80"/>
              <w:left w:type="dxa" w:w="100"/>
              <w:bottom w:type="dxa" w:w="80"/>
              <w:right w:type="dxa" w:w="100"/>
            </w:tcMar>
            <w:vAlign w:val="center"/>
          </w:tcPr>
          <w:p>
            <w:r>
              <w:rPr>
                <w:b/>
                <w:bCs/>
                <w:color w:val="FFFFFF"/>
              </w:rPr>
              <w:t xml:space="preserve">Special considerations</w:t>
            </w:r>
          </w:p>
        </w:tc>
      </w:tr>
      <w:tr>
        <w:tc>
          <w:tcPr>
            <w:tcW w:type="dxa" w:w="1177"/>
            <w:tcMar>
              <w:top w:type="dxa" w:w="80"/>
              <w:left w:type="dxa" w:w="100"/>
              <w:bottom w:type="dxa" w:w="80"/>
              <w:right w:type="dxa" w:w="100"/>
            </w:tcMar>
            <w:vAlign w:val="center"/>
          </w:tcPr>
          <w:p>
            <w:pPr>
              <w:spacing w:after="0"/>
            </w:pPr>
            <w:r>
              <w:rPr>
                <w:b/>
                <w:bCs/>
              </w:rPr>
              <w:t xml:space="preserve">Electrical</w:t>
            </w:r>
          </w:p>
        </w:tc>
        <w:tc>
          <w:tcPr>
            <w:tcW w:type="dxa" w:w="7849"/>
            <w:tcMar>
              <w:top w:type="dxa" w:w="80"/>
              <w:left w:type="dxa" w:w="100"/>
              <w:bottom w:type="dxa" w:w="80"/>
              <w:right w:type="dxa" w:w="100"/>
            </w:tcMar>
            <w:vAlign w:val="center"/>
          </w:tcPr>
          <w:p>
            <w:pPr>
              <w:spacing w:after="0"/>
            </w:pPr>
            <w:r>
              <w:t xml:space="preserve">Safety-critical — any job touching a main panel/breaker box should require the technician to test and confirm power is properly isolated before working; a documented safety checklist per job is worth requiring</w:t>
            </w:r>
          </w:p>
        </w:tc>
      </w:tr>
      <w:tr>
        <w:tc>
          <w:tcPr>
            <w:tcW w:type="dxa" w:w="1177"/>
            <w:shd w:fill="F1F5F9" w:color="auto" w:val="clear"/>
            <w:tcMar>
              <w:top w:type="dxa" w:w="80"/>
              <w:left w:type="dxa" w:w="100"/>
              <w:bottom w:type="dxa" w:w="80"/>
              <w:right w:type="dxa" w:w="100"/>
            </w:tcMar>
            <w:vAlign w:val="center"/>
          </w:tcPr>
          <w:p>
            <w:pPr>
              <w:spacing w:after="0"/>
            </w:pPr>
            <w:r>
              <w:rPr>
                <w:b/>
                <w:bCs/>
              </w:rPr>
              <w:t xml:space="preserve">Plumbing</w:t>
            </w:r>
          </w:p>
        </w:tc>
        <w:tc>
          <w:tcPr>
            <w:tcW w:type="dxa" w:w="7849"/>
            <w:shd w:fill="F1F5F9" w:color="auto" w:val="clear"/>
            <w:tcMar>
              <w:top w:type="dxa" w:w="80"/>
              <w:left w:type="dxa" w:w="100"/>
              <w:bottom w:type="dxa" w:w="80"/>
              <w:right w:type="dxa" w:w="100"/>
            </w:tcMar>
            <w:vAlign w:val="center"/>
          </w:tcPr>
          <w:p>
            <w:pPr>
              <w:spacing w:after="0"/>
            </w:pPr>
            <w:r>
              <w:t xml:space="preserve">Water-damage risk is the main customer fear — require contractors to confirm the water supply is properly shut off/isolated before starting, and to leave the work area dry and cleaned</w:t>
            </w:r>
          </w:p>
        </w:tc>
      </w:tr>
      <w:tr>
        <w:tc>
          <w:tcPr>
            <w:tcW w:type="dxa" w:w="1177"/>
            <w:tcMar>
              <w:top w:type="dxa" w:w="80"/>
              <w:left w:type="dxa" w:w="100"/>
              <w:bottom w:type="dxa" w:w="80"/>
              <w:right w:type="dxa" w:w="100"/>
            </w:tcMar>
            <w:vAlign w:val="center"/>
          </w:tcPr>
          <w:p>
            <w:pPr>
              <w:spacing w:after="0"/>
            </w:pPr>
            <w:r>
              <w:rPr>
                <w:b/>
                <w:bCs/>
              </w:rPr>
              <w:t xml:space="preserve">HVAC</w:t>
            </w:r>
          </w:p>
        </w:tc>
        <w:tc>
          <w:tcPr>
            <w:tcW w:type="dxa" w:w="7849"/>
            <w:tcMar>
              <w:top w:type="dxa" w:w="80"/>
              <w:left w:type="dxa" w:w="100"/>
              <w:bottom w:type="dxa" w:w="80"/>
              <w:right w:type="dxa" w:w="100"/>
            </w:tcMar>
            <w:vAlign w:val="center"/>
          </w:tcPr>
          <w:p>
            <w:pPr>
              <w:spacing w:after="0"/>
            </w:pPr>
            <w:r>
              <w:t xml:space="preserve">Seasonal surge (see Risk Analysis (Chapter 5) §5.6) means summer SLA windows may need to be explicitly wider ("same-day" becomes "within 24-48 hours during peak summer") — communicate this transparently rather than over-promising and failing</w:t>
            </w:r>
          </w:p>
        </w:tc>
      </w:tr>
      <w:tr>
        <w:tc>
          <w:tcPr>
            <w:tcW w:type="dxa" w:w="1177"/>
            <w:shd w:fill="F1F5F9" w:color="auto" w:val="clear"/>
            <w:tcMar>
              <w:top w:type="dxa" w:w="80"/>
              <w:left w:type="dxa" w:w="100"/>
              <w:bottom w:type="dxa" w:w="80"/>
              <w:right w:type="dxa" w:w="100"/>
            </w:tcMar>
            <w:vAlign w:val="center"/>
          </w:tcPr>
          <w:p>
            <w:pPr>
              <w:spacing w:after="0"/>
            </w:pPr>
            <w:r>
              <w:rPr>
                <w:b/>
                <w:bCs/>
              </w:rPr>
              <w:t xml:space="preserve">Civil finishes (paint/tiling)</w:t>
            </w:r>
          </w:p>
        </w:tc>
        <w:tc>
          <w:tcPr>
            <w:tcW w:type="dxa" w:w="7849"/>
            <w:shd w:fill="F1F5F9" w:color="auto" w:val="clear"/>
            <w:tcMar>
              <w:top w:type="dxa" w:w="80"/>
              <w:left w:type="dxa" w:w="100"/>
              <w:bottom w:type="dxa" w:w="80"/>
              <w:right w:type="dxa" w:w="100"/>
            </w:tcMar>
            <w:vAlign w:val="center"/>
          </w:tcPr>
          <w:p>
            <w:pPr>
              <w:spacing w:after="0"/>
            </w:pPr>
            <w:r>
              <w:t xml:space="preserve">Longer jobs (multi-day) need a different SLA shape — milestone-based check-ins rather than a single arrival-window promise; set clear expectations on furniture-covering/dust protection</w:t>
            </w:r>
          </w:p>
        </w:tc>
      </w:tr>
    </w:tbl>
    <w:p>
      <w:pPr>
        <w:spacing w:after="200"/>
      </w:pPr>
    </w:p>
    <w:p>
      <w:pPr>
        <w:pStyle w:val="Heading2"/>
        <w:spacing w:after="160" w:before="360"/>
      </w:pPr>
      <w:r>
        <w:t xml:space="preserve">8.4 Why this two-sided structure matters</w:t>
      </w:r>
    </w:p>
    <w:p>
      <w:pPr>
        <w:spacing w:after="160"/>
      </w:pPr>
      <w:r>
        <w:t xml:space="preserve">The customer-facing SLA is your </w:t>
      </w:r>
      <w:r>
        <w:rPr>
          <w:b/>
          <w:bCs/>
        </w:rPr>
        <w:t xml:space="preserve">marketing promise</w:t>
      </w:r>
      <w:r>
        <w:t xml:space="preserve"> — it's what makes people trust the app enough to book a stranger into their home. The contractor-facing SLA is the </w:t>
      </w:r>
      <w:r>
        <w:rPr>
          <w:b/>
          <w:bCs/>
        </w:rPr>
        <w:t xml:space="preserve">operational mechanism that makes that promise deliverable</w:t>
      </w:r>
      <w:r>
        <w:t xml:space="preserve">. If you publish generous customer promises without contractor-side enforcement to back them, you will consistently break your own promises and destroy trust faster than a competitor with no promises at all. Build and enforce the contractor SLA </w:t>
      </w:r>
      <w:r>
        <w:rPr>
          <w:i/>
          <w:iCs/>
        </w:rPr>
        <w:t xml:space="preserve">before</w:t>
      </w:r>
      <w:r>
        <w:t xml:space="preserve"> marketing the customer SLA aggressively.</w:t>
      </w:r>
    </w:p>
    <w:p>
      <w:pPr>
        <w:pStyle w:val="Heading2"/>
        <w:spacing w:after="160" w:before="360"/>
      </w:pPr>
      <w:r>
        <w:t xml:space="preserve">8.5 What this plan can and can't do here</w:t>
      </w:r>
    </w:p>
    <w:p>
      <w:pPr>
        <w:spacing w:after="160"/>
      </w:pPr>
      <w:r>
        <w:t xml:space="preserve">These tables are a complete, ready-to-use </w:t>
      </w:r>
      <w:r>
        <w:rPr>
          <w:b/>
          <w:bCs/>
        </w:rPr>
        <w:t xml:space="preserve">content and structure brief</w:t>
      </w:r>
      <w:r>
        <w:t xml:space="preserve">. They are not yet a signed legal document — hand this to your lawyer to convert into the binding Terms of Service (customer-facing) and Partnership Agreement schedule (contractor-facing), and to your insurance broker to confirm what's actually coverable (particularly the warranty and property-damage provisions).</w:t>
      </w:r>
    </w:p>
    <w:p>
      <w:pPr>
        <w:pStyle w:val="Heading1"/>
        <w:pageBreakBefore/>
        <w:spacing w:after="240" w:before="0"/>
      </w:pPr>
      <w:r>
        <w:t xml:space="preserve">9. Recommendations &amp; Roadmap — What To Do, In Order</w:t>
      </w:r>
    </w:p>
    <w:p>
      <w:pPr>
        <w:spacing w:after="160"/>
      </w:pPr>
      <w:r>
        <w:t xml:space="preserve">This is the "so what do I actually do on Monday morning" document. It pulls together every "get a specialist for this" flag raised across the package into one checklist, then lays out the sequence.</w:t>
      </w:r>
    </w:p>
    <w:p>
      <w:pPr>
        <w:pStyle w:val="Heading2"/>
        <w:spacing w:after="160" w:before="360"/>
      </w:pPr>
      <w:r>
        <w:t xml:space="preserve">9.1 What this consulting package covers well (lean on it)</w:t>
      </w:r>
    </w:p>
    <w:p>
      <w:pPr>
        <w:pStyle w:val="ListParagraph"/>
        <w:numPr>
          <w:ilvl w:val="0"/>
          <w:numId w:val="2"/>
        </w:numPr>
        <w:spacing w:after="80"/>
      </w:pPr>
      <w:r>
        <w:t xml:space="preserve">Overall business model, revenue structure, and unit economics logic</w:t>
      </w:r>
    </w:p>
    <w:p>
      <w:pPr>
        <w:pStyle w:val="ListParagraph"/>
        <w:numPr>
          <w:ilvl w:val="0"/>
          <w:numId w:val="2"/>
        </w:numPr>
        <w:spacing w:after="80"/>
      </w:pPr>
      <w:r>
        <w:t xml:space="preserve">Market sizing, competitive landscape, and customer segmentation (grounded in current, cited 2026 KSA data)</w:t>
      </w:r>
    </w:p>
    <w:p>
      <w:pPr>
        <w:pStyle w:val="ListParagraph"/>
        <w:numPr>
          <w:ilvl w:val="0"/>
          <w:numId w:val="2"/>
        </w:numPr>
        <w:spacing w:after="80"/>
      </w:pPr>
      <w:r>
        <w:t xml:space="preserve">A realistic budgeting framework (startup costs, running costs, pricing structure, break-even logic)</w:t>
      </w:r>
    </w:p>
    <w:p>
      <w:pPr>
        <w:pStyle w:val="ListParagraph"/>
        <w:numPr>
          <w:ilvl w:val="0"/>
          <w:numId w:val="2"/>
        </w:numPr>
        <w:spacing w:after="80"/>
      </w:pPr>
      <w:r>
        <w:t xml:space="preserve">Risk identification and mitigation strategy</w:t>
      </w:r>
    </w:p>
    <w:p>
      <w:pPr>
        <w:pStyle w:val="ListParagraph"/>
        <w:numPr>
          <w:ilvl w:val="0"/>
          <w:numId w:val="2"/>
        </w:numPr>
        <w:spacing w:after="80"/>
      </w:pPr>
      <w:r>
        <w:t xml:space="preserve">The structure and content of your contractor partnership program and SLAs</w:t>
      </w:r>
    </w:p>
    <w:p>
      <w:pPr>
        <w:pStyle w:val="ListParagraph"/>
        <w:numPr>
          <w:ilvl w:val="0"/>
          <w:numId w:val="2"/>
        </w:numPr>
        <w:spacing w:after="80"/>
      </w:pPr>
      <w:r>
        <w:t xml:space="preserve">A clear, phased, capital-efficient rollout sequence</w:t>
      </w:r>
    </w:p>
    <w:p>
      <w:pPr>
        <w:pStyle w:val="ListParagraph"/>
        <w:numPr>
          <w:ilvl w:val="0"/>
          <w:numId w:val="2"/>
        </w:numPr>
        <w:spacing w:after="80"/>
      </w:pPr>
      <w:r>
        <w:t xml:space="preserve">A checklist of exactly which licensed professionals you need, for what, and roughly when</w:t>
      </w:r>
    </w:p>
    <w:p>
      <w:pPr>
        <w:spacing w:after="160"/>
      </w:pPr>
      <w:r>
        <w:rPr>
          <w:b/>
          <w:bCs/>
        </w:rPr>
        <w:t xml:space="preserve">Use this package as</w:t>
      </w:r>
      <w:r>
        <w:t xml:space="preserve">: the brief you hand to a lawyer, accountant, developer, or bank — it will make every one of those conversations faster and cheaper, because you'll walk in with clear requirements instead of a vague idea.</w:t>
      </w:r>
    </w:p>
    <w:p>
      <w:pPr>
        <w:pStyle w:val="Heading2"/>
        <w:spacing w:after="160" w:before="360"/>
      </w:pPr>
      <w:r>
        <w:t xml:space="preserve">9.2 What this package cannot do — and exactly who to hire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6"/>
        <w:gridCol w:w="3785"/>
        <w:gridCol w:w="3495"/>
      </w:tblGrid>
      <w:tr>
        <w:trPr>
          <w:tblHeader/>
        </w:trPr>
        <w:tc>
          <w:tcPr>
            <w:tcW w:type="dxa" w:w="1746"/>
            <w:shd w:fill="334155" w:color="auto" w:val="clear"/>
            <w:tcMar>
              <w:top w:type="dxa" w:w="80"/>
              <w:left w:type="dxa" w:w="100"/>
              <w:bottom w:type="dxa" w:w="80"/>
              <w:right w:type="dxa" w:w="100"/>
            </w:tcMar>
            <w:vAlign w:val="center"/>
          </w:tcPr>
          <w:p>
            <w:r>
              <w:rPr>
                <w:b/>
                <w:bCs/>
                <w:color w:val="FFFFFF"/>
              </w:rPr>
              <w:t xml:space="preserve">You need...</w:t>
            </w:r>
          </w:p>
        </w:tc>
        <w:tc>
          <w:tcPr>
            <w:tcW w:type="dxa" w:w="3785"/>
            <w:shd w:fill="334155" w:color="auto" w:val="clear"/>
            <w:tcMar>
              <w:top w:type="dxa" w:w="80"/>
              <w:left w:type="dxa" w:w="100"/>
              <w:bottom w:type="dxa" w:w="80"/>
              <w:right w:type="dxa" w:w="100"/>
            </w:tcMar>
            <w:vAlign w:val="center"/>
          </w:tcPr>
          <w:p>
            <w:r>
              <w:rPr>
                <w:b/>
                <w:bCs/>
                <w:color w:val="FFFFFF"/>
              </w:rPr>
              <w:t xml:space="preserve">Because...</w:t>
            </w:r>
          </w:p>
        </w:tc>
        <w:tc>
          <w:tcPr>
            <w:tcW w:type="dxa" w:w="3495"/>
            <w:shd w:fill="334155" w:color="auto" w:val="clear"/>
            <w:tcMar>
              <w:top w:type="dxa" w:w="80"/>
              <w:left w:type="dxa" w:w="100"/>
              <w:bottom w:type="dxa" w:w="80"/>
              <w:right w:type="dxa" w:w="100"/>
            </w:tcMar>
            <w:vAlign w:val="center"/>
          </w:tcPr>
          <w:p>
            <w:r>
              <w:rPr>
                <w:b/>
                <w:bCs/>
                <w:color w:val="FFFFFF"/>
              </w:rPr>
              <w:t xml:space="preserve">Get this specifically</w:t>
            </w:r>
          </w:p>
        </w:tc>
      </w:tr>
      <w:tr>
        <w:tc>
          <w:tcPr>
            <w:tcW w:type="dxa" w:w="1746"/>
            <w:tcMar>
              <w:top w:type="dxa" w:w="80"/>
              <w:left w:type="dxa" w:w="100"/>
              <w:bottom w:type="dxa" w:w="80"/>
              <w:right w:type="dxa" w:w="100"/>
            </w:tcMar>
            <w:vAlign w:val="center"/>
          </w:tcPr>
          <w:p>
            <w:pPr>
              <w:spacing w:after="0"/>
            </w:pPr>
            <w:r>
              <w:rPr>
                <w:b/>
                <w:bCs/>
              </w:rPr>
              <w:t xml:space="preserve">A Saudi corporate/commercial lawyer</w:t>
            </w:r>
          </w:p>
        </w:tc>
        <w:tc>
          <w:tcPr>
            <w:tcW w:type="dxa" w:w="3785"/>
            <w:tcMar>
              <w:top w:type="dxa" w:w="80"/>
              <w:left w:type="dxa" w:w="100"/>
              <w:bottom w:type="dxa" w:w="80"/>
              <w:right w:type="dxa" w:w="100"/>
            </w:tcMar>
            <w:vAlign w:val="center"/>
          </w:tcPr>
          <w:p>
            <w:pPr>
              <w:spacing w:after="0"/>
            </w:pPr>
            <w:r>
              <w:t xml:space="preserve">To file your CR with the correct activity code, confirm you don't need your own SCA/trade license, draft the Partnership Agreement and Terms of Service/Privacy Policy, and confirm PDPL compliance</w:t>
            </w:r>
          </w:p>
        </w:tc>
        <w:tc>
          <w:tcPr>
            <w:tcW w:type="dxa" w:w="3495"/>
            <w:tcMar>
              <w:top w:type="dxa" w:w="80"/>
              <w:left w:type="dxa" w:w="100"/>
              <w:bottom w:type="dxa" w:w="80"/>
              <w:right w:type="dxa" w:w="100"/>
            </w:tcMar>
            <w:vAlign w:val="center"/>
          </w:tcPr>
          <w:p>
            <w:pPr>
              <w:spacing w:after="0"/>
            </w:pPr>
            <w:r>
              <w:t xml:space="preserve">A written legal opinion on your licensing classification </w:t>
            </w:r>
            <w:r>
              <w:rPr>
                <w:b/>
                <w:bCs/>
              </w:rPr>
              <w:t xml:space="preserve">before</w:t>
            </w:r>
            <w:r>
              <w:t xml:space="preserve"> you spend on app development — this is the single highest-priority external hire</w:t>
            </w:r>
          </w:p>
        </w:tc>
      </w:tr>
      <w:tr>
        <w:tc>
          <w:tcPr>
            <w:tcW w:type="dxa" w:w="1746"/>
            <w:shd w:fill="F1F5F9" w:color="auto" w:val="clear"/>
            <w:tcMar>
              <w:top w:type="dxa" w:w="80"/>
              <w:left w:type="dxa" w:w="100"/>
              <w:bottom w:type="dxa" w:w="80"/>
              <w:right w:type="dxa" w:w="100"/>
            </w:tcMar>
            <w:vAlign w:val="center"/>
          </w:tcPr>
          <w:p>
            <w:pPr>
              <w:spacing w:after="0"/>
            </w:pPr>
            <w:r>
              <w:rPr>
                <w:b/>
                <w:bCs/>
              </w:rPr>
              <w:t xml:space="preserve">A licensed accountant (Saudi-qualified, ZATCA e-invoicing experienced)</w:t>
            </w:r>
          </w:p>
        </w:tc>
        <w:tc>
          <w:tcPr>
            <w:tcW w:type="dxa" w:w="3785"/>
            <w:shd w:fill="F1F5F9" w:color="auto" w:val="clear"/>
            <w:tcMar>
              <w:top w:type="dxa" w:w="80"/>
              <w:left w:type="dxa" w:w="100"/>
              <w:bottom w:type="dxa" w:w="80"/>
              <w:right w:type="dxa" w:w="100"/>
            </w:tcMar>
            <w:vAlign w:val="center"/>
          </w:tcPr>
          <w:p>
            <w:pPr>
              <w:spacing w:after="0"/>
            </w:pPr>
            <w:r>
              <w:t xml:space="preserve">To register for VAT/Zakat correctly, set up compliant e-invoicing, and build your real 3-statement financial model</w:t>
            </w:r>
          </w:p>
        </w:tc>
        <w:tc>
          <w:tcPr>
            <w:tcW w:type="dxa" w:w="3495"/>
            <w:shd w:fill="F1F5F9" w:color="auto" w:val="clear"/>
            <w:tcMar>
              <w:top w:type="dxa" w:w="80"/>
              <w:left w:type="dxa" w:w="100"/>
              <w:bottom w:type="dxa" w:w="80"/>
              <w:right w:type="dxa" w:w="100"/>
            </w:tcMar>
            <w:vAlign w:val="center"/>
          </w:tcPr>
          <w:p>
            <w:pPr>
              <w:spacing w:after="0"/>
            </w:pPr>
            <w:r>
              <w:t xml:space="preserve">Engage before your first revenue, ideally before Stage 0 spending, so your books are clean from day one</w:t>
            </w:r>
          </w:p>
        </w:tc>
      </w:tr>
      <w:tr>
        <w:tc>
          <w:tcPr>
            <w:tcW w:type="dxa" w:w="1746"/>
            <w:tcMar>
              <w:top w:type="dxa" w:w="80"/>
              <w:left w:type="dxa" w:w="100"/>
              <w:bottom w:type="dxa" w:w="80"/>
              <w:right w:type="dxa" w:w="100"/>
            </w:tcMar>
            <w:vAlign w:val="center"/>
          </w:tcPr>
          <w:p>
            <w:pPr>
              <w:spacing w:after="0"/>
            </w:pPr>
            <w:r>
              <w:rPr>
                <w:b/>
                <w:bCs/>
              </w:rPr>
              <w:t xml:space="preserve">An app development agency or CTO</w:t>
            </w:r>
          </w:p>
        </w:tc>
        <w:tc>
          <w:tcPr>
            <w:tcW w:type="dxa" w:w="3785"/>
            <w:tcMar>
              <w:top w:type="dxa" w:w="80"/>
              <w:left w:type="dxa" w:w="100"/>
              <w:bottom w:type="dxa" w:w="80"/>
              <w:right w:type="dxa" w:w="100"/>
            </w:tcMar>
            <w:vAlign w:val="center"/>
          </w:tcPr>
          <w:p>
            <w:pPr>
              <w:spacing w:after="0"/>
            </w:pPr>
            <w:r>
              <w:t xml:space="preserve">To actually design, build, and maintain the customer app, contractor app, and admin dashboard</w:t>
            </w:r>
          </w:p>
        </w:tc>
        <w:tc>
          <w:tcPr>
            <w:tcW w:type="dxa" w:w="3495"/>
            <w:tcMar>
              <w:top w:type="dxa" w:w="80"/>
              <w:left w:type="dxa" w:w="100"/>
              <w:bottom w:type="dxa" w:w="80"/>
              <w:right w:type="dxa" w:w="100"/>
            </w:tcMar>
            <w:vAlign w:val="center"/>
          </w:tcPr>
          <w:p>
            <w:pPr>
              <w:spacing w:after="0"/>
            </w:pPr>
            <w:r>
              <w:t xml:space="preserve">Get 3+ competing quotes; use this package as your Product Requirements brief; ask specifically about their experience with two-sided marketplace / on-demand service apps in the GCC</w:t>
            </w:r>
          </w:p>
        </w:tc>
      </w:tr>
      <w:tr>
        <w:tc>
          <w:tcPr>
            <w:tcW w:type="dxa" w:w="1746"/>
            <w:shd w:fill="F1F5F9" w:color="auto" w:val="clear"/>
            <w:tcMar>
              <w:top w:type="dxa" w:w="80"/>
              <w:left w:type="dxa" w:w="100"/>
              <w:bottom w:type="dxa" w:w="80"/>
              <w:right w:type="dxa" w:w="100"/>
            </w:tcMar>
            <w:vAlign w:val="center"/>
          </w:tcPr>
          <w:p>
            <w:pPr>
              <w:spacing w:after="0"/>
            </w:pPr>
            <w:r>
              <w:rPr>
                <w:b/>
                <w:bCs/>
              </w:rPr>
              <w:t xml:space="preserve">A SAMA-licensed payment gateway provider</w:t>
            </w:r>
          </w:p>
        </w:tc>
        <w:tc>
          <w:tcPr>
            <w:tcW w:type="dxa" w:w="3785"/>
            <w:shd w:fill="F1F5F9" w:color="auto" w:val="clear"/>
            <w:tcMar>
              <w:top w:type="dxa" w:w="80"/>
              <w:left w:type="dxa" w:w="100"/>
              <w:bottom w:type="dxa" w:w="80"/>
              <w:right w:type="dxa" w:w="100"/>
            </w:tcMar>
            <w:vAlign w:val="center"/>
          </w:tcPr>
          <w:p>
            <w:pPr>
              <w:spacing w:after="0"/>
            </w:pPr>
            <w:r>
              <w:t xml:space="preserve">Payment collection/disbursement is regulated; you cannot build this yourself</w:t>
            </w:r>
          </w:p>
        </w:tc>
        <w:tc>
          <w:tcPr>
            <w:tcW w:type="dxa" w:w="3495"/>
            <w:shd w:fill="F1F5F9" w:color="auto" w:val="clear"/>
            <w:tcMar>
              <w:top w:type="dxa" w:w="80"/>
              <w:left w:type="dxa" w:w="100"/>
              <w:bottom w:type="dxa" w:w="80"/>
              <w:right w:type="dxa" w:w="100"/>
            </w:tcMar>
            <w:vAlign w:val="center"/>
          </w:tcPr>
          <w:p>
            <w:pPr>
              <w:spacing w:after="0"/>
            </w:pPr>
            <w:r>
              <w:t xml:space="preserve">Approach 2-3 providers (e.g., established KSA gateways) for integration terms and fees</w:t>
            </w:r>
          </w:p>
        </w:tc>
      </w:tr>
      <w:tr>
        <w:tc>
          <w:tcPr>
            <w:tcW w:type="dxa" w:w="1746"/>
            <w:tcMar>
              <w:top w:type="dxa" w:w="80"/>
              <w:left w:type="dxa" w:w="100"/>
              <w:bottom w:type="dxa" w:w="80"/>
              <w:right w:type="dxa" w:w="100"/>
            </w:tcMar>
            <w:vAlign w:val="center"/>
          </w:tcPr>
          <w:p>
            <w:pPr>
              <w:spacing w:after="0"/>
            </w:pPr>
            <w:r>
              <w:rPr>
                <w:b/>
                <w:bCs/>
              </w:rPr>
              <w:t xml:space="preserve">An insurance broker</w:t>
            </w:r>
          </w:p>
        </w:tc>
        <w:tc>
          <w:tcPr>
            <w:tcW w:type="dxa" w:w="3785"/>
            <w:tcMar>
              <w:top w:type="dxa" w:w="80"/>
              <w:left w:type="dxa" w:w="100"/>
              <w:bottom w:type="dxa" w:w="80"/>
              <w:right w:type="dxa" w:w="100"/>
            </w:tcMar>
            <w:vAlign w:val="center"/>
          </w:tcPr>
          <w:p>
            <w:pPr>
              <w:spacing w:after="0"/>
            </w:pPr>
            <w:r>
              <w:t xml:space="preserve">To structure both your own platform liability policy and the insurance requirements you'll impose on contractor partners</w:t>
            </w:r>
          </w:p>
        </w:tc>
        <w:tc>
          <w:tcPr>
            <w:tcW w:type="dxa" w:w="3495"/>
            <w:tcMar>
              <w:top w:type="dxa" w:w="80"/>
              <w:left w:type="dxa" w:w="100"/>
              <w:bottom w:type="dxa" w:w="80"/>
              <w:right w:type="dxa" w:w="100"/>
            </w:tcMar>
            <w:vAlign w:val="center"/>
          </w:tcPr>
          <w:p>
            <w:pPr>
              <w:spacing w:after="0"/>
            </w:pPr>
            <w:r>
              <w:t xml:space="preserve">Engage once you know your exact operating model (post-legal-opinion)</w:t>
            </w:r>
          </w:p>
        </w:tc>
      </w:tr>
      <w:tr>
        <w:tc>
          <w:tcPr>
            <w:tcW w:type="dxa" w:w="1746"/>
            <w:shd w:fill="F1F5F9" w:color="auto" w:val="clear"/>
            <w:tcMar>
              <w:top w:type="dxa" w:w="80"/>
              <w:left w:type="dxa" w:w="100"/>
              <w:bottom w:type="dxa" w:w="80"/>
              <w:right w:type="dxa" w:w="100"/>
            </w:tcMar>
            <w:vAlign w:val="center"/>
          </w:tcPr>
          <w:p>
            <w:pPr>
              <w:spacing w:after="0"/>
            </w:pPr>
            <w:r>
              <w:rPr>
                <w:b/>
                <w:bCs/>
              </w:rPr>
              <w:t xml:space="preserve">An HR/labor law consultant</w:t>
            </w:r>
          </w:p>
        </w:tc>
        <w:tc>
          <w:tcPr>
            <w:tcW w:type="dxa" w:w="3785"/>
            <w:shd w:fill="F1F5F9" w:color="auto" w:val="clear"/>
            <w:tcMar>
              <w:top w:type="dxa" w:w="80"/>
              <w:left w:type="dxa" w:w="100"/>
              <w:bottom w:type="dxa" w:w="80"/>
              <w:right w:type="dxa" w:w="100"/>
            </w:tcMar>
            <w:vAlign w:val="center"/>
          </w:tcPr>
          <w:p>
            <w:pPr>
              <w:spacing w:after="0"/>
            </w:pPr>
            <w:r>
              <w:t xml:space="preserve">To model your Nitaqat (Saudization) quota and hiring mix correctly as you build your internal team</w:t>
            </w:r>
          </w:p>
        </w:tc>
        <w:tc>
          <w:tcPr>
            <w:tcW w:type="dxa" w:w="3495"/>
            <w:shd w:fill="F1F5F9" w:color="auto" w:val="clear"/>
            <w:tcMar>
              <w:top w:type="dxa" w:w="80"/>
              <w:left w:type="dxa" w:w="100"/>
              <w:bottom w:type="dxa" w:w="80"/>
              <w:right w:type="dxa" w:w="100"/>
            </w:tcMar>
            <w:vAlign w:val="center"/>
          </w:tcPr>
          <w:p>
            <w:pPr>
              <w:spacing w:after="0"/>
            </w:pPr>
            <w:r>
              <w:t xml:space="preserve">Engage when you're finalizing your Stage 1 hiring plan</w:t>
            </w:r>
          </w:p>
        </w:tc>
      </w:tr>
      <w:tr>
        <w:tc>
          <w:tcPr>
            <w:tcW w:type="dxa" w:w="1746"/>
            <w:tcMar>
              <w:top w:type="dxa" w:w="80"/>
              <w:left w:type="dxa" w:w="100"/>
              <w:bottom w:type="dxa" w:w="80"/>
              <w:right w:type="dxa" w:w="100"/>
            </w:tcMar>
            <w:vAlign w:val="center"/>
          </w:tcPr>
          <w:p>
            <w:pPr>
              <w:spacing w:after="0"/>
            </w:pPr>
            <w:r>
              <w:rPr>
                <w:b/>
                <w:bCs/>
              </w:rPr>
              <w:t xml:space="preserve">A business-setup consultancy or MISA specialist (if any founder/investor is non-Saudi)</w:t>
            </w:r>
          </w:p>
        </w:tc>
        <w:tc>
          <w:tcPr>
            <w:tcW w:type="dxa" w:w="3785"/>
            <w:tcMar>
              <w:top w:type="dxa" w:w="80"/>
              <w:left w:type="dxa" w:w="100"/>
              <w:bottom w:type="dxa" w:w="80"/>
              <w:right w:type="dxa" w:w="100"/>
            </w:tcMar>
            <w:vAlign w:val="center"/>
          </w:tcPr>
          <w:p>
            <w:pPr>
              <w:spacing w:after="0"/>
            </w:pPr>
            <w:r>
              <w:t xml:space="preserve">Foreign ownership requires a MISA investment license, which has its own timeline</w:t>
            </w:r>
          </w:p>
        </w:tc>
        <w:tc>
          <w:tcPr>
            <w:tcW w:type="dxa" w:w="3495"/>
            <w:tcMar>
              <w:top w:type="dxa" w:w="80"/>
              <w:left w:type="dxa" w:w="100"/>
              <w:bottom w:type="dxa" w:w="80"/>
              <w:right w:type="dxa" w:w="100"/>
            </w:tcMar>
            <w:vAlign w:val="center"/>
          </w:tcPr>
          <w:p>
            <w:pPr>
              <w:spacing w:after="0"/>
            </w:pPr>
            <w:r>
              <w:t xml:space="preserve">Start this track in parallel with legal work — don't let it become a launch-week surprise</w:t>
            </w:r>
          </w:p>
        </w:tc>
      </w:tr>
    </w:tbl>
    <w:p>
      <w:pPr>
        <w:spacing w:after="200"/>
      </w:pPr>
    </w:p>
    <w:p>
      <w:pPr>
        <w:pStyle w:val="Heading2"/>
        <w:spacing w:after="160" w:before="360"/>
      </w:pPr>
      <w:r>
        <w:t xml:space="preserve">9.3 The recommended sequence</w:t>
      </w:r>
    </w:p>
    <w:p>
      <w:pPr>
        <w:pStyle w:val="Heading3"/>
        <w:spacing w:after="160" w:before="360"/>
      </w:pPr>
      <w:r>
        <w:t xml:space="preserve">Phase 0 — Before spending real money (Weeks 1-4)</w:t>
      </w:r>
    </w:p>
    <w:p>
      <w:pPr>
        <w:spacing w:after="80"/>
        <w:ind w:left="720" w:hanging="360"/>
      </w:pPr>
      <w:r>
        <w:t xml:space="preserve">1.  </w:t>
      </w:r>
      <w:r>
        <w:t xml:space="preserve">Get the </w:t>
      </w:r>
      <w:r>
        <w:rPr>
          <w:b/>
          <w:bCs/>
        </w:rPr>
        <w:t xml:space="preserve">licensing legal opinion</w:t>
      </w:r>
      <w:r>
        <w:t xml:space="preserve"> (§9.2) — this one answer shapes almost everything downstream.</w:t>
      </w:r>
    </w:p>
    <w:p>
      <w:pPr>
        <w:spacing w:after="80"/>
        <w:ind w:left="720" w:hanging="360"/>
      </w:pPr>
      <w:r>
        <w:t xml:space="preserve">2.  </w:t>
      </w:r>
      <w:r>
        <w:t xml:space="preserve">Start informal </w:t>
      </w:r>
      <w:r>
        <w:rPr>
          <w:b/>
          <w:bCs/>
        </w:rPr>
        <w:t xml:space="preserve">contractor conversations</w:t>
      </w:r>
      <w:r>
        <w:t xml:space="preserve"> in Jeddah — gauge real interest and commission tolerance before you build anything.</w:t>
      </w:r>
    </w:p>
    <w:p>
      <w:pPr>
        <w:spacing w:after="80"/>
        <w:ind w:left="720" w:hanging="360"/>
      </w:pPr>
      <w:r>
        <w:t xml:space="preserve">3.  </w:t>
      </w:r>
      <w:r>
        <w:t xml:space="preserve">Stand up a </w:t>
      </w:r>
      <w:r>
        <w:rPr>
          <w:b/>
          <w:bCs/>
        </w:rPr>
        <w:t xml:space="preserve">simple landing page + WhatsApp Business</w:t>
      </w:r>
      <w:r>
        <w:t xml:space="preserve"> presence — start capturing interest immediately, at near-zero cost.</w:t>
      </w:r>
    </w:p>
    <w:p>
      <w:pPr>
        <w:pStyle w:val="Heading3"/>
        <w:spacing w:after="160" w:before="360"/>
      </w:pPr>
      <w:r>
        <w:t xml:space="preserve">Stage 0 — Lean Validation (Months 1-3, ~SAR 80,000-120,000)</w:t>
      </w:r>
    </w:p>
    <w:p>
      <w:pPr>
        <w:spacing w:after="80"/>
        <w:ind w:left="720" w:hanging="360"/>
      </w:pPr>
      <w:r>
        <w:t xml:space="preserve">4.  </w:t>
      </w:r>
      <w:r>
        <w:t xml:space="preserve">File your </w:t>
      </w:r>
      <w:r>
        <w:rPr>
          <w:b/>
          <w:bCs/>
        </w:rPr>
        <w:t xml:space="preserve">CR and Maroof</w:t>
      </w:r>
      <w:r>
        <w:t xml:space="preserve"> registration.</w:t>
      </w:r>
    </w:p>
    <w:p>
      <w:pPr>
        <w:spacing w:after="80"/>
        <w:ind w:left="720" w:hanging="360"/>
      </w:pPr>
      <w:r>
        <w:t xml:space="preserve">5.  </w:t>
      </w:r>
      <w:r>
        <w:t xml:space="preserve">Sign your </w:t>
      </w:r>
      <w:r>
        <w:rPr>
          <w:b/>
          <w:bCs/>
        </w:rPr>
        <w:t xml:space="preserve">first 5-10 contractor partners</w:t>
      </w:r>
      <w:r>
        <w:t xml:space="preserve"> in Jeddah across all four trade categories, using a lawyer-reviewed simple agreement.</w:t>
      </w:r>
    </w:p>
    <w:p>
      <w:pPr>
        <w:spacing w:after="80"/>
        <w:ind w:left="720" w:hanging="360"/>
      </w:pPr>
      <w:r>
        <w:t xml:space="preserve">6.  </w:t>
      </w:r>
      <w:r>
        <w:t xml:space="preserve">Run real bookings manually (a person taking WhatsApp/phone requests and dispatching by phone) for 6-8 weeks.</w:t>
      </w:r>
    </w:p>
    <w:p>
      <w:pPr>
        <w:spacing w:after="80"/>
        <w:ind w:left="720" w:hanging="360"/>
      </w:pPr>
      <w:r>
        <w:t xml:space="preserve">7.  </w:t>
      </w:r>
      <w:r>
        <w:rPr>
          <w:b/>
          <w:bCs/>
        </w:rPr>
        <w:t xml:space="preserve">Measure honestly</w:t>
      </w:r>
      <w:r>
        <w:t xml:space="preserve">: booking conversion rate, contractor reliability, actual customer satisfaction, real cost per acquired customer. If these numbers are discouraging, this is the cheapest possible point to learn that and adjust the model — far better than discovering it after a SAR 600,000 app build.</w:t>
      </w:r>
    </w:p>
    <w:p>
      <w:pPr>
        <w:pStyle w:val="Heading3"/>
        <w:spacing w:after="160" w:before="360"/>
      </w:pPr>
      <w:r>
        <w:t xml:space="preserve">Stage 1 — Full Buildout (Months 3-18, ~SAR 900,000-1,300,000)</w:t>
      </w:r>
    </w:p>
    <w:p>
      <w:pPr>
        <w:spacing w:after="80"/>
        <w:ind w:left="720" w:hanging="360"/>
      </w:pPr>
      <w:r>
        <w:t xml:space="preserve">8.  </w:t>
      </w:r>
      <w:r>
        <w:t xml:space="preserve">Commission the </w:t>
      </w:r>
      <w:r>
        <w:rPr>
          <w:b/>
          <w:bCs/>
        </w:rPr>
        <w:t xml:space="preserve">full app build</w:t>
      </w:r>
      <w:r>
        <w:t xml:space="preserve"> (customer + contractor + admin) with a development partner, using this package as the brief.</w:t>
      </w:r>
    </w:p>
    <w:p>
      <w:pPr>
        <w:spacing w:after="80"/>
        <w:ind w:left="720" w:hanging="360"/>
      </w:pPr>
      <w:r>
        <w:t xml:space="preserve">9.  </w:t>
      </w:r>
      <w:r>
        <w:t xml:space="preserve">Complete </w:t>
      </w:r>
      <w:r>
        <w:rPr>
          <w:b/>
          <w:bCs/>
        </w:rPr>
        <w:t xml:space="preserve">legal documentation</w:t>
      </w:r>
      <w:r>
        <w:t xml:space="preserve"> (Partnership Agreement, ToS, Privacy Policy), </w:t>
      </w:r>
      <w:r>
        <w:rPr>
          <w:b/>
          <w:bCs/>
        </w:rPr>
        <w:t xml:space="preserve">payment gateway integration</w:t>
      </w:r>
      <w:r>
        <w:t xml:space="preserve">, and </w:t>
      </w:r>
      <w:r>
        <w:rPr>
          <w:b/>
          <w:bCs/>
        </w:rPr>
        <w:t xml:space="preserve">insurance</w:t>
      </w:r>
      <w:r>
        <w:t xml:space="preserve"> setup.</w:t>
      </w:r>
    </w:p>
    <w:p>
      <w:pPr>
        <w:spacing w:after="80"/>
        <w:ind w:left="720" w:hanging="360"/>
      </w:pPr>
      <w:r>
        <w:t xml:space="preserve">10.  </w:t>
      </w:r>
      <w:r>
        <w:rPr>
          <w:b/>
          <w:bCs/>
        </w:rPr>
        <w:t xml:space="preserve">Launch publicly in Jeddah</w:t>
      </w:r>
      <w:r>
        <w:t xml:space="preserve"> with the full app, timed ideally before the summer AC-demand season.</w:t>
      </w:r>
    </w:p>
    <w:p>
      <w:pPr>
        <w:spacing w:after="80"/>
        <w:ind w:left="720" w:hanging="360"/>
      </w:pPr>
      <w:r>
        <w:t xml:space="preserve">11.  </w:t>
      </w:r>
      <w:r>
        <w:t xml:space="preserve">Build out the team per the Financial Plan (Chapter 6) staffing ramp.</w:t>
      </w:r>
    </w:p>
    <w:p>
      <w:pPr>
        <w:spacing w:after="80"/>
        <w:ind w:left="720" w:hanging="360"/>
      </w:pPr>
      <w:r>
        <w:t xml:space="preserve">12.  </w:t>
      </w:r>
      <w:r>
        <w:rPr>
          <w:b/>
          <w:bCs/>
        </w:rPr>
        <w:t xml:space="preserve">Expand to Riyadh</w:t>
      </w:r>
      <w:r>
        <w:t xml:space="preserve"> (~month 7) once Jeddah's contractor density, SLA compliance, and dispatch process are proven stable.</w:t>
      </w:r>
    </w:p>
    <w:p>
      <w:pPr>
        <w:spacing w:after="80"/>
        <w:ind w:left="720" w:hanging="360"/>
      </w:pPr>
      <w:r>
        <w:t xml:space="preserve">13.  </w:t>
      </w:r>
      <w:r>
        <w:rPr>
          <w:b/>
          <w:bCs/>
        </w:rPr>
        <w:t xml:space="preserve">Expand to Dammam</w:t>
      </w:r>
      <w:r>
        <w:t xml:space="preserve"> (~month 10) on the same proof-first basis.</w:t>
      </w:r>
    </w:p>
    <w:p>
      <w:pPr>
        <w:spacing w:after="80"/>
        <w:ind w:left="720" w:hanging="360"/>
      </w:pPr>
      <w:r>
        <w:t xml:space="preserve">14.  </w:t>
      </w:r>
      <w:r>
        <w:t xml:space="preserve">Introduce the </w:t>
      </w:r>
      <w:r>
        <w:rPr>
          <w:b/>
          <w:bCs/>
        </w:rPr>
        <w:t xml:space="preserve">"Portal Care" subscription plan</w:t>
      </w:r>
      <w:r>
        <w:t xml:space="preserve"> once you have enough completed jobs and trust signal (ratings, repeat customers) to sell recurring value convincingly — typically once you're a few months into Jeddah operations.</w:t>
      </w:r>
    </w:p>
    <w:p>
      <w:pPr>
        <w:pStyle w:val="Heading3"/>
        <w:spacing w:after="160" w:before="360"/>
      </w:pPr>
      <w:r>
        <w:t xml:space="preserve">Phase 2 — Consolidate &amp; extend (Months 18+)</w:t>
      </w:r>
    </w:p>
    <w:p>
      <w:pPr>
        <w:spacing w:after="80"/>
        <w:ind w:left="720" w:hanging="360"/>
      </w:pPr>
      <w:r>
        <w:t xml:space="preserve">15.  </w:t>
      </w:r>
      <w:r>
        <w:t xml:space="preserve">Evaluate expansion to </w:t>
      </w:r>
      <w:r>
        <w:rPr>
          <w:b/>
          <w:bCs/>
        </w:rPr>
        <w:t xml:space="preserve">Madinah, Taif, Khobar, Jubail</w:t>
      </w:r>
      <w:r>
        <w:t xml:space="preserve"> based on which Phase 1 city performed best and what that tells you about market characteristics that predict success.</w:t>
      </w:r>
    </w:p>
    <w:p>
      <w:pPr>
        <w:spacing w:after="80"/>
        <w:ind w:left="720" w:hanging="360"/>
      </w:pPr>
      <w:r>
        <w:t xml:space="preserve">16.  </w:t>
      </w:r>
      <w:r>
        <w:t xml:space="preserve">Evaluate </w:t>
      </w:r>
      <w:r>
        <w:rPr>
          <w:b/>
          <w:bCs/>
        </w:rPr>
        <w:t xml:space="preserve">corporate/facility client</w:t>
      </w:r>
      <w:r>
        <w:t xml:space="preserve"> expansion (see Business Model (Chapter 2) §2.6) once residential operations are stable and profitable.</w:t>
      </w:r>
    </w:p>
    <w:p>
      <w:pPr>
        <w:spacing w:after="80"/>
        <w:ind w:left="720" w:hanging="360"/>
      </w:pPr>
      <w:r>
        <w:t xml:space="preserve">17.  </w:t>
      </w:r>
      <w:r>
        <w:t xml:space="preserve">Revisit whether any high-volume, high-margin service line is worth </w:t>
      </w:r>
      <w:r>
        <w:rPr>
          <w:b/>
          <w:bCs/>
        </w:rPr>
        <w:t xml:space="preserve">selectively bringing in-house</w:t>
      </w:r>
      <w:r>
        <w:t xml:space="preserve"> (own technicians) rather than staying 100% partner-based — only once you have the data to know which lines would actually benefit.</w:t>
      </w:r>
    </w:p>
    <w:p>
      <w:pPr>
        <w:pStyle w:val="Heading2"/>
        <w:spacing w:after="160" w:before="360"/>
      </w:pPr>
      <w:r>
        <w:t xml:space="preserve">9.4 A one-page decision checklist for your very next step</w:t>
      </w:r>
    </w:p>
    <w:p>
      <w:pPr>
        <w:spacing w:after="160"/>
      </w:pPr>
      <w:r>
        <w:t xml:space="preserve">Before you spend a single riyal beyond Phase 0:</w:t>
      </w:r>
    </w:p>
    <w:p>
      <w:pPr>
        <w:pStyle w:val="ListParagraph"/>
        <w:numPr>
          <w:ilvl w:val="0"/>
          <w:numId w:val="3"/>
        </w:numPr>
        <w:spacing w:after="80"/>
      </w:pPr>
      <w:r>
        <w:t xml:space="preserve">Written legal opinion obtained on licensing classification</w:t>
      </w:r>
    </w:p>
    <w:p>
      <w:pPr>
        <w:pStyle w:val="ListParagraph"/>
        <w:numPr>
          <w:ilvl w:val="0"/>
          <w:numId w:val="3"/>
        </w:numPr>
        <w:spacing w:after="80"/>
      </w:pPr>
      <w:r>
        <w:t xml:space="preserve">At least 3 contractor companies per trade have expressed real interest in Jeddah</w:t>
      </w:r>
    </w:p>
    <w:p>
      <w:pPr>
        <w:pStyle w:val="ListParagraph"/>
        <w:numPr>
          <w:ilvl w:val="0"/>
          <w:numId w:val="3"/>
        </w:numPr>
        <w:spacing w:after="80"/>
      </w:pPr>
      <w:r>
        <w:t xml:space="preserve">Landing page/WhatsApp channel live and generating at least some inbound interest</w:t>
      </w:r>
    </w:p>
    <w:p>
      <w:pPr>
        <w:pStyle w:val="ListParagraph"/>
        <w:numPr>
          <w:ilvl w:val="0"/>
          <w:numId w:val="3"/>
        </w:numPr>
        <w:spacing w:after="80"/>
      </w:pPr>
      <w:r>
        <w:t xml:space="preserve">Stage 0 budget (SAR 80,000-120,000) secured and ring-fenced</w:t>
      </w:r>
    </w:p>
    <w:p>
      <w:pPr>
        <w:pStyle w:val="ListParagraph"/>
        <w:numPr>
          <w:ilvl w:val="0"/>
          <w:numId w:val="3"/>
        </w:numPr>
        <w:spacing w:after="80"/>
      </w:pPr>
      <w:r>
        <w:t xml:space="preserve">A named person (you, or a co-founder/early hire) owns operations/dispatch day-to-day — this cannot be a part-time afterthought</w:t>
      </w:r>
    </w:p>
    <w:p>
      <w:pPr>
        <w:spacing w:after="160"/>
      </w:pPr>
      <w:r>
        <w:t xml:space="preserve">If all five are true, proceed to Stage 0. If any are not, that's your actual next task — not app development.</w:t>
      </w:r>
    </w:p>
    <w:p>
      <w:pPr>
        <w:pStyle w:val="Heading2"/>
        <w:spacing w:after="160" w:before="360"/>
      </w:pPr>
      <w:r>
        <w:t xml:space="preserve">9.5 Closing note</w:t>
      </w:r>
    </w:p>
    <w:p>
      <w:pPr>
        <w:spacing w:after="160"/>
      </w:pPr>
      <w:r>
        <w:t xml:space="preserve">The idea is sound and the market is real and growing — but it is not empty, and the businesses that win categories like this one usually win on </w:t>
      </w:r>
      <w:r>
        <w:rPr>
          <w:b/>
          <w:bCs/>
        </w:rPr>
        <w:t xml:space="preserve">operational discipline</w:t>
      </w:r>
      <w:r>
        <w:t xml:space="preserve"> (contractor quality, SLA reliability, honest unit economics) rather than on having the flashiest app. Everything in this package is built around that principle: prove it lean, fund it in stages, and treat the licensing and contractor-quality questions as seriously as the technology.</w:t>
      </w:r>
    </w:p>
    <w:p>
      <w:pPr>
        <w:pStyle w:val="Heading1"/>
        <w:pageBreakBefore/>
        <w:spacing w:after="240"/>
      </w:pPr>
      <w:r>
        <w:t xml:space="preserve">Appendix A: Consolidated Sources &amp; Citations</w:t>
      </w:r>
    </w:p>
    <w:p>
      <w:pPr>
        <w:spacing w:after="200"/>
      </w:pPr>
      <w:r>
        <w:t xml:space="preserve">The following sources were consulted during the market research and feasibility analysis (Chapters 3 and 4). Each is reproduced here as a live, independently verifiable reference.</w:t>
      </w:r>
    </w:p>
    <w:p>
      <w:pPr>
        <w:pStyle w:val="Heading2"/>
        <w:spacing w:after="120" w:before="240"/>
      </w:pPr>
      <w:r>
        <w:t xml:space="preserve">Market Research — Population &amp; Demographics</w:t>
      </w:r>
    </w:p>
    <w:p>
      <w:pPr>
        <w:pStyle w:val="ListParagraph"/>
        <w:numPr>
          <w:ilvl w:val="0"/>
          <w:numId w:val="2"/>
        </w:numPr>
        <w:spacing w:after="80"/>
      </w:pPr>
      <w:hyperlink w:history="1" r:id="rIdkazcxva4teri58onvvwag">
        <w:r>
          <w:rPr>
            <w:rStyle w:val="Hyperlink"/>
          </w:rPr>
          <w:t xml:space="preserve">World Population Review – Saudi Arabia cities</w:t>
        </w:r>
      </w:hyperlink>
      <w:r>
        <w:rPr>
          <w:color w:val="64748B"/>
          <w:sz w:val="18"/>
          <w:szCs w:val="18"/>
        </w:rPr>
        <w:t xml:space="preserve">  —  https://worldpopulationreview.com/cities/saudi-arabia</w:t>
      </w:r>
    </w:p>
    <w:p>
      <w:pPr>
        <w:pStyle w:val="ListParagraph"/>
        <w:numPr>
          <w:ilvl w:val="0"/>
          <w:numId w:val="2"/>
        </w:numPr>
        <w:spacing w:after="80"/>
      </w:pPr>
      <w:hyperlink w:history="1" r:id="rId7-0bkaiqpr-lt2d480xsl">
        <w:r>
          <w:rPr>
            <w:rStyle w:val="Hyperlink"/>
          </w:rPr>
          <w:t xml:space="preserve">Macrotrends – Riyadh population</w:t>
        </w:r>
      </w:hyperlink>
      <w:r>
        <w:rPr>
          <w:color w:val="64748B"/>
          <w:sz w:val="18"/>
          <w:szCs w:val="18"/>
        </w:rPr>
        <w:t xml:space="preserve">  —  https://macrotrends.net/global-metrics/cities/22432/riyadh/population</w:t>
      </w:r>
    </w:p>
    <w:p>
      <w:pPr>
        <w:pStyle w:val="ListParagraph"/>
        <w:numPr>
          <w:ilvl w:val="0"/>
          <w:numId w:val="2"/>
        </w:numPr>
        <w:spacing w:after="80"/>
      </w:pPr>
      <w:hyperlink w:history="1" r:id="rIdbw5pt-7_u2kubbo6lvclo">
        <w:r>
          <w:rPr>
            <w:rStyle w:val="Hyperlink"/>
          </w:rPr>
          <w:t xml:space="preserve">Macrotrends – Dammam population</w:t>
        </w:r>
      </w:hyperlink>
      <w:r>
        <w:rPr>
          <w:color w:val="64748B"/>
          <w:sz w:val="18"/>
          <w:szCs w:val="18"/>
        </w:rPr>
        <w:t xml:space="preserve">  —  https://www.macrotrends.net/cities/22416/ad-dammam/population</w:t>
      </w:r>
    </w:p>
    <w:p>
      <w:pPr>
        <w:pStyle w:val="ListParagraph"/>
        <w:numPr>
          <w:ilvl w:val="0"/>
          <w:numId w:val="2"/>
        </w:numPr>
        <w:spacing w:after="80"/>
      </w:pPr>
      <w:hyperlink w:history="1" r:id="rIdrjx6hlnulklmbl-o9xtgv">
        <w:r>
          <w:rPr>
            <w:rStyle w:val="Hyperlink"/>
          </w:rPr>
          <w:t xml:space="preserve">GlobalMediaInsight – Saudi Arabia Population Statistics 2026</w:t>
        </w:r>
      </w:hyperlink>
      <w:r>
        <w:rPr>
          <w:color w:val="64748B"/>
          <w:sz w:val="18"/>
          <w:szCs w:val="18"/>
        </w:rPr>
        <w:t xml:space="preserve">  —  https://www.globalmediainsight.com/blog/saudi-arabia-population-statistics/</w:t>
      </w:r>
    </w:p>
    <w:p>
      <w:pPr>
        <w:pStyle w:val="Heading2"/>
        <w:spacing w:after="120" w:before="240"/>
      </w:pPr>
      <w:r>
        <w:t xml:space="preserve">Market Research — Competitive Landscape</w:t>
      </w:r>
    </w:p>
    <w:p>
      <w:pPr>
        <w:pStyle w:val="ListParagraph"/>
        <w:numPr>
          <w:ilvl w:val="0"/>
          <w:numId w:val="2"/>
        </w:numPr>
        <w:spacing w:after="80"/>
      </w:pPr>
      <w:hyperlink w:history="1" r:id="rIdwemgewzkfngscmptll7sz">
        <w:r>
          <w:rPr>
            <w:rStyle w:val="Hyperlink"/>
          </w:rPr>
          <w:t xml:space="preserve">MAHA (Google Play)</w:t>
        </w:r>
      </w:hyperlink>
      <w:r>
        <w:rPr>
          <w:color w:val="64748B"/>
          <w:sz w:val="18"/>
          <w:szCs w:val="18"/>
        </w:rPr>
        <w:t xml:space="preserve">  —  https://play.google.com/store/apps/details?id=com.aait.maha.user</w:t>
      </w:r>
    </w:p>
    <w:p>
      <w:pPr>
        <w:pStyle w:val="ListParagraph"/>
        <w:numPr>
          <w:ilvl w:val="0"/>
          <w:numId w:val="2"/>
        </w:numPr>
        <w:spacing w:after="80"/>
      </w:pPr>
      <w:hyperlink w:history="1" r:id="rId8v3ffk_idvzybj7ztp34c">
        <w:r>
          <w:rPr>
            <w:rStyle w:val="Hyperlink"/>
          </w:rPr>
          <w:t xml:space="preserve">HomeXA</w:t>
        </w:r>
      </w:hyperlink>
      <w:r>
        <w:rPr>
          <w:color w:val="64748B"/>
          <w:sz w:val="18"/>
          <w:szCs w:val="18"/>
        </w:rPr>
        <w:t xml:space="preserve">  —  https://homexa.com.sa/</w:t>
      </w:r>
    </w:p>
    <w:p>
      <w:pPr>
        <w:pStyle w:val="ListParagraph"/>
        <w:numPr>
          <w:ilvl w:val="0"/>
          <w:numId w:val="2"/>
        </w:numPr>
        <w:spacing w:after="80"/>
      </w:pPr>
      <w:hyperlink w:history="1" r:id="rId6i-cdgye1s6kqx0e2d9ig">
        <w:r>
          <w:rPr>
            <w:rStyle w:val="Hyperlink"/>
          </w:rPr>
          <w:t xml:space="preserve">Fix Riyadh Now (Google Play)</w:t>
        </w:r>
      </w:hyperlink>
      <w:r>
        <w:rPr>
          <w:color w:val="64748B"/>
          <w:sz w:val="18"/>
          <w:szCs w:val="18"/>
        </w:rPr>
        <w:t xml:space="preserve">  —  https://play.google.com/store/apps/details?id=com.fixriyadhnow.fixriyadhnow</w:t>
      </w:r>
    </w:p>
    <w:p>
      <w:pPr>
        <w:pStyle w:val="ListParagraph"/>
        <w:numPr>
          <w:ilvl w:val="0"/>
          <w:numId w:val="2"/>
        </w:numPr>
        <w:spacing w:after="80"/>
      </w:pPr>
      <w:hyperlink w:history="1" r:id="rIdpxqn796l05iowmii0ast9">
        <w:r>
          <w:rPr>
            <w:rStyle w:val="Hyperlink"/>
          </w:rPr>
          <w:t xml:space="preserve">Ajeer (Google Play)</w:t>
        </w:r>
      </w:hyperlink>
      <w:r>
        <w:rPr>
          <w:color w:val="64748B"/>
          <w:sz w:val="18"/>
          <w:szCs w:val="18"/>
        </w:rPr>
        <w:t xml:space="preserve">  —  https://play.google.com/store/apps/details?id=com.ajeer.production</w:t>
      </w:r>
    </w:p>
    <w:p>
      <w:pPr>
        <w:pStyle w:val="ListParagraph"/>
        <w:numPr>
          <w:ilvl w:val="0"/>
          <w:numId w:val="2"/>
        </w:numPr>
        <w:spacing w:after="80"/>
      </w:pPr>
      <w:hyperlink w:history="1" r:id="rIdqsmiujbbboll9tqhp9nju">
        <w:r>
          <w:rPr>
            <w:rStyle w:val="Hyperlink"/>
          </w:rPr>
          <w:t xml:space="preserve">Noon Home Services coverage</w:t>
        </w:r>
      </w:hyperlink>
      <w:r>
        <w:rPr>
          <w:color w:val="64748B"/>
          <w:sz w:val="18"/>
          <w:szCs w:val="18"/>
        </w:rPr>
        <w:t xml:space="preserve">  —  https://soulofsaudi.com/noon-home-services-saudi-arabia/</w:t>
      </w:r>
    </w:p>
    <w:p>
      <w:pPr>
        <w:pStyle w:val="ListParagraph"/>
        <w:numPr>
          <w:ilvl w:val="0"/>
          <w:numId w:val="2"/>
        </w:numPr>
        <w:spacing w:after="80"/>
      </w:pPr>
      <w:hyperlink w:history="1" r:id="rIdzifrmceeulwvj8lmnshu9">
        <w:r>
          <w:rPr>
            <w:rStyle w:val="Hyperlink"/>
          </w:rPr>
          <w:t xml:space="preserve">Albaap (App Store)</w:t>
        </w:r>
      </w:hyperlink>
      <w:r>
        <w:rPr>
          <w:color w:val="64748B"/>
          <w:sz w:val="18"/>
          <w:szCs w:val="18"/>
        </w:rPr>
        <w:t xml:space="preserve">  —  https://apps.apple.com/sa/app/albaap-%D8%B9%D8%A7%D9%84%D8%A8%D8%A7%D8%A8/id1245090517</w:t>
      </w:r>
    </w:p>
    <w:p>
      <w:pPr>
        <w:pStyle w:val="ListParagraph"/>
        <w:numPr>
          <w:ilvl w:val="0"/>
          <w:numId w:val="2"/>
        </w:numPr>
        <w:spacing w:after="80"/>
      </w:pPr>
      <w:hyperlink w:history="1" r:id="rId10u1pogbqgwm4valffyk9">
        <w:r>
          <w:rPr>
            <w:rStyle w:val="Hyperlink"/>
          </w:rPr>
          <w:t xml:space="preserve">Muheel launch – Abdul Latif Jameel</w:t>
        </w:r>
      </w:hyperlink>
      <w:r>
        <w:rPr>
          <w:color w:val="64748B"/>
          <w:sz w:val="18"/>
          <w:szCs w:val="18"/>
        </w:rPr>
        <w:t xml:space="preserve">  —  https://alj.com/en/news/muheel-launches-app-based-maintenance-service-in-saudi-arabia/</w:t>
      </w:r>
    </w:p>
    <w:p>
      <w:pPr>
        <w:pStyle w:val="Heading2"/>
        <w:spacing w:after="120" w:before="240"/>
      </w:pPr>
      <w:r>
        <w:t xml:space="preserve">Labor &amp; Freelance Regulation</w:t>
      </w:r>
    </w:p>
    <w:p>
      <w:pPr>
        <w:pStyle w:val="ListParagraph"/>
        <w:numPr>
          <w:ilvl w:val="0"/>
          <w:numId w:val="2"/>
        </w:numPr>
        <w:spacing w:after="80"/>
      </w:pPr>
      <w:hyperlink w:history="1" r:id="rId0ha5ofxpxzzjrebihbo1t">
        <w:r>
          <w:rPr>
            <w:rStyle w:val="Hyperlink"/>
          </w:rPr>
          <w:t xml:space="preserve">Motaded – Saudi Freelance Regulations Guide 2026</w:t>
        </w:r>
      </w:hyperlink>
      <w:r>
        <w:rPr>
          <w:color w:val="64748B"/>
          <w:sz w:val="18"/>
          <w:szCs w:val="18"/>
        </w:rPr>
        <w:t xml:space="preserve">  —  https://motaded.com.sa/blog/saudi-freelance-regulations-guide</w:t>
      </w:r>
    </w:p>
    <w:p>
      <w:pPr>
        <w:pStyle w:val="Heading2"/>
        <w:spacing w:after="120" w:before="240"/>
      </w:pPr>
      <w:r>
        <w:t xml:space="preserve">Feasibility Study — Licensing, Tax &amp; Regulatory</w:t>
      </w:r>
    </w:p>
    <w:p>
      <w:pPr>
        <w:pStyle w:val="ListParagraph"/>
        <w:numPr>
          <w:ilvl w:val="0"/>
          <w:numId w:val="2"/>
        </w:numPr>
        <w:spacing w:after="80"/>
      </w:pPr>
      <w:hyperlink w:history="1" r:id="rIduoatlogqimcr5hijnnyph">
        <w:r>
          <w:rPr>
            <w:rStyle w:val="Hyperlink"/>
          </w:rPr>
          <w:t xml:space="preserve">SCA Licensing Guide for Contractors – Lexology</w:t>
        </w:r>
      </w:hyperlink>
      <w:r>
        <w:rPr>
          <w:color w:val="64748B"/>
          <w:sz w:val="18"/>
          <w:szCs w:val="18"/>
        </w:rPr>
        <w:t xml:space="preserve">  —  https://www.lexology.com/library/detail.aspx?g=c472dbf2-0647-4c57-9010-3ce5bf805b09</w:t>
      </w:r>
    </w:p>
    <w:p>
      <w:pPr>
        <w:pStyle w:val="ListParagraph"/>
        <w:numPr>
          <w:ilvl w:val="0"/>
          <w:numId w:val="2"/>
        </w:numPr>
        <w:spacing w:after="80"/>
      </w:pPr>
      <w:hyperlink w:history="1" r:id="rIdqbelpd04-cl41235j7nk6">
        <w:r>
          <w:rPr>
            <w:rStyle w:val="Hyperlink"/>
          </w:rPr>
          <w:t xml:space="preserve">Civil Defense License Guide 2025</w:t>
        </w:r>
      </w:hyperlink>
      <w:r>
        <w:rPr>
          <w:color w:val="64748B"/>
          <w:sz w:val="18"/>
          <w:szCs w:val="18"/>
        </w:rPr>
        <w:t xml:space="preserve">  —  https://jkmanagement.ae/civil-defense-license-in-saudi-arabia-a-complete-guide-for-2025/</w:t>
      </w:r>
    </w:p>
    <w:p>
      <w:pPr>
        <w:pStyle w:val="ListParagraph"/>
        <w:numPr>
          <w:ilvl w:val="0"/>
          <w:numId w:val="2"/>
        </w:numPr>
        <w:spacing w:after="80"/>
      </w:pPr>
      <w:hyperlink w:history="1" r:id="rIdz7fxnhtnd58qvgvfwjlpb">
        <w:r>
          <w:rPr>
            <w:rStyle w:val="Hyperlink"/>
          </w:rPr>
          <w:t xml:space="preserve">Maroof Business Verification Guide 2026</w:t>
        </w:r>
      </w:hyperlink>
      <w:r>
        <w:rPr>
          <w:color w:val="64748B"/>
          <w:sz w:val="18"/>
          <w:szCs w:val="18"/>
        </w:rPr>
        <w:t xml:space="preserve">  —  https://incorpmena.com/saudi-maroof</w:t>
      </w:r>
    </w:p>
    <w:p>
      <w:pPr>
        <w:pStyle w:val="ListParagraph"/>
        <w:numPr>
          <w:ilvl w:val="0"/>
          <w:numId w:val="2"/>
        </w:numPr>
        <w:spacing w:after="80"/>
      </w:pPr>
      <w:hyperlink w:history="1" r:id="rIdjaqngt6ebjninehn1xgbl">
        <w:r>
          <w:rPr>
            <w:rStyle w:val="Hyperlink"/>
          </w:rPr>
          <w:t xml:space="preserve">VAT Rate Saudi Arabia 2026 – Vision2030.ai</w:t>
        </w:r>
      </w:hyperlink>
      <w:r>
        <w:rPr>
          <w:color w:val="64748B"/>
          <w:sz w:val="18"/>
          <w:szCs w:val="18"/>
        </w:rPr>
        <w:t xml:space="preserve">  —  https://vision2030.ai/encyclopedia/vat-rate-saudi-arabia/</w:t>
      </w:r>
    </w:p>
    <w:p>
      <w:pPr>
        <w:pStyle w:val="ListParagraph"/>
        <w:numPr>
          <w:ilvl w:val="0"/>
          <w:numId w:val="2"/>
        </w:numPr>
        <w:spacing w:after="80"/>
      </w:pPr>
      <w:hyperlink w:history="1" r:id="rId968-iwvd990ifoippaipb">
        <w:r>
          <w:rPr>
            <w:rStyle w:val="Hyperlink"/>
          </w:rPr>
          <w:t xml:space="preserve">Saudi Arabia Tax Guide 2026 – House of Saud</w:t>
        </w:r>
      </w:hyperlink>
      <w:r>
        <w:rPr>
          <w:color w:val="64748B"/>
          <w:sz w:val="18"/>
          <w:szCs w:val="18"/>
        </w:rPr>
        <w:t xml:space="preserve">  —  https://houseofsaud.com/business/tax-guide/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Maintenance Portal — Confidential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Calibri" w:cs="Calibri" w:eastAsia="Calibri" w:hAnsi="Calibri"/>
      <w:b/>
      <w:bCs/>
      <w:color w:val="C2410C"/>
      <w:sz w:val="34"/>
      <w:szCs w:val="34"/>
    </w:rPr>
  </w:style>
  <w:style w:type="paragraph" w:styleId="Heading2">
    <w:name w:val="Heading 2"/>
    <w:basedOn w:val="Normal"/>
    <w:next w:val="Normal"/>
    <w:qFormat/>
    <w:pPr>
      <w:spacing w:after="160" w:before="360"/>
    </w:pPr>
    <w:rPr>
      <w:rFonts w:ascii="Calibri" w:cs="Calibri" w:eastAsia="Calibri" w:hAnsi="Calibri"/>
      <w:b/>
      <w:bCs/>
      <w:color w:val="334155"/>
      <w:sz w:val="27"/>
      <w:szCs w:val="27"/>
    </w:rPr>
  </w:style>
  <w:style w:type="paragraph" w:styleId="Heading3">
    <w:name w:val="Heading 3"/>
    <w:basedOn w:val="Normal"/>
    <w:next w:val="Normal"/>
    <w:qFormat/>
    <w:pPr>
      <w:spacing w:after="120" w:before="240"/>
    </w:pPr>
    <w:rPr>
      <w:rFonts w:ascii="Calibri" w:cs="Calibri" w:eastAsia="Calibri" w:hAnsi="Calibri"/>
      <w:b/>
      <w:bCs/>
      <w:color w:val="47556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osvtssovxowueupz-bl3" Type="http://schemas.openxmlformats.org/officeDocument/2006/relationships/hyperlink" Target="https://worldpopulationreview.com/cities/saudi-arabia" TargetMode="External"/><Relationship Id="rIdxq1hdu0vynaa_sqe_pkcq" Type="http://schemas.openxmlformats.org/officeDocument/2006/relationships/hyperlink" Target="https://macrotrends.net/global-metrics/cities/22432/riyadh/population" TargetMode="External"/><Relationship Id="rIdeawgqtu_0xkzjdvt6pv0j" Type="http://schemas.openxmlformats.org/officeDocument/2006/relationships/hyperlink" Target="https://www.macrotrends.net/cities/22416/ad-dammam/population" TargetMode="External"/><Relationship Id="rIdwtwtkluq8hzlfyhphpuuu" Type="http://schemas.openxmlformats.org/officeDocument/2006/relationships/hyperlink" Target="https://www.globalmediainsight.com/blog/saudi-arabia-population-statistics/" TargetMode="External"/><Relationship Id="rId9q4kfa_ltiqiuhtjbcvrj" Type="http://schemas.openxmlformats.org/officeDocument/2006/relationships/hyperlink" Target="https://play.google.com/store/apps/details?id=com.aait.maha.user" TargetMode="External"/><Relationship Id="rIdal5mm8zyt-wob0j_vgfpb" Type="http://schemas.openxmlformats.org/officeDocument/2006/relationships/hyperlink" Target="https://homexa.com.sa/" TargetMode="External"/><Relationship Id="rIddthsks-s_9kc4wnzmsxl4" Type="http://schemas.openxmlformats.org/officeDocument/2006/relationships/hyperlink" Target="https://play.google.com/store/apps/details?id=com.fixriyadhnow.fixriyadhnow" TargetMode="External"/><Relationship Id="rIddlkr-h_2ixu54mfvrngeq" Type="http://schemas.openxmlformats.org/officeDocument/2006/relationships/hyperlink" Target="https://play.google.com/store/apps/details?id=com.ajeer.production" TargetMode="External"/><Relationship Id="rIdbe4wl2iwfw-wucszsrpa7" Type="http://schemas.openxmlformats.org/officeDocument/2006/relationships/hyperlink" Target="https://soulofsaudi.com/noon-home-services-saudi-arabia/" TargetMode="External"/><Relationship Id="rIdwttbetcql87hfysgc2e5c" Type="http://schemas.openxmlformats.org/officeDocument/2006/relationships/hyperlink" Target="https://apps.apple.com/sa/app/albaap-%D8%B9%D8%A7%D9%84%D8%A8%D8%A7%D8%A8/id1245090517" TargetMode="External"/><Relationship Id="rId-odvqoaorwocvou7qq4z0" Type="http://schemas.openxmlformats.org/officeDocument/2006/relationships/hyperlink" Target="https://alj.com/en/news/muheel-launches-app-based-maintenance-service-in-saudi-arabia/" TargetMode="External"/><Relationship Id="rId_mcybebc49kkmn_ttzxus" Type="http://schemas.openxmlformats.org/officeDocument/2006/relationships/hyperlink" Target="https://motaded.com.sa/blog/saudi-freelance-regulations-guide" TargetMode="External"/><Relationship Id="rIdyn_r3eooa-iwchallepka" Type="http://schemas.openxmlformats.org/officeDocument/2006/relationships/hyperlink" Target="https://www.lexology.com/library/detail.aspx?g=c472dbf2-0647-4c57-9010-3ce5bf805b09" TargetMode="External"/><Relationship Id="rIds5eeubjry0gqdyy41yymn" Type="http://schemas.openxmlformats.org/officeDocument/2006/relationships/hyperlink" Target="https://jkmanagement.ae/civil-defense-license-in-saudi-arabia-a-complete-guide-for-2025/" TargetMode="External"/><Relationship Id="rId00vsmpm2osvehdyuuuixq" Type="http://schemas.openxmlformats.org/officeDocument/2006/relationships/hyperlink" Target="https://incorpmena.com/saudi-maroof" TargetMode="External"/><Relationship Id="rIdkzlro7x6faq7-xkxdbuzf" Type="http://schemas.openxmlformats.org/officeDocument/2006/relationships/hyperlink" Target="https://vision2030.ai/encyclopedia/vat-rate-saudi-arabia/" TargetMode="External"/><Relationship Id="rIdk-qyl1q_ytkdaxtj5ojyo" Type="http://schemas.openxmlformats.org/officeDocument/2006/relationships/hyperlink" Target="https://houseofsaud.com/business/tax-guide/" TargetMode="External"/><Relationship Id="rId2zovcuflitbikepfyyg0h" Type="http://schemas.openxmlformats.org/officeDocument/2006/relationships/hyperlink" Target="https://motaded.com.sa/blog/saudi-freelance-regulations-guide" TargetMode="External"/><Relationship Id="rIdkazcxva4teri58onvvwag" Type="http://schemas.openxmlformats.org/officeDocument/2006/relationships/hyperlink" Target="https://worldpopulationreview.com/cities/saudi-arabia" TargetMode="External"/><Relationship Id="rId7-0bkaiqpr-lt2d480xsl" Type="http://schemas.openxmlformats.org/officeDocument/2006/relationships/hyperlink" Target="https://macrotrends.net/global-metrics/cities/22432/riyadh/population" TargetMode="External"/><Relationship Id="rIdbw5pt-7_u2kubbo6lvclo" Type="http://schemas.openxmlformats.org/officeDocument/2006/relationships/hyperlink" Target="https://www.macrotrends.net/cities/22416/ad-dammam/population" TargetMode="External"/><Relationship Id="rIdrjx6hlnulklmbl-o9xtgv" Type="http://schemas.openxmlformats.org/officeDocument/2006/relationships/hyperlink" Target="https://www.globalmediainsight.com/blog/saudi-arabia-population-statistics/" TargetMode="External"/><Relationship Id="rIdwemgewzkfngscmptll7sz" Type="http://schemas.openxmlformats.org/officeDocument/2006/relationships/hyperlink" Target="https://play.google.com/store/apps/details?id=com.aait.maha.user" TargetMode="External"/><Relationship Id="rId8v3ffk_idvzybj7ztp34c" Type="http://schemas.openxmlformats.org/officeDocument/2006/relationships/hyperlink" Target="https://homexa.com.sa/" TargetMode="External"/><Relationship Id="rId6i-cdgye1s6kqx0e2d9ig" Type="http://schemas.openxmlformats.org/officeDocument/2006/relationships/hyperlink" Target="https://play.google.com/store/apps/details?id=com.fixriyadhnow.fixriyadhnow" TargetMode="External"/><Relationship Id="rIdpxqn796l05iowmii0ast9" Type="http://schemas.openxmlformats.org/officeDocument/2006/relationships/hyperlink" Target="https://play.google.com/store/apps/details?id=com.ajeer.production" TargetMode="External"/><Relationship Id="rIdqsmiujbbboll9tqhp9nju" Type="http://schemas.openxmlformats.org/officeDocument/2006/relationships/hyperlink" Target="https://soulofsaudi.com/noon-home-services-saudi-arabia/" TargetMode="External"/><Relationship Id="rIdzifrmceeulwvj8lmnshu9" Type="http://schemas.openxmlformats.org/officeDocument/2006/relationships/hyperlink" Target="https://apps.apple.com/sa/app/albaap-%D8%B9%D8%A7%D9%84%D8%A8%D8%A7%D8%A8/id1245090517" TargetMode="External"/><Relationship Id="rId10u1pogbqgwm4valffyk9" Type="http://schemas.openxmlformats.org/officeDocument/2006/relationships/hyperlink" Target="https://alj.com/en/news/muheel-launches-app-based-maintenance-service-in-saudi-arabia/" TargetMode="External"/><Relationship Id="rId0ha5ofxpxzzjrebihbo1t" Type="http://schemas.openxmlformats.org/officeDocument/2006/relationships/hyperlink" Target="https://motaded.com.sa/blog/saudi-freelance-regulations-guide" TargetMode="External"/><Relationship Id="rIduoatlogqimcr5hijnnyph" Type="http://schemas.openxmlformats.org/officeDocument/2006/relationships/hyperlink" Target="https://www.lexology.com/library/detail.aspx?g=c472dbf2-0647-4c57-9010-3ce5bf805b09" TargetMode="External"/><Relationship Id="rIdqbelpd04-cl41235j7nk6" Type="http://schemas.openxmlformats.org/officeDocument/2006/relationships/hyperlink" Target="https://jkmanagement.ae/civil-defense-license-in-saudi-arabia-a-complete-guide-for-2025/" TargetMode="External"/><Relationship Id="rIdz7fxnhtnd58qvgvfwjlpb" Type="http://schemas.openxmlformats.org/officeDocument/2006/relationships/hyperlink" Target="https://incorpmena.com/saudi-maroof" TargetMode="External"/><Relationship Id="rIdjaqngt6ebjninehn1xgbl" Type="http://schemas.openxmlformats.org/officeDocument/2006/relationships/hyperlink" Target="https://vision2030.ai/encyclopedia/vat-rate-saudi-arabia/" TargetMode="External"/><Relationship Id="rId968-iwvd990ifoippaipb" Type="http://schemas.openxmlformats.org/officeDocument/2006/relationships/hyperlink" Target="https://houseofsaud.com/business/tax-guide/"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2026-08-05T15:37:12.900Z</dcterms:created>
  <dcterms:modified xsi:type="dcterms:W3CDTF">2026-08-05T15:37:12.901Z</dcterms:modified>
</cp:coreProperties>
</file>

<file path=docProps/custom.xml><?xml version="1.0" encoding="utf-8"?>
<Properties xmlns="http://schemas.openxmlformats.org/officeDocument/2006/custom-properties" xmlns:vt="http://schemas.openxmlformats.org/officeDocument/2006/docPropsVTypes"/>
</file>