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TriageDesk — AWS Deployment Evidence</w:t>
      </w:r>
    </w:p>
    <w:p>
      <w:pPr>
        <w:jc w:val="left"/>
      </w:pPr>
      <w:r>
        <w:rPr>
          <w:color w:val="64748B"/>
          <w:sz w:val="26"/>
        </w:rPr>
        <w:t>Production-style AWS lab documenting networking, security, database migration, load balancing, resilience, and auto scaling.</w:t>
      </w:r>
    </w:p>
    <w:p>
      <w:pPr>
        <w:spacing w:before="160" w:after="160"/>
      </w:pPr>
      <w:r>
        <w:rPr>
          <w:b/>
          <w:color w:val="2563EB"/>
          <w:sz w:val="28"/>
        </w:rPr>
        <w:t>Final AWS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34"/>
        <w:gridCol w:w="3834"/>
        <w:gridCol w:w="3834"/>
        <w:gridCol w:w="3834"/>
      </w:tblGrid>
      <w:tr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Network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VPC across 2 AZs</w:t>
              <w:br/>
              <w:t>Public / App / DB tiers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Compute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Golden AMI + Launch Template</w:t>
              <w:br/>
              <w:t>ASG min 2 / max 4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Data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Private RDS PostgreSQL</w:t>
              <w:br/>
              <w:t>Public access disabled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Traffic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Internet-facing ALB</w:t>
              <w:br/>
              <w:t>Path-based routing</w:t>
            </w:r>
          </w:p>
        </w:tc>
      </w:tr>
      <w:tr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Security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SG chaining + SSM</w:t>
              <w:br/>
              <w:t>No SSH / no public EC2 IP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Secrets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Parameter Store</w:t>
              <w:br/>
              <w:t>SecureString DB password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Resilience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ALB health checks</w:t>
              <w:br/>
              <w:t>Self-healing tested</w:t>
            </w:r>
          </w:p>
        </w:tc>
        <w:tc>
          <w:tcPr>
            <w:tcW w:type="dxa" w:w="3672"/>
            <w:vAlign w:val="center"/>
            <w:shd w:fill="F8FAFC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3"/>
              </w:rPr>
              <w:t>Scaling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CPU target tracking</w:t>
              <w:br/>
              <w:t>50% target + scale-in/out</w:t>
            </w:r>
          </w:p>
        </w:tc>
      </w:tr>
    </w:tbl>
    <w:p>
      <w:pPr>
        <w:spacing w:before="240"/>
      </w:pPr>
      <w:r>
        <w:rPr>
          <w:b/>
          <w:color w:val="0F172A"/>
        </w:rPr>
        <w:t xml:space="preserve">Scope: </w:t>
      </w:r>
      <w:r>
        <w:rPr>
          <w:color w:val="475569"/>
          <w:sz w:val="21"/>
        </w:rPr>
        <w:t>Evidence captured from the implemented AWS environment. The document intentionally focuses on the final design and validation results rather than every console click.</w:t>
      </w:r>
    </w:p>
    <w:p>
      <w:pPr>
        <w:pStyle w:val="Heading1"/>
        <w:pageBreakBefore/>
        <w:spacing w:after="60"/>
      </w:pPr>
      <w:r>
        <w:t>1. Final Architecture</w:t>
      </w:r>
    </w:p>
    <w:p>
      <w:pPr>
        <w:spacing w:after="140"/>
      </w:pPr>
      <w:r>
        <w:rPr>
          <w:color w:val="64748B"/>
          <w:sz w:val="21"/>
        </w:rPr>
        <w:t>The application tier is private and replicated across two Availability Zones. The ALB is the only public application entry point; state is centralized in private 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485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gedesk_aw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85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Final TriageDesk AWS architecture — ALB + private ASG application nodes + private RDS, with Golden AMI/Launch Template automation and Parameter Store configuration.</w:t>
      </w:r>
    </w:p>
    <w:p>
      <w:pPr>
        <w:pStyle w:val="Heading1"/>
        <w:pageBreakBefore/>
        <w:spacing w:after="60"/>
      </w:pPr>
      <w:r>
        <w:t>2. VPC &amp; Subnet Segmentation</w:t>
      </w:r>
    </w:p>
    <w:p>
      <w:pPr>
        <w:spacing w:after="140"/>
      </w:pPr>
      <w:r>
        <w:rPr>
          <w:color w:val="64748B"/>
          <w:sz w:val="21"/>
        </w:rPr>
        <w:t>Six subnets separate public ingress, private application compute, and the database tier across two Availability Zones.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418320" cy="41472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4147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VPC subnet layout: two public, two private application, and two private database subnets.</w:t>
      </w:r>
    </w:p>
    <w:p>
      <w:pPr>
        <w:pStyle w:val="Heading1"/>
        <w:pageBreakBefore/>
        <w:spacing w:after="60"/>
      </w:pPr>
      <w:r>
        <w:t>3. Routing &amp; Internet Egress</w:t>
      </w:r>
    </w:p>
    <w:p>
      <w:pPr>
        <w:spacing w:after="140"/>
      </w:pPr>
      <w:r>
        <w:rPr>
          <w:color w:val="64748B"/>
          <w:sz w:val="21"/>
        </w:rPr>
        <w:t>Public subnets route to the Internet Gateway. Private application subnets use NAT for outbound access, while database subnets remain isolated from direct internet routing.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579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57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Public route table — internet route via IGW.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6017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601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Private application route table — outbound route via NAT Gateway.</w:t>
            </w:r>
          </w:p>
        </w:tc>
      </w:tr>
    </w:tbl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961120" cy="3576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7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NAT Gateway available in the public tier for outbound-only access from private application instances.</w:t>
      </w:r>
    </w:p>
    <w:p>
      <w:pPr>
        <w:pStyle w:val="Heading1"/>
        <w:pageBreakBefore/>
        <w:spacing w:after="60"/>
      </w:pPr>
      <w:r>
        <w:t>4. Security Group Chaining</w:t>
      </w:r>
    </w:p>
    <w:p>
      <w:pPr>
        <w:spacing w:after="140"/>
      </w:pPr>
      <w:r>
        <w:rPr>
          <w:color w:val="64748B"/>
          <w:sz w:val="21"/>
        </w:rPr>
        <w:t>Traffic is constrained by security-group references rather than broad IP exposure.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674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674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ALB security group — public HTTP ingress.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65540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655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Application security group — ALB-only access to application ports.</w:t>
            </w:r>
          </w:p>
        </w:tc>
      </w:tr>
    </w:tbl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92440" cy="2812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2812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Database security group — PostgreSQL 5432 allowed only from the application security group.</w:t>
      </w:r>
    </w:p>
    <w:p>
      <w:pPr>
        <w:pStyle w:val="Heading1"/>
        <w:pageBreakBefore/>
        <w:spacing w:after="60"/>
      </w:pPr>
      <w:r>
        <w:t>5. Private EC2 Management &amp; Runtime Baseline</w:t>
      </w:r>
    </w:p>
    <w:p>
      <w:pPr>
        <w:spacing w:after="140"/>
      </w:pPr>
      <w:r>
        <w:rPr>
          <w:color w:val="64748B"/>
          <w:sz w:val="21"/>
        </w:rPr>
        <w:t>Instances are administered through Systems Manager rather than public SSH. The Golden AMI baseline contains Git, Docker, Compose, Buildx, and AWS CLI.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8818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881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EC2 IAM role with Systems Manager permissions.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392867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3928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Docker / Compose validation on the private EC2 instance.</w:t>
            </w:r>
          </w:p>
        </w:tc>
      </w:tr>
    </w:tbl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59240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92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Application repository cloned from GitHub into /opt/triagedesk on the private instance.</w:t>
      </w:r>
    </w:p>
    <w:p>
      <w:pPr>
        <w:pStyle w:val="Heading1"/>
        <w:pageBreakBefore/>
        <w:spacing w:after="60"/>
      </w:pPr>
      <w:r>
        <w:t>6. RDS PostgreSQL Migration</w:t>
      </w:r>
    </w:p>
    <w:p>
      <w:pPr>
        <w:spacing w:after="140"/>
      </w:pPr>
      <w:r>
        <w:rPr>
          <w:color w:val="64748B"/>
          <w:sz w:val="21"/>
        </w:rPr>
        <w:t>PostgreSQL state was moved out of the EC2/Docker node into private Amazon RDS, making application nodes replaceable and horizontally scalable.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40831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08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RDS PostgreSQL is Available, uses the private DB subnet group, and is not publicly accessible.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00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329036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3290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Private EC2 → RDS connectivity and authentication validation.</w:t>
            </w:r>
          </w:p>
        </w:tc>
        <w:tc>
          <w:tcPr>
            <w:tcW w:type="dxa" w:w="7200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682747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6827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Post-migration validation: ticket and asset row counts confirmed.</w:t>
            </w:r>
          </w:p>
        </w:tc>
      </w:tr>
    </w:tbl>
    <w:p>
      <w:pPr>
        <w:pStyle w:val="Heading1"/>
        <w:pageBreakBefore/>
        <w:spacing w:after="60"/>
      </w:pPr>
      <w:r>
        <w:t>7. Secrets &amp; Configuration Management</w:t>
      </w:r>
    </w:p>
    <w:p>
      <w:pPr>
        <w:spacing w:after="140"/>
      </w:pPr>
      <w:r>
        <w:rPr>
          <w:color w:val="64748B"/>
          <w:sz w:val="21"/>
        </w:rPr>
        <w:t>Database configuration is retrieved at boot from Systems Manager Parameter Store; the DB password is stored as SecureString and read through the EC2 IAM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85853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8585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Parameter Store configuration; DB_PASSWORD is SecureString.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77173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7717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Least-privilege inline policy allowing access to the TriageDesk parameter path.</w:t>
            </w:r>
          </w:p>
        </w:tc>
      </w:tr>
    </w:tbl>
    <w:p>
      <w:pPr>
        <w:pStyle w:val="Heading1"/>
        <w:pageBreakBefore/>
        <w:spacing w:after="60"/>
      </w:pPr>
      <w:r>
        <w:t>8. Golden AMI &amp; Launch Template</w:t>
      </w:r>
    </w:p>
    <w:p>
      <w:pPr>
        <w:spacing w:after="140"/>
      </w:pPr>
      <w:r>
        <w:rPr>
          <w:color w:val="64748B"/>
          <w:sz w:val="21"/>
        </w:rPr>
        <w:t>A reusable Golden AMI reduces bootstrap time. Launch Template user data pulls the latest application code and Parameter Store values, then starts the Docker workload.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8678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867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TriageDesk Golden AMI used as the reusable compute baseline.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9048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904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Launch Template created from the Golden AMI with the application security group and IAM instance profile.</w:t>
            </w:r>
          </w:p>
        </w:tc>
      </w:tr>
    </w:tbl>
    <w:p>
      <w:pPr>
        <w:pStyle w:val="Heading1"/>
        <w:pageBreakBefore/>
        <w:spacing w:after="60"/>
      </w:pPr>
      <w:r>
        <w:t>9. Application Load Balancer &amp; Target Groups</w:t>
      </w:r>
    </w:p>
    <w:p>
      <w:pPr>
        <w:spacing w:after="140"/>
      </w:pPr>
      <w:r>
        <w:rPr>
          <w:color w:val="64748B"/>
          <w:sz w:val="21"/>
        </w:rPr>
        <w:t>Three target groups map the ALB to the three services exposed on each application node.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88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88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Target groups for Portal :8080, Core API :8081, and Status :8082.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95192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951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ALB listener rules: /api/status → Status, /api/* → Core API, default → Portal.</w:t>
            </w:r>
          </w:p>
        </w:tc>
      </w:tr>
    </w:tbl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42913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29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Application dashboard successfully served through the public ALB DNS name.</w:t>
      </w:r>
    </w:p>
    <w:p>
      <w:pPr>
        <w:pStyle w:val="Heading1"/>
        <w:pageBreakBefore/>
        <w:spacing w:after="60"/>
      </w:pPr>
      <w:r>
        <w:t>10. Auto Scaling Group &amp; Multi-AZ Availability</w:t>
      </w:r>
    </w:p>
    <w:p>
      <w:pPr>
        <w:spacing w:after="140"/>
      </w:pPr>
      <w:r>
        <w:rPr>
          <w:color w:val="64748B"/>
          <w:sz w:val="21"/>
        </w:rPr>
        <w:t>The ASG maintains two application nodes across two Availability Zones and uses the Launch Template as the source of truth.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9235440" cy="40323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03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Auto Scaling Group at desired capacity with a two-instance baseline and multi-AZ placement.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00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141987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419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Failure test: an ASG-managed instance is terminated.</w:t>
            </w:r>
          </w:p>
        </w:tc>
        <w:tc>
          <w:tcPr>
            <w:tcW w:type="dxa" w:w="7200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34840" cy="106593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840" cy="1065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Replacement instance launched automatically, restoring desired capacity — self-healing verified.</w:t>
            </w:r>
          </w:p>
        </w:tc>
      </w:tr>
    </w:tbl>
    <w:p>
      <w:pPr>
        <w:pStyle w:val="Heading1"/>
        <w:pageBreakBefore/>
        <w:spacing w:after="60"/>
      </w:pPr>
      <w:r>
        <w:t>11. Load Balancing Validation</w:t>
      </w:r>
    </w:p>
    <w:p>
      <w:pPr>
        <w:spacing w:after="140"/>
      </w:pPr>
      <w:r>
        <w:rPr>
          <w:color w:val="64748B"/>
          <w:sz w:val="21"/>
        </w:rPr>
        <w:t>The Core API health endpoint exposes both the EC2 instance ID and Docker container ID, making ALB distribution visible and easy to verify.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43400" cy="445674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45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Repeated requests to /api/core-health alternate between distinct EC2 instance IDs and container IDs, proving traffic is distributed across application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36"/>
      </w:tblGrid>
      <w:tr>
        <w:tc>
          <w:tcPr>
            <w:tcW w:type="dxa" w:w="15336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VALIDATED: ALB path routing + multi-target load balancing + shared RDS state</w:t>
            </w:r>
          </w:p>
        </w:tc>
      </w:tr>
    </w:tbl>
    <w:p>
      <w:pPr>
        <w:pStyle w:val="Heading1"/>
        <w:pageBreakBefore/>
        <w:spacing w:after="60"/>
      </w:pPr>
      <w:r>
        <w:t>12. Dynamic Auto Scaling</w:t>
      </w:r>
    </w:p>
    <w:p>
      <w:pPr>
        <w:spacing w:after="140"/>
      </w:pPr>
      <w:r>
        <w:rPr>
          <w:color w:val="64748B"/>
          <w:sz w:val="21"/>
        </w:rPr>
        <w:t>Target tracking maintains average CPU near 50%, with a 600-second warmup. The group can scale from 2 to 4 instances and scale back in after demand drops.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38593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859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Target tracking scaling policy: Average CPU target 50%, scale-in enabled, 600-second warmup.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68"/>
        <w:gridCol w:w="7668"/>
      </w:tblGrid>
      <w:tr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05067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0506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Before load: two-instance baseline.</w:t>
            </w:r>
          </w:p>
        </w:tc>
        <w:tc>
          <w:tcPr>
            <w:tcW w:type="dxa" w:w="7272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59" cy="122579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59" cy="1225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475569"/>
                <w:sz w:val="17"/>
              </w:rPr>
              <w:t>Under sustained CPU load: the ASG scales out toward maximum capacity.</w:t>
            </w:r>
          </w:p>
        </w:tc>
      </w:tr>
    </w:tbl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778240" cy="20767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07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80"/>
        <w:jc w:val="center"/>
      </w:pPr>
      <w:r>
        <w:rPr>
          <w:i/>
          <w:color w:val="475569"/>
          <w:sz w:val="18"/>
        </w:rPr>
        <w:t>After load ends: capacity scales back in toward the minimum baseline.</w:t>
      </w:r>
    </w:p>
    <w:p>
      <w:pPr>
        <w:pStyle w:val="Heading1"/>
        <w:pageBreakBefore/>
        <w:spacing w:after="60"/>
      </w:pPr>
      <w:r>
        <w:t>13. Evidence Index &amp; Portfolio Notes</w:t>
      </w:r>
    </w:p>
    <w:p>
      <w:pPr>
        <w:spacing w:after="140"/>
      </w:pPr>
      <w:r>
        <w:rPr>
          <w:color w:val="64748B"/>
          <w:sz w:val="21"/>
        </w:rPr>
        <w:t>This page summarizes what is already proven by the captured screenshots and identifies only the optional additions that would strengthen a public portfolio.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5112"/>
            <w:shd w:fill="0F172A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12"/>
            <w:shd w:fill="0F172A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VPC segmentation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Subnets and tier separation are visible.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Public / private routing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IGW, NAT, and private route behavior are documented.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Security groups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ALB → App → DB chaining is shown.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Private EC2 management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IAM role and Session Manager-based workflow are documented.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Private RDS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RDS details show Publicly accessible: No and DB subnet group.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Parameter Store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SecureString password and IAM access are documented.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Golden AMI / Launch Template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Reusable compute baseline and launch configuration are shown.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ALB path routing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Three target groups and listener rules are shown.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Self-healing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Termination and automatic replacement are documented.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Load balancing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Distinct EC2 and container IDs are visible across repeated ALB requests.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Dynamic scaling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ECFDF5"/>
          </w:tcPr>
          <w:p>
            <w:r>
              <w:rPr>
                <w:b/>
                <w:color w:val="166534"/>
                <w:sz w:val="16"/>
              </w:rPr>
              <w:t>Captured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Policy plus before / scale-out / scale-in states are documented.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Target group health after ASG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FF7ED"/>
          </w:tcPr>
          <w:p>
            <w:r>
              <w:rPr>
                <w:b/>
                <w:color w:val="B45309"/>
                <w:sz w:val="16"/>
              </w:rPr>
              <w:t>Optional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One screenshot showing 2 healthy ASG targets in each target group would be useful but is not required.</w:t>
            </w:r>
          </w:p>
        </w:tc>
      </w:tr>
      <w:tr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ASG Activity history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FF7ED"/>
          </w:tcPr>
          <w:p>
            <w:r>
              <w:rPr>
                <w:b/>
                <w:color w:val="B45309"/>
                <w:sz w:val="16"/>
              </w:rPr>
              <w:t>Optional</w:t>
            </w:r>
          </w:p>
        </w:tc>
        <w:tc>
          <w:tcPr>
            <w:tcW w:type="dxa" w:w="511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r>
              <w:rPr>
                <w:sz w:val="16"/>
              </w:rPr>
              <w:t>A single Activity screenshot showing a scale-out and scale-in event would make the scaling evidence even stronger.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AWS lab deployment evidence • us-east-1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TriageDesk  |  AWS Infrastructure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