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color w:val="333333"/>
          <w:sz w:val="32"/>
          <w:szCs w:val="32"/>
        </w:rPr>
        <w:t xml:space="preserve">Establish a clear organizational structure for all departments</w:t>
      </w:r>
    </w:p>
    <w:p>
      <w:pPr>
        <w:spacing w:after="240"/>
        <w:jc w:val="center"/>
      </w:pPr>
      <w:r>
        <w:rPr>
          <w:b/>
          <w:bCs/>
          <w:color w:val="868164"/>
          <w:sz w:val="26"/>
          <w:szCs w:val="26"/>
        </w:rPr>
        <w:t xml:space="preserve">RK Organizational Chart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126"/>
      </w:tblGrid>
      <w:tr>
        <w:trPr>
          <w:tblHeader/>
        </w:trP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8681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8681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8681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Founder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Dr. Rashid Al Kaitoob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CEO, General Manager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Dr. Mahmoud Awad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Deputy General Manager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Abdullah Al Ali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Business Development and International Relations Manager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Dr. Ward Shueibi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Finance, HR and Audit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Aaya Morgan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Account Officer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Erica Cornes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Legal Consultant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Dr. Mahmoud Abdulmonaem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Legal Consultant AND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Hossam Saad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Legal Researcher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Shriff Arafa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Legal Researcher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Riham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Legal Operations Manager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Eiad Esber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Account Manager and Follow-up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Jamil Kabbani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IT and FinTech Manager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Omar Al Ali</w:t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S&amp;M Manager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BD Assistant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</w:t>
            </w:r>
          </w:p>
        </w:tc>
        <w:tc>
          <w:tcPr>
            <w:tcW w:type="dxa" w:w="5000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BD Sales</w:t>
            </w:r>
          </w:p>
        </w:tc>
        <w:tc>
          <w:tcPr>
            <w:tcW w:type="dxa" w:w="3126"/>
            <w:tcBorders>
              <w:top w:val="single" w:color="BFBCAD" w:sz="4"/>
              <w:left w:val="single" w:color="BFBCAD" w:sz="4"/>
              <w:bottom w:val="single" w:color="BFBCAD" w:sz="4"/>
              <w:right w:val="single" w:color="BFBCAD" w:sz="4"/>
            </w:tcBorders>
            <w:shd w:fill="F2F1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68164"/>
        <w:sz w:val="16"/>
        <w:szCs w:val="16"/>
      </w:rPr>
      <w:t xml:space="preserve">Rashid Alkaitoob Advocates &amp; Legal Consultants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68164" w:sz="6" w:space="6"/>
      </w:pBdr>
      <w:jc w:val="right"/>
    </w:pPr>
    <w:r>
      <w:drawing>
        <wp:inline distT="0" distB="0" distL="0" distR="0">
          <wp:extent cx="2286000" cy="476250"/>
          <wp:effectExtent t="0" r="0" b="0" l="0"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dec92374f0b4fe95e921381fd7473dd96d5db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2026-10-23T12:51:27.823Z</dcterms:created>
  <dcterms:modified xsi:type="dcterms:W3CDTF">2026-10-23T12:51:27.823Z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