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20"/>
      </w:pPr>
      <w:r>
        <w:t xml:space="preserve">Выбор бизнеса в Узбекистане</w:t>
      </w:r>
    </w:p>
    <w:p>
      <w:pPr>
        <w:spacing w:after="140"/>
        <w:jc w:val="both"/>
      </w:pPr>
      <w:r>
        <w:t xml:space="preserve">Отчёт по итогам отбора из 903 идей. Сентябрь 2026 года.</w:t>
      </w:r>
    </w:p>
    <w:p>
      <w:pPr>
        <w:pStyle w:val="Heading2"/>
        <w:spacing w:after="120" w:before="260"/>
      </w:pPr>
      <w:r>
        <w:t xml:space="preserve">Короткий ответ</w:t>
      </w:r>
    </w:p>
    <w:p>
      <w:pPr>
        <w:spacing w:after="140"/>
        <w:jc w:val="both"/>
      </w:pPr>
      <w:r>
        <w:rPr>
          <w:b/>
          <w:bCs/>
        </w:rPr>
        <w:t xml:space="preserve">Брокер проектного финансирования для застройщиков под эскроу.</w:t>
      </w:r>
      <w:r>
        <w:t xml:space="preserve"> Это единственная идея, которая осталась наверху после всех проверок и во всех сценариях.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Если вы </w:t>
      </w:r>
      <w:r>
        <w:rPr>
          <w:b/>
          <w:bCs/>
        </w:rPr>
        <w:t xml:space="preserve">остаётесь в найме</w:t>
      </w:r>
      <w:r>
        <w:t xml:space="preserve">: ожидаемый NPV 1 914 тыс. $, вероятность дожить до пятого года 61%, вероятность выйти в плюс 53%.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Если вы </w:t>
      </w:r>
      <w:r>
        <w:rPr>
          <w:b/>
          <w:bCs/>
        </w:rPr>
        <w:t xml:space="preserve">уходите</w:t>
      </w:r>
      <w:r>
        <w:t xml:space="preserve"> и вычитаете себе зарплату 4 000 $ в месяц: ожидаемый NPV 1 537 тыс. $, выживаемость 33%.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При жёсткой барьерной ставке 28% годовых идея всё равно даёт 849 тыс. $ в сценарии с уходом.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Капитал почти не нужен: медиана вложений около 20 тыс. $, первая выручка на третий месяц.</w:t>
      </w:r>
    </w:p>
    <w:p>
      <w:pPr>
        <w:spacing w:after="140"/>
        <w:jc w:val="both"/>
      </w:pPr>
      <w:r>
        <w:t xml:space="preserve">За ней идут ещё две услуги того же типа — </w:t>
      </w:r>
      <w:r>
        <w:rPr>
          <w:b/>
          <w:bCs/>
        </w:rPr>
        <w:t xml:space="preserve">банковский стройнадзор</w:t>
      </w:r>
      <w:r>
        <w:t xml:space="preserve"> и </w:t>
      </w:r>
      <w:r>
        <w:rPr>
          <w:b/>
          <w:bCs/>
        </w:rPr>
        <w:t xml:space="preserve">sell-side advisory по приватизации</w:t>
      </w:r>
      <w:r>
        <w:t xml:space="preserve">. Обе положительны в обоих сценариях занятости.</w:t>
      </w:r>
    </w:p>
    <w:p>
      <w:pPr>
        <w:spacing w:after="140"/>
        <w:jc w:val="both"/>
      </w:pPr>
      <w:r>
        <w:rPr>
          <w:b/>
          <w:bCs/>
        </w:rPr>
        <w:t xml:space="preserve">Чего делать не стоит на ваши 150 тыс. $ собственных денег.</w:t>
      </w:r>
      <w:r>
        <w:t xml:space="preserve"> Все четыре капиталоёмкие идеи финала — солнечная генерация по PPA, роллап частных вузов, весогабаритный контроль, склад лабораторного оборудования — в симуляции не выживают. Причины у них разные, и это важно: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Склад лабораторного оборудования под GMP</w:t>
      </w:r>
      <w:r>
        <w:t xml:space="preserve"> упирается именно в ваш капитал: при 150 тыс. $ выживаемость 0%, при 300 тыс. $ уже 8%, при 600 тыс. $ — 41%. Это оборотный бизнес (склад плюс отсрочка 70 дней), которому ваших денег физически мало. С соинвестором на оборотку идея оживает.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Солнце, вузы и весогабаритный контроль</w:t>
      </w:r>
      <w:r>
        <w:t xml:space="preserve"> ведут себя наоборот: чем больше денег, тем больше убыток (солнце: −148 тыс. $ при 150 тыс. вложений, −541 тыс. $ при 600 тыс.). Здесь дело не в капитале — в этой конфигурации они не отбивают стоимость капитала за пять лет.</w:t>
      </w:r>
    </w:p>
    <w:p>
      <w:pPr>
        <w:pStyle w:val="Heading2"/>
        <w:spacing w:after="120" w:before="260"/>
      </w:pPr>
      <w:r>
        <w:t xml:space="preserve">Что изменилось по сравнению с прошлым разом</w:t>
      </w:r>
    </w:p>
    <w:p>
      <w:pPr>
        <w:spacing w:after="140"/>
        <w:jc w:val="both"/>
      </w:pPr>
      <w:r>
        <w:t xml:space="preserve">В прошлый раз вывод был «ни один кандидат не бьёт барьер после вычета зарплаты». Этот вывод был </w:t>
      </w:r>
      <w:r>
        <w:rPr>
          <w:b/>
          <w:bCs/>
        </w:rPr>
        <w:t xml:space="preserve">неверен, и неверен по моей вине</w:t>
      </w:r>
      <w:r>
        <w:t xml:space="preserve">. Две ошибки: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Барьерная ставка.</w:t>
      </w:r>
      <w:r>
        <w:t xml:space="preserve"> Я применял 19,7% — ставку по сумовому депозиту — к долларовым потокам при допущении, что сум не слабеет. Это безрисковые 19,7% в долларах, то есть арбитраж, которого не бывает. Правильная база — 12,7%; 19,7% и 28% оставлены как стресс.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Сценарий с уходом из найма.</w:t>
      </w:r>
      <w:r>
        <w:t xml:space="preserve"> Я вычитал зарплату 4 000 $, но не увеличивал вашу рабочую ёмкость. Это человек, который потерял зарплату и всё равно работает на полставки — такого не бывает. Теперь два сценария считаются раздельно: в найме зарплата не вычитается, но ёмкость частичная; при уходе зарплата вычитается, а ёмкость умножается на 2,6.</w:t>
      </w:r>
    </w:p>
    <w:p>
      <w:pPr>
        <w:pStyle w:val="Heading2"/>
        <w:spacing w:after="120" w:before="260"/>
      </w:pPr>
      <w:r>
        <w:t xml:space="preserve">Как отбирали</w:t>
      </w:r>
    </w:p>
    <w:p>
      <w:pPr>
        <w:spacing w:after="140"/>
        <w:jc w:val="both"/>
      </w:pPr>
      <w:r>
        <w:rPr>
          <w:b/>
          <w:bCs/>
        </w:rPr>
        <w:t xml:space="preserve">903 идеи.</w:t>
      </w:r>
      <w:r>
        <w:t xml:space="preserve"> 103 из первого круга, 414 из второго (метод «механизм ценности x триггер», 195 ячеек сетки), 386 из вашего файла.</w:t>
      </w:r>
    </w:p>
    <w:p>
      <w:pPr>
        <w:spacing w:after="140"/>
        <w:jc w:val="both"/>
      </w:pPr>
      <w:r>
        <w:rPr>
          <w:b/>
          <w:bCs/>
        </w:rPr>
        <w:t xml:space="preserve">Ярус 1 — экран.</w:t>
      </w:r>
      <w:r>
        <w:t xml:space="preserve"> Все 903 по 14 критериям, две оси: привлекательность рынка 70%, ваша позиция 30%. Веса зафиксированы до начала оценки.</w:t>
      </w:r>
    </w:p>
    <w:p>
      <w:pPr>
        <w:spacing w:after="140"/>
        <w:jc w:val="both"/>
      </w:pPr>
      <w:r>
        <w:rPr>
          <w:b/>
          <w:bCs/>
        </w:rPr>
        <w:t xml:space="preserve">Ярус 2.5 — снятие смещения.</w:t>
      </w:r>
      <w:r>
        <w:t xml:space="preserve"> Ваши идеи пришли в другом формате, без полей «окно» и «кто платит», и оценщики ставили им середину шкалы. Разрыв по критерию «окно» составил 3,12 балла, и ни одна ваша идея не попала в топ-50. Это был дефект данных, а не идей. 72 ваши идеи, способные при лучшем исходе войти в топ-60, переоценены по результатам ресёрча. Проверка, что это не накрутка: </w:t>
      </w:r>
      <w:r>
        <w:rPr>
          <w:b/>
          <w:bCs/>
        </w:rPr>
        <w:t xml:space="preserve">у 19 из 72 итог снизился</w:t>
      </w:r>
      <w:r>
        <w:t xml:space="preserve">, а в топ-60 вошли всего 4. Ваши идеи действительно слабее по осям рынка — но теперь этот вывод стоит на проверенных фактах, а не на пустой колонке.</w:t>
      </w:r>
    </w:p>
    <w:p>
      <w:pPr>
        <w:spacing w:after="140"/>
        <w:jc w:val="both"/>
      </w:pPr>
      <w:r>
        <w:rPr>
          <w:b/>
          <w:bCs/>
        </w:rPr>
        <w:t xml:space="preserve">Ярус 3 — глубина.</w:t>
      </w:r>
      <w:r>
        <w:t xml:space="preserve"> Топ-45 оценивали два независимых агента, расхождения разбирал третий. Обязательное условие: вебпроверка конкурентов ДО того, как идея попадёт наверх.</w:t>
      </w:r>
    </w:p>
    <w:p>
      <w:pPr>
        <w:spacing w:after="140"/>
        <w:jc w:val="both"/>
      </w:pPr>
      <w:r>
        <w:rPr>
          <w:b/>
          <w:bCs/>
        </w:rPr>
        <w:t xml:space="preserve">Ярус 4 — Монте-Карло.</w:t>
      </w:r>
      <w:r>
        <w:t xml:space="preserve"> 20 000 путей на прогон, 60 месяцев, 48 прогонов — 960 тысяч траекторий. Учтены насыщение рынка, отток, рост стоимости привлечения, узбекские налоги, оборотный капитал, лимит вашего капитала, скорость найма, вход конкурента, право закрыться и курс.</w:t>
      </w:r>
    </w:p>
    <w:p>
      <w:pPr>
        <w:pStyle w:val="Heading2"/>
        <w:spacing w:after="120" w:before="260"/>
      </w:pPr>
      <w:r>
        <w:t xml:space="preserve">Что дала вебпроверка конкурентов</w:t>
      </w:r>
    </w:p>
    <w:p>
      <w:pPr>
        <w:spacing w:after="140"/>
        <w:jc w:val="both"/>
      </w:pPr>
      <w:r>
        <w:rPr>
          <w:b/>
          <w:bCs/>
        </w:rPr>
        <w:t xml:space="preserve">В 33 случаях из 45 нашёлся игрок или норма, которых в описании идеи не было.</w:t>
      </w:r>
      <w:r>
        <w:t xml:space="preserve"> Это главный результат третьего яруса: ранговая корреляция экрана и глубины всего 0,35, из первой десятки сменились 6 имён. Проверка меняет ответ, а не украшает его.</w:t>
      </w:r>
    </w:p>
    <w:p>
      <w:pPr>
        <w:spacing w:after="140"/>
        <w:jc w:val="both"/>
      </w:pPr>
      <w:r>
        <w:t xml:space="preserve">Самые тяжёлые опровержения: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Исламский лизинг агротехники</w:t>
      </w:r>
      <w:r>
        <w:t xml:space="preserve"> был в топ-5. Taiba Leasing работает с 2021 года и делает ровно иджару для агробизнеса. Место 38 из 45.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Факторинг госдебиторки</w:t>
      </w:r>
      <w:r>
        <w:t xml:space="preserve">: действующие правила прямо запрещают факторинг требований к бюджетным организациям — то есть предмет идеи запрещён. Место 43.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Земельный арбитраж</w:t>
      </w:r>
      <w:r>
        <w:t xml:space="preserve">: с 09.09.2026 государство само запускает «готовый пакет» — выставляет непроданные участки уже с техусловиями и разрешениями, то есть делает ту работу, за которую идея собиралась брать премию 40-80%. Последнее место.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Sell-side по приватизации</w:t>
      </w:r>
      <w:r>
        <w:t xml:space="preserve">: мандаты по крупнейшим лотам уже розданы — Rothschild &amp; Co, KPMG, Deloitte. Идея осталась в финале, но с рынком среднего эшелона.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Кластер банковского стройнадзора</w:t>
      </w:r>
      <w:r>
        <w:t xml:space="preserve"> опровергается третий раз подряд: профессия регулируется ПКМ N321 от 20.05.2021, Quality Control System и stroycontrol.uz уже работают, Ipoteka Bank сам продаёт проектное финансирование с эскроу, готовится госплатформа Uy-joy.</w:t>
      </w:r>
    </w:p>
    <w:p>
      <w:pPr>
        <w:pStyle w:val="Heading2"/>
        <w:spacing w:after="120" w:before="260"/>
      </w:pPr>
      <w:r>
        <w:t xml:space="preserve">Моя собственная ошибка, которую стоит знать</w:t>
      </w:r>
    </w:p>
    <w:p>
      <w:pPr>
        <w:spacing w:after="140"/>
        <w:jc w:val="both"/>
      </w:pPr>
      <w:r>
        <w:t xml:space="preserve">Идея «шариатский аудит и шариатские советы» вышла на </w:t>
      </w:r>
      <w:r>
        <w:rPr>
          <w:b/>
          <w:bCs/>
        </w:rPr>
        <w:t xml:space="preserve">третье место</w:t>
      </w:r>
      <w:r>
        <w:t xml:space="preserve"> третьего яруса с оценкой «ваш сертификат AAOIFI — ровно то, что требует закон». Это неверно, и я это уже знал.</w:t>
      </w:r>
    </w:p>
    <w:p>
      <w:pPr>
        <w:spacing w:after="140"/>
        <w:jc w:val="both"/>
      </w:pPr>
      <w:r>
        <w:t xml:space="preserve">Приказ ЦБ, зарегистрированный Минюстом 17.07.2026, требует, чтобы минимум </w:t>
      </w:r>
      <w:r>
        <w:rPr>
          <w:b/>
          <w:bCs/>
        </w:rPr>
        <w:t xml:space="preserve">трое</w:t>
      </w:r>
      <w:r>
        <w:t xml:space="preserve"> из пяти членов шариатского совета имели высшее </w:t>
      </w:r>
      <w:r>
        <w:rPr>
          <w:b/>
          <w:bCs/>
        </w:rPr>
        <w:t xml:space="preserve">исламоведческое</w:t>
      </w:r>
      <w:r>
        <w:t xml:space="preserve"> образование, 5 лет практики шариатского права и арабский язык. AAOIFI — требование поверх этого, а не замена. Ваша квалификация финансовая, поэтому три обязательных кресла вам недоступны — остаётся четвёртое или пятое, которое экономный банк не создаёт. Дефицитный ресурс здесь не финансист с AAOIFI, а улем с дипломом исламоведа.</w:t>
      </w:r>
    </w:p>
    <w:p>
      <w:pPr>
        <w:spacing w:after="140"/>
        <w:jc w:val="both"/>
      </w:pPr>
      <w:r>
        <w:t xml:space="preserve">Я нашёл этот факт в прошлом круге критики, но записал его только в рабочий журнал и </w:t>
      </w:r>
      <w:r>
        <w:rPr>
          <w:b/>
          <w:bCs/>
        </w:rPr>
        <w:t xml:space="preserve">не перенёс в базу фактов, которую читают оценщики</w:t>
      </w:r>
      <w:r>
        <w:t xml:space="preserve">. Знание одного круга не дошло до следующего. После внесения факта идея опустилась с 3-го места на 40-е.</w:t>
      </w:r>
    </w:p>
    <w:p>
      <w:pPr>
        <w:spacing w:after="140"/>
        <w:jc w:val="both"/>
      </w:pPr>
      <w:r>
        <w:t xml:space="preserve">Побочный результат этой проверки полезен сам по себе: для </w:t>
      </w:r>
      <w:r>
        <w:rPr>
          <w:b/>
          <w:bCs/>
        </w:rPr>
        <w:t xml:space="preserve">микрофинансовых и лизинговых</w:t>
      </w:r>
      <w:r>
        <w:t xml:space="preserve"> организаций действует отдельное Положение ЦБ N3536 от 26.07.2024 — там совет может быть передан на аутсорсинг, и только один член обязан иметь исламоведческое образование. В небанковском сегменте ваш AAOIFI CPSS годится. Но сегмент мелкий, и норме уже два года.</w:t>
      </w:r>
    </w:p>
    <w:p>
      <w:pPr>
        <w:pStyle w:val="Heading2"/>
        <w:spacing w:after="120" w:before="260"/>
      </w:pPr>
      <w:r>
        <w:t xml:space="preserve">Ошибки в модели, найденные и исправленные</w:t>
      </w:r>
    </w:p>
    <w:p>
      <w:pPr>
        <w:spacing w:after="140"/>
        <w:jc w:val="both"/>
      </w:pPr>
      <w:r>
        <w:t xml:space="preserve">Всего 12. Девять были найдены в прошлый раз, три — сейчас, при прогоне финалистов.</w:t>
      </w:r>
    </w:p>
    <w:p>
      <w:pPr>
        <w:spacing w:after="140"/>
        <w:jc w:val="both"/>
      </w:pPr>
      <w:r>
        <w:t xml:space="preserve">Первый прогон дал </w:t>
      </w:r>
      <w:r>
        <w:rPr>
          <w:b/>
          <w:bCs/>
        </w:rPr>
        <w:t xml:space="preserve">ровно 0% выживаемости у пяти капиталоёмких идей из восьми</w:t>
      </w:r>
      <w:r>
        <w:t xml:space="preserve">. Ноль в пяти разных отраслях — это признак механического убийства, а не экономики. Разбор: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Не было соинвестора в капитале.</w:t>
      </w:r>
      <w:r>
        <w:t xml:space="preserve"> Модель считала, что вы владеете 100% и ограничены 150 тыс. $, поэтому проект на 500 тыс. $ собственного капитала просто недофинансировался и умирал. Вы прямо сказали, что умеете привлекать партнёров. Теперь проект финансируется полностью, а вы размываетесь до доли, которую покупают ваши деньги: бридж 58%, солнце 31%, весогабаритный контроль 32%, роллап вузов 8%.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Не было резерва на обслуживание долга.</w:t>
      </w:r>
      <w:r>
        <w:t xml:space="preserve"> Аннуитет 24-28 тыс. $ в месяц съедал префанд, рассчитанный только на операционные расходы. В проектном финансировании резерв на шесть месяцев платежей формируется при закрытии сделки и финансируется самой кредитной линией.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Самая тяжёлая: капитал стройки раздавался вам дивидендом в первый же месяц.</w:t>
      </w:r>
      <w:r>
        <w:t xml:space="preserve"> Буфер кассы считался как три месяца текущих расходов, а у стройки до запуска расходы копеечные — поэтому весь строительный капитал признавался «избытком денег» и выплачивался владельцу, после чего проект умирал, не начав строиться. Именно это давало нули. После исправления доля путей, дошедших до выручки, выросла с 0% до 90%.</w:t>
      </w:r>
    </w:p>
    <w:p>
      <w:pPr>
        <w:pStyle w:val="Heading2"/>
        <w:spacing w:after="120" w:before="260"/>
      </w:pPr>
      <w:r>
        <w:t xml:space="preserve">Где эта работа слабая</w:t>
      </w:r>
    </w:p>
    <w:p>
      <w:pPr>
        <w:spacing w:after="140"/>
        <w:jc w:val="both"/>
      </w:pPr>
      <w:r>
        <w:rPr>
          <w:b/>
          <w:bCs/>
        </w:rPr>
        <w:t xml:space="preserve">Внешний критик не сработал.</w:t>
      </w:r>
      <w:r>
        <w:t xml:space="preserve"> Meta Muse недоступен: сетевая политика среды отклоняет соединение с api.meta.ai на уровне установления туннеля — 403 за 0,24 секунды, до того как уходит сам запрос. Ни ключ, ни модель, ни путь не успевают дойти до Meta. Роль критика исполняли субагенты той же модели, что и я, — у них мои слепые зоны. Это не закрыто, и на это стоит делать скидку.</w:t>
      </w:r>
    </w:p>
    <w:p>
      <w:pPr>
        <w:spacing w:after="140"/>
        <w:jc w:val="both"/>
      </w:pPr>
      <w:r>
        <w:rPr>
          <w:b/>
          <w:bCs/>
        </w:rPr>
        <w:t xml:space="preserve">Первоисточники недоступны.</w:t>
      </w:r>
      <w:r>
        <w:t xml:space="preserve"> lex.uz, imf.org, gazeta.uz блокируются на уровне выборки страниц; работал только поиск. Часть фактов подтверждена по публикациям, а не по тексту акта, — такие пометки есть в базе фактов.</w:t>
      </w:r>
    </w:p>
    <w:p>
      <w:pPr>
        <w:spacing w:after="140"/>
        <w:jc w:val="both"/>
      </w:pPr>
      <w:r>
        <w:rPr>
          <w:b/>
          <w:bCs/>
        </w:rPr>
        <w:t xml:space="preserve">Горизонт 60 месяцев короток</w:t>
      </w:r>
      <w:r>
        <w:t xml:space="preserve"> для актива с PPA на 15 лет и концессией на 20 лет. Терминальная стоимость это частично ловит, но при низкой выживаемости она редко реализуется. Оценки капиталоёмких идей — нижняя граница.</w:t>
      </w:r>
    </w:p>
    <w:p>
      <w:pPr>
        <w:spacing w:after="140"/>
        <w:jc w:val="both"/>
      </w:pPr>
      <w:r>
        <w:rPr>
          <w:b/>
          <w:bCs/>
        </w:rPr>
        <w:t xml:space="preserve">Компенсаторное усреднение.</w:t>
      </w:r>
      <w:r>
        <w:t xml:space="preserve"> Взвешивание 14 критериев сжимает итоги: сильная сторона маскирует фатальную слабость. Поэтому в третьем ярусе рядом с итогом стоят отдельные столбцы «выход», «скорость» и «стиль» — смотрите их, а не только средний балл.</w:t>
      </w:r>
    </w:p>
    <w:p>
      <w:pPr>
        <w:pStyle w:val="Heading2"/>
        <w:spacing w:after="120" w:before="260"/>
      </w:pPr>
      <w:r>
        <w:t xml:space="preserve">Что делать дальше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Проверить брокера проектного финансирования полевым способом, а не расчётом.</w:t>
      </w:r>
      <w:r>
        <w:t xml:space="preserve"> Поговорите с двумя-тремя застройщиками, которые уже перешли на эскроу, и с кредитным комитетом Kapitalbank. Ключевой вопрос: платит ли застройщик за подготовку пакета в банк или банк делает это сам. От ответа зависит вся идея.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Учесть, что окно конечное.</w:t>
      </w:r>
      <w:r>
        <w:t xml:space="preserve"> Минстрой с ЦБ отправляет сотрудников банков на стажировки по проектному финансированию. Банки строят свою компетенцию, поэтому окно посредника закроется. Это аргумент начинать быстро, а не аргумент против.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Если хочется актив с выходом, а не практику</w:t>
      </w:r>
      <w:r>
        <w:t xml:space="preserve"> — вернуться к складу лабораторного оборудования под GMP, но с соинвестором на оборотный капитал: это единственная идея финала, где ограничением оказались именно ваши деньги, а не экономика.</w:t>
      </w:r>
    </w:p>
    <w:p>
      <w:r>
        <w:br w:type="page"/>
      </w:r>
    </w:p>
    <w:p>
      <w:pPr>
        <w:pStyle w:val="Heading1"/>
        <w:spacing w:after="120" w:before="320"/>
      </w:pPr>
      <w:r>
        <w:t xml:space="preserve">Методология</w:t>
      </w:r>
    </w:p>
    <w:p>
      <w:pPr>
        <w:pStyle w:val="Heading2"/>
        <w:spacing w:after="120" w:before="260"/>
      </w:pPr>
      <w:r>
        <w:t xml:space="preserve">Почему такой порядок работы</w:t>
      </w:r>
    </w:p>
    <w:p>
      <w:pPr>
        <w:spacing w:after="140"/>
        <w:jc w:val="both"/>
      </w:pPr>
      <w:r>
        <w:t xml:space="preserve">Идеи подбирались </w:t>
      </w:r>
      <w:r>
        <w:rPr>
          <w:b/>
          <w:bCs/>
        </w:rPr>
        <w:t xml:space="preserve">под рынок, а не под вас</w:t>
      </w:r>
      <w:r>
        <w:t xml:space="preserve">. На первом этапе ваш профиль намеренно не использовался как фильтр: соответствие основателю входит только вторым, отдельной осью скоринга с весом 30%. Это защита от типовой ошибки — подгонки списка идей под собственные навыки и получения на выходе того, с чем и так знаком.</w:t>
      </w:r>
    </w:p>
    <w:p>
      <w:pPr>
        <w:pStyle w:val="Heading2"/>
        <w:spacing w:after="120" w:before="260"/>
      </w:pPr>
      <w:r>
        <w:t xml:space="preserve">Три положительных фильтра на входе</w:t>
      </w:r>
    </w:p>
    <w:p>
      <w:pPr>
        <w:spacing w:after="140"/>
        <w:jc w:val="both"/>
      </w:pPr>
      <w:r>
        <w:t xml:space="preserve">Идея попадала в реестр, только если проходила все три: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Доказанный аналог</w:t>
      </w:r>
      <w:r>
        <w:t xml:space="preserve"> — модель уже работает на сопоставимом рынке, с названием</w:t>
      </w:r>
    </w:p>
    <w:p>
      <w:pPr>
        <w:spacing w:after="140"/>
        <w:jc w:val="both"/>
      </w:pPr>
      <w:r>
        <w:t xml:space="preserve">компании, страной и результатом.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Структурное окно в РУз</w:t>
      </w:r>
      <w:r>
        <w:t xml:space="preserve"> — конкретная реформа, закон, приток капитала, сдвиг спроса</w:t>
      </w:r>
    </w:p>
    <w:p>
      <w:pPr>
        <w:spacing w:after="140"/>
        <w:jc w:val="both"/>
      </w:pPr>
      <w:r>
        <w:t xml:space="preserve">или дефицит мощности с реквизитами документа или измеримым фактом. Формулировки «рынок растёт», «население молодое», «идёт цифровизация» окном не считались.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Логическая посадка на условия страны</w:t>
      </w:r>
      <w:r>
        <w:t xml:space="preserve"> — платёжеспособность, кадры, инфраструктура,</w:t>
      </w:r>
    </w:p>
    <w:p>
      <w:pPr>
        <w:spacing w:after="140"/>
        <w:jc w:val="both"/>
      </w:pPr>
      <w:r>
        <w:t xml:space="preserve">регулирование, язык, логистика, конвертация валюты.</w:t>
      </w:r>
    </w:p>
    <w:p>
      <w:pPr>
        <w:spacing w:after="140"/>
        <w:jc w:val="both"/>
      </w:pPr>
      <w:r>
        <w:t xml:space="preserve">К конкурентам применялась мягкая позиция: на развивающемся рынке пустая ниша бывает настоящей. Но по каждой идее назывались ближайшие игроки поимённо и заменители («что клиент делает вместо этого сейчас»), и объяснялся механизм, почему место свободно.</w:t>
      </w:r>
    </w:p>
    <w:p>
      <w:pPr>
        <w:pStyle w:val="Heading2"/>
        <w:spacing w:after="120" w:before="260"/>
      </w:pPr>
      <w:r>
        <w:t xml:space="preserve">Скоринг: гибрид GE-McKinsey</w:t>
      </w:r>
    </w:p>
    <w:p>
      <w:pPr>
        <w:spacing w:after="140"/>
        <w:jc w:val="both"/>
      </w:pPr>
      <w:r>
        <w:t xml:space="preserve">Две составные оси, матрица девяти клеток. Stage-Gate сознательно не применялся: он отсекает идеи последовательными воротами, а здесь нужно было сравнить весь набор на одной плоскости.</w:t>
      </w:r>
    </w:p>
    <w:p>
      <w:pPr>
        <w:spacing w:after="140"/>
        <w:jc w:val="both"/>
      </w:pPr>
      <w:r>
        <w:rPr>
          <w:b/>
          <w:bCs/>
        </w:rPr>
        <w:t xml:space="preserve">Веса зафиксированы ДО генерации идей и до присвоения любых баллов</w:t>
      </w:r>
      <w:r>
        <w:t xml:space="preserve"> (файл </w:t>
      </w:r>
      <w:r>
        <w:rPr>
          <w:rFonts w:ascii="Consolas" w:cs="Consolas" w:eastAsia="Consolas" w:hAnsi="Consolas"/>
          <w:sz w:val="19"/>
          <w:szCs w:val="19"/>
        </w:rPr>
        <w:t xml:space="preserve">work/state/02_weights_LOCKED.md</w:t>
      </w:r>
      <w:r>
        <w:t xml:space="preserve">, суммы по обеим осям равны 1.000). Это принципиально: подгонка весов после просмотра результатов превращает скоринг в оформление уже принятого решения.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Ось A — привлекательность рынка (70%)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Вес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Ось B — моя позиция (30%)</w:t>
            </w:r>
          </w:p>
        </w:tc>
        <w:tc>
          <w:tcPr>
            <w:tcW w:type="dxa" w:w="234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Вес</w:t>
            </w:r>
          </w:p>
        </w:tc>
      </w:tr>
      <w:tr>
        <w:trPr>
          <w:tblHeader w:val="false"/>
        </w:trPr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Экономика отрасли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24%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Скорость до первого дохода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Размер рынка снизу вверх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18%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Регуляторный доступ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16%</w:t>
            </w:r>
          </w:p>
        </w:tc>
      </w:tr>
      <w:tr>
        <w:trPr>
          <w:tblHeader w:val="false"/>
        </w:trPr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Окно «почему сейчас»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Финансовая экспертиза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Свободное место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Доступ к сделкам и капиталу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15%</w:t>
            </w:r>
          </w:p>
        </w:tc>
      </w:tr>
      <w:tr>
        <w:trPr>
          <w:tblHeader w:val="false"/>
        </w:trPr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Барьеры в нашу пользу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Отраслевой доступ (семья, друзья)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13%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Готовность платить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Команда закрывает продажи</w:t>
            </w:r>
          </w:p>
        </w:tc>
        <w:tc>
          <w:tcPr>
            <w:tcW w:type="dxa" w:w="23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12%</w:t>
            </w:r>
          </w:p>
        </w:tc>
      </w:tr>
      <w:tr>
        <w:trPr>
          <w:tblHeader w:val="false"/>
        </w:trPr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Потенциал выхода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8%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Соответствие стилю</w:t>
            </w:r>
          </w:p>
        </w:tc>
        <w:tc>
          <w:tcPr>
            <w:tcW w:type="dxa" w:w="2340"/>
            <w:shd w:fill="F2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 w:val="false"/>
                <w:bCs w:val="false"/>
                <w:sz w:val="19"/>
                <w:szCs w:val="19"/>
              </w:rPr>
              <w:t xml:space="preserve">9%</w:t>
            </w:r>
          </w:p>
        </w:tc>
      </w:tr>
    </w:tbl>
    <w:p>
      <w:pPr>
        <w:spacing w:after="160"/>
      </w:pPr>
    </w:p>
    <w:p>
      <w:pPr>
        <w:spacing w:after="140"/>
        <w:jc w:val="both"/>
      </w:pPr>
      <w:r>
        <w:t xml:space="preserve">Шкала 1–10. Каждая идея оценивалась </w:t>
      </w:r>
      <w:r>
        <w:rPr>
          <w:b/>
          <w:bCs/>
        </w:rPr>
        <w:t xml:space="preserve">в три независимых прохода</w:t>
      </w:r>
      <w:r>
        <w:t xml:space="preserve">: проход 1 «база», проход 2 «скептик» (ищет завышения), проход 3 «арбитр» (перечитывает свидетельства заново). Показывается не только среднее, но и </w:t>
      </w:r>
      <w:r>
        <w:rPr>
          <w:b/>
          <w:bCs/>
        </w:rPr>
        <w:t xml:space="preserve">разброс</w:t>
      </w:r>
      <w:r>
        <w:t xml:space="preserve"> — минимум, максимум, размах и стандартное отклонение по каждому критерию. Большой размах — сам по себе сигнал: он означает, что оценка держится на допущении, а не на факте.</w:t>
      </w:r>
    </w:p>
    <w:p>
      <w:pPr>
        <w:pStyle w:val="Heading2"/>
        <w:spacing w:after="120" w:before="260"/>
      </w:pPr>
      <w:r>
        <w:t xml:space="preserve">Симуляция</w:t>
      </w:r>
    </w:p>
    <w:p>
      <w:pPr>
        <w:spacing w:after="140"/>
        <w:jc w:val="both"/>
      </w:pPr>
      <w:r>
        <w:t xml:space="preserve">Помесячная модель на 60 месяцев, Монте-Карло на 20 000 прогонов (требовалось от 10 000). Учтены: воронка с насыщением рынка, отток, рост стоимости привлечения (и во времени, и по мере роста проникновения), налоги РУз, оборотный капитал, лимит вашего капитала $150 000, ограниченная скорость найма, вход конкурента и </w:t>
      </w:r>
      <w:r>
        <w:rPr>
          <w:b/>
          <w:bCs/>
        </w:rPr>
        <w:t xml:space="preserve">право закрыться</w:t>
      </w:r>
      <w:r>
        <w:t xml:space="preserve">.</w:t>
      </w:r>
    </w:p>
    <w:p>
      <w:pPr>
        <w:spacing w:after="140"/>
        <w:jc w:val="both"/>
      </w:pPr>
      <w:r>
        <w:t xml:space="preserve">Три момента, на которых модель обычно врёт и здесь сделана иначе:</w:t>
      </w:r>
    </w:p>
    <w:p>
      <w:pPr>
        <w:spacing w:after="140"/>
        <w:jc w:val="both"/>
      </w:pPr>
      <w:r>
        <w:rPr>
          <w:b/>
          <w:bCs/>
        </w:rPr>
        <w:t xml:space="preserve">Право закрыться — это актив, а не оговорка.</w:t>
      </w:r>
      <w:r>
        <w:t xml:space="preserve"> Возможность признать провал на 18-м месяце и остановить убытки обрезает левый хвост. Без этого опциона матожидание занижено.</w:t>
      </w:r>
    </w:p>
    <w:p>
      <w:pPr>
        <w:spacing w:after="140"/>
        <w:jc w:val="both"/>
      </w:pPr>
      <w:r>
        <w:rPr>
          <w:b/>
          <w:bCs/>
        </w:rPr>
        <w:t xml:space="preserve">Общий фактор качества рынка.</w:t>
      </w:r>
      <w:r>
        <w:t xml:space="preserve"> Параметры не разыгрываются независимо: плохой рынок одновременно даёт низкий чек, высокий отток и низкую конверсию. Независимый розыгрыш сглаживает хвосты и делает бизнес безопаснее, чем он есть.</w:t>
      </w:r>
    </w:p>
    <w:p>
      <w:pPr>
        <w:spacing w:after="140"/>
        <w:jc w:val="both"/>
      </w:pPr>
      <w:r>
        <w:rPr>
          <w:b/>
          <w:bCs/>
        </w:rPr>
        <w:t xml:space="preserve">Ставка дисконтирования равна альтернативной доходности, а не «ставке для стартапа».</w:t>
      </w:r>
      <w:r>
        <w:t xml:space="preserve"> Риск уже учтён в самом распределении исходов, включая провалы. Дисконтировать вдобавок по повышенной ставке — значит посчитать риск дважды. Барьер: </w:t>
      </w:r>
      <w:r>
        <w:rPr>
          <w:b/>
          <w:bCs/>
        </w:rPr>
        <w:t xml:space="preserve">19,7% сумового депозита при инфляции 6,2%</w:t>
      </w:r>
      <w:r>
        <w:t xml:space="preserve">, то есть около 12,7% реальной доходности без риска и без работы. Отдельным сценарием вычитается ваша альтернативная зарплата $4 000/мес.</w:t>
      </w:r>
    </w:p>
    <w:p>
      <w:pPr>
        <w:spacing w:after="140"/>
        <w:jc w:val="both"/>
      </w:pPr>
      <w:r>
        <w:t xml:space="preserve">Показывается </w:t>
      </w:r>
      <w:r>
        <w:rPr>
          <w:b/>
          <w:bCs/>
        </w:rPr>
        <w:t xml:space="preserve">ожидаемый NPV</w:t>
      </w:r>
      <w:r>
        <w:t xml:space="preserve"> (среднее по всем прогонам, включая провальные), а не только медиана, и отдельно — </w:t>
      </w:r>
      <w:r>
        <w:rPr>
          <w:b/>
          <w:bCs/>
        </w:rPr>
        <w:t xml:space="preserve">вероятность выживания</w:t>
      </w:r>
      <w:r>
        <w:t xml:space="preserve"> и </w:t>
      </w:r>
      <w:r>
        <w:rPr>
          <w:b/>
          <w:bCs/>
        </w:rPr>
        <w:t xml:space="preserve">отдача при условии выживания</w:t>
      </w:r>
      <w:r>
        <w:t xml:space="preserve">. Эти три числа отвечают на разные вопросы, и смешивать их нельзя.</w:t>
      </w:r>
    </w:p>
    <w:p>
      <w:pPr>
        <w:pStyle w:val="Heading2"/>
        <w:spacing w:after="120" w:before="260"/>
      </w:pPr>
      <w:r>
        <w:t xml:space="preserve">Честные ограничения этой работы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Первоисточники недоступны.</w:t>
      </w:r>
      <w:r>
        <w:t xml:space="preserve"> Сетевая политика среды блокирует прямое открытие</w:t>
      </w:r>
    </w:p>
    <w:p>
      <w:pPr>
        <w:spacing w:after="140"/>
        <w:jc w:val="both"/>
      </w:pPr>
      <w:r>
        <w:t xml:space="preserve">сайтов: </w:t>
      </w:r>
      <w:r>
        <w:rPr>
          <w:rFonts w:ascii="Consolas" w:cs="Consolas" w:eastAsia="Consolas" w:hAnsi="Consolas"/>
          <w:sz w:val="19"/>
          <w:szCs w:val="19"/>
        </w:rPr>
        <w:t xml:space="preserve">lex.uz</w:t>
      </w:r>
      <w:r>
        <w:t xml:space="preserve">, сайты ЦБ, НАПП, Uzpharm Control, отчёты МВФ и АБР открыть и процитировать дословно не удалось. Рабочим остался только веб-поиск, отдающий </w:t>
      </w:r>
      <w:r>
        <w:rPr>
          <w:b/>
          <w:bCs/>
        </w:rPr>
        <w:t xml:space="preserve">сводки</w:t>
      </w:r>
      <w:r>
        <w:t xml:space="preserve">, то есть вторичный источник. Поэтому каждый ключевой факт помечен уровнем достоверности [A]–[D], и перед вложением денег реквизиты и сроки обязаны быть сверены юристом по оригиналам документов.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Внешний критик заменён.</w:t>
      </w:r>
      <w:r>
        <w:t xml:space="preserve"> Meta Muse (</w:t>
      </w:r>
      <w:r>
        <w:rPr>
          <w:rFonts w:ascii="Consolas" w:cs="Consolas" w:eastAsia="Consolas" w:hAnsi="Consolas"/>
          <w:sz w:val="19"/>
          <w:szCs w:val="19"/>
        </w:rPr>
        <w:t xml:space="preserve">api.meta.ai</w:t>
      </w:r>
      <w:r>
        <w:t xml:space="preserve">) недоступен: блокировка на</w:t>
      </w:r>
    </w:p>
    <w:p>
      <w:pPr>
        <w:spacing w:after="140"/>
        <w:jc w:val="both"/>
      </w:pPr>
      <w:r>
        <w:t xml:space="preserve">уровне TCP-соединения, подтверждена двумя независимыми каналами. Роль внешнего критика исполнял отдельный состязательный субагент. Это </w:t>
      </w:r>
      <w:r>
        <w:rPr>
          <w:b/>
          <w:bCs/>
        </w:rPr>
        <w:t xml:space="preserve">слабее</w:t>
      </w:r>
      <w:r>
        <w:t xml:space="preserve"> внешней модели: критик не независим архитектурно и разделяет мои слепые зоны.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Полевых интервью не было.</w:t>
      </w:r>
      <w:r>
        <w:t xml:space="preserve"> Готовность платить оценивалась по аналогам и</w:t>
      </w:r>
    </w:p>
    <w:p>
      <w:pPr>
        <w:spacing w:after="140"/>
        <w:jc w:val="both"/>
      </w:pPr>
      <w:r>
        <w:t xml:space="preserve">косвенным признакам, а не по разговорам с покупателями. Это главный источник ошибки в оценке размера рынка снизу вверх.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2E4E8F"/>
      <w:sz w:val="23"/>
      <w:szCs w:val="23"/>
    </w:rPr>
  </w:style>
  <w:style w:type="paragraph" w:styleId="Heading4">
    <w:name w:val="Heading 4"/>
    <w:basedOn w:val="Normal"/>
    <w:next w:val="Normal"/>
    <w:qFormat/>
    <w:rPr>
      <w:rFonts w:ascii="Calibri" w:cs="Calibri" w:eastAsia="Calibri" w:hAnsi="Calibri"/>
      <w:b/>
      <w:bCs/>
      <w:color w:val="2E4E8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Какой бизнес строить в Узбекистане</dc:title>
  <dc:creator>Анализ рынка Узбекистана</dc:creator>
  <cp:lastModifiedBy>Un-named</cp:lastModifiedBy>
  <cp:revision>1</cp:revision>
  <dcterms:created xsi:type="dcterms:W3CDTF">2026-09-21T06:10:49.409Z</dcterms:created>
  <dcterms:modified xsi:type="dcterms:W3CDTF">2026-09-21T06:10:49.419Z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