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Startup Value Navigator - Master PRD</w:t>
      </w:r>
    </w:p>
    <w:p>
      <w:pPr>
        <w:jc w:val="center"/>
      </w:pPr>
      <w:r>
        <w:t xml:space="preserve">Document version 1.0 | November 25, 2025</w:t>
      </w:r>
    </w:p>
    <w:p>
      <w:pPr>
        <w:jc w:val="center"/>
      </w:pPr>
      <w:r>
        <w:t xml:space="preserve">Prepared by: Product Director, Growth Intelligence</w:t>
      </w:r>
    </w:p>
    <w:p/>
    <w:p>
      <w:pPr>
        <w:pStyle w:val="Heading1"/>
      </w:pPr>
      <w:r>
        <w:t xml:space="preserve">1. Executive summary</w:t>
      </w:r>
    </w:p>
    <w:p>
      <w:r>
        <w:t xml:space="preserve">Startup Value Navigator is a browser-native valuation console that blends financial metrics, qualitative signals, and market data to help founders, finance teams, and investors align on credible startup enterprise values.</w:t>
      </w:r>
    </w:p>
    <w:p>
      <w:r>
        <w:t xml:space="preserve">The current build already demonstrates a production-ready UI, deterministic heuristics, and strong browser support. This PRD codifies the scope, success criteria, and roadmap required to harden the experience for wide rollout while preserving backwards compatibility.</w:t>
      </w:r>
    </w:p>
    <w:p>
      <w:pPr>
        <w:pStyle w:val="Heading1"/>
      </w:pPr>
      <w:r>
        <w:t xml:space="preserve">2. Product vision and objectives</w:t>
      </w:r>
    </w:p>
    <w:p>
      <w:r>
        <w:t xml:space="preserve">Vision: Be the fastest way for modern operators to translate live operating metrics into investor-grade valuation narratives without needing bespoke analysts.</w:t>
      </w:r>
    </w:p>
    <w:p>
      <w:r>
        <w:t xml:space="preserve">Objectives:</w:t>
      </w:r>
    </w:p>
    <w:p>
      <w:pPr>
        <w:pStyle w:val="ListParagraph"/>
        <w:numPr>
          <w:ilvl w:val="0"/>
          <w:numId w:val="1"/>
        </w:numPr>
      </w:pPr>
      <w:r>
        <w:t xml:space="preserve">Deliver balanced valuations that stay within contemporary market bands for each funding stage.</w:t>
      </w:r>
    </w:p>
    <w:p>
      <w:pPr>
        <w:pStyle w:val="ListParagraph"/>
        <w:numPr>
          <w:ilvl w:val="0"/>
          <w:numId w:val="1"/>
        </w:numPr>
      </w:pPr>
      <w:r>
        <w:t xml:space="preserve">Offer an always-on cockpit that feels premium (black/blue neon aesthetic) yet loads instantly on commodity hardware.</w:t>
      </w:r>
    </w:p>
    <w:p>
      <w:pPr>
        <w:pStyle w:val="ListParagraph"/>
        <w:numPr>
          <w:ilvl w:val="0"/>
          <w:numId w:val="1"/>
        </w:numPr>
      </w:pPr>
      <w:r>
        <w:t xml:space="preserve">Guarantee backwards-compatible math and UI so teams can rely on the tool during high-stakes fundraising.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800"/>
        <w:gridCol w:w="6200"/>
        <w:gridCol w:w="2800"/>
      </w:tblGrid>
      <w:tr>
        <w:trPr>
          <w:tblHeader/>
        </w:trPr>
        <w:tc>
          <w:p>
            <w:r>
              <w:t xml:space="preserve">Metric</w:t>
            </w:r>
          </w:p>
        </w:tc>
        <w:tc>
          <w:p>
            <w:r>
              <w:t xml:space="preserve">Definition</w:t>
            </w:r>
          </w:p>
        </w:tc>
        <w:tc>
          <w:p>
            <w:r>
              <w:t xml:space="preserve">Target (H1 2026)</w:t>
            </w:r>
          </w:p>
        </w:tc>
      </w:tr>
      <w:tr>
        <w:tc>
          <w:p>
            <w:r>
              <w:t xml:space="preserve">Weekly active modeling sessions</w:t>
            </w:r>
          </w:p>
        </w:tc>
        <w:tc>
          <w:p>
            <w:r>
              <w:t xml:space="preserve">Distinct browser sessions that submit at least one valuation scenario.</w:t>
            </w:r>
          </w:p>
        </w:tc>
        <w:tc>
          <w:p>
            <w:r>
              <w:t xml:space="preserve">5,000+</w:t>
            </w:r>
          </w:p>
        </w:tc>
      </w:tr>
      <w:tr>
        <w:tc>
          <w:p>
            <w:r>
              <w:t xml:space="preserve">Median time-to-valuation</w:t>
            </w:r>
          </w:p>
        </w:tc>
        <w:tc>
          <w:p>
            <w:r>
              <w:t xml:space="preserve">Time from first input change to base scenario render on broadband.</w:t>
            </w:r>
          </w:p>
        </w:tc>
        <w:tc>
          <w:p>
            <w:r>
              <w:t xml:space="preserve">&lt; 2 seconds</w:t>
            </w:r>
          </w:p>
        </w:tc>
      </w:tr>
      <w:tr>
        <w:tc>
          <w:p>
            <w:r>
              <w:t xml:space="preserve">Confidence alignment score</w:t>
            </w:r>
          </w:p>
        </w:tc>
        <w:tc>
          <w:p>
            <w:r>
              <w:t xml:space="preserve">Percentage of users who rate outputs as "match" or better vs. benchmarks.</w:t>
            </w:r>
          </w:p>
        </w:tc>
        <w:tc>
          <w:p>
            <w:r>
              <w:t xml:space="preserve">70%+ via post-session survey</w:t>
            </w:r>
          </w:p>
        </w:tc>
      </w:tr>
      <w:tr>
        <w:tc>
          <w:p>
            <w:r>
              <w:t xml:space="preserve">Browser compatibility pass rate</w:t>
            </w:r>
          </w:p>
        </w:tc>
        <w:tc>
          <w:p>
            <w:r>
              <w:t xml:space="preserve">Automated smoke tests passing on Chromium, Safari, and Firefox matrices.</w:t>
            </w:r>
          </w:p>
        </w:tc>
        <w:tc>
          <w:p>
            <w:r>
              <w:t xml:space="preserve">99%+ for supported versions</w:t>
            </w:r>
          </w:p>
        </w:tc>
      </w:tr>
    </w:tbl>
    <w:p>
      <w:pPr>
        <w:pStyle w:val="Heading1"/>
      </w:pPr>
      <w:r>
        <w:t xml:space="preserve">3. Target personas</w:t>
      </w:r>
    </w:p>
    <w:p>
      <w:r>
        <w:t xml:space="preserve">Primary and secondary personas ensure the feature roadmap stays anchored to real operators.</w:t>
      </w:r>
    </w:p>
    <w:p>
      <w:pPr>
        <w:pStyle w:val="ListParagraph"/>
        <w:numPr>
          <w:ilvl w:val="0"/>
          <w:numId w:val="1"/>
        </w:numPr>
      </w:pPr>
      <w:r>
        <w:t xml:space="preserve">Founder/CEO: Wants directional valuations for narrative building ahead of fundraising or board updates; needs ability to highlight growth efficiency trade-offs.</w:t>
      </w:r>
    </w:p>
    <w:p>
      <w:pPr>
        <w:pStyle w:val="ListParagraph"/>
        <w:numPr>
          <w:ilvl w:val="0"/>
          <w:numId w:val="1"/>
        </w:numPr>
      </w:pPr>
      <w:r>
        <w:t xml:space="preserve">Finance or RevOps Lead: Responsible for internal planning and sensitivity analysis; needs deterministic formulas and exportable outputs for audits.</w:t>
      </w:r>
    </w:p>
    <w:p>
      <w:pPr>
        <w:pStyle w:val="ListParagraph"/>
        <w:numPr>
          <w:ilvl w:val="0"/>
          <w:numId w:val="1"/>
        </w:numPr>
      </w:pPr>
      <w:r>
        <w:t xml:space="preserve">Investor/Advisor: Uses the tool to benchmark inbound pitches; needs scenario transparency and alignment with current market comparables.</w:t>
      </w:r>
    </w:p>
    <w:p>
      <w:pPr>
        <w:pStyle w:val="Heading1"/>
      </w:pPr>
      <w:r>
        <w:t xml:space="preserve">4. Core use cases</w:t>
      </w:r>
    </w:p>
    <w:p>
      <w:r>
        <w:t xml:space="preserve">Each use case maps to explicit UI flows and validation steps.</w:t>
      </w:r>
    </w:p>
    <w:p>
      <w:pPr>
        <w:pStyle w:val="ListParagraph"/>
        <w:numPr>
          <w:ilvl w:val="0"/>
          <w:numId w:val="1"/>
        </w:numPr>
      </w:pPr>
      <w:r>
        <w:t xml:space="preserve">Baseline modeling: User inputs ARR, growth, TAM, margins, and qualitative scores to generate bear/base/bull valuations plus forward ARR.</w:t>
      </w:r>
    </w:p>
    <w:p>
      <w:pPr>
        <w:pStyle w:val="ListParagraph"/>
        <w:numPr>
          <w:ilvl w:val="0"/>
          <w:numId w:val="1"/>
        </w:numPr>
      </w:pPr>
      <w:r>
        <w:t xml:space="preserve">Scenario planning: User adjusts single variables (e.g., burn multiple) to visualize confidence changes and talk-track around operational initiatives.</w:t>
      </w:r>
    </w:p>
    <w:p>
      <w:pPr>
        <w:pStyle w:val="ListParagraph"/>
        <w:numPr>
          <w:ilvl w:val="0"/>
          <w:numId w:val="1"/>
        </w:numPr>
      </w:pPr>
      <w:r>
        <w:t xml:space="preserve">Board/investor packet: User copies insights and telemetry to slideware or exports using screenshot/export hooks (future work).</w:t>
      </w:r>
    </w:p>
    <w:p>
      <w:pPr>
        <w:pStyle w:val="ListParagraph"/>
        <w:numPr>
          <w:ilvl w:val="0"/>
          <w:numId w:val="1"/>
        </w:numPr>
      </w:pPr>
      <w:r>
        <w:t xml:space="preserve">Backwards compatibility verification: QA scripts simulate legacy browsers, zero-ARR states, and high-burn cases to ensure deterministic outputs.</w:t>
      </w:r>
    </w:p>
    <w:p>
      <w:pPr>
        <w:pStyle w:val="Heading1"/>
      </w:pPr>
      <w:r>
        <w:t xml:space="preserve">5. Functional requirements</w:t>
      </w:r>
    </w:p>
    <w:p>
      <w:r>
        <w:t xml:space="preserve">The following requirements must be met before GA. IDs (FR-x) trace to engineering tickets.</w:t>
      </w:r>
    </w:p>
    <w:p>
      <w:pPr>
        <w:pStyle w:val="ListParagraph"/>
        <w:numPr>
          <w:ilvl w:val="0"/>
          <w:numId w:val="1"/>
        </w:numPr>
      </w:pPr>
      <w:r>
        <w:t xml:space="preserve">FR-1 Input stack: Provide text, select, slider, and numeric inputs for every metric with clamped ranges plus formatting chips.</w:t>
      </w:r>
    </w:p>
    <w:p>
      <w:pPr>
        <w:pStyle w:val="ListParagraph"/>
        <w:numPr>
          <w:ilvl w:val="0"/>
          <w:numId w:val="1"/>
        </w:numPr>
      </w:pPr>
      <w:r>
        <w:t xml:space="preserve">FR-2 Stage intelligence: Maintain stage configuration table with base multiples, maturity scores, and earliness floors. Persist in a typed module for auditability.</w:t>
      </w:r>
    </w:p>
    <w:p>
      <w:pPr>
        <w:pStyle w:val="ListParagraph"/>
        <w:numPr>
          <w:ilvl w:val="0"/>
          <w:numId w:val="1"/>
        </w:numPr>
      </w:pPr>
      <w:r>
        <w:t xml:space="preserve">FR-3 Valuation engine: Implement deterministic calculations for revenue multiples, forward ARR, market potential, and scenario spreads using utility helpers (clamp, safeNumber).</w:t>
      </w:r>
    </w:p>
    <w:p>
      <w:pPr>
        <w:pStyle w:val="ListParagraph"/>
        <w:numPr>
          <w:ilvl w:val="0"/>
          <w:numId w:val="1"/>
        </w:numPr>
      </w:pPr>
      <w:r>
        <w:t xml:space="preserve">FR-4 Scenario visualization: Render cards, progress bars, and telemetry tiles that update on every keystroke, staying under 16 ms frame budget.</w:t>
      </w:r>
    </w:p>
    <w:p>
      <w:pPr>
        <w:pStyle w:val="ListParagraph"/>
        <w:numPr>
          <w:ilvl w:val="0"/>
          <w:numId w:val="1"/>
        </w:numPr>
      </w:pPr>
      <w:r>
        <w:t xml:space="preserve">FR-5 Insight narrative: Auto-generate bullet explanations that translate input changes to investor-friendly statements, including burn efficiency guidance.</w:t>
      </w:r>
    </w:p>
    <w:p>
      <w:pPr>
        <w:pStyle w:val="ListParagraph"/>
        <w:numPr>
          <w:ilvl w:val="0"/>
          <w:numId w:val="1"/>
        </w:numPr>
      </w:pPr>
      <w:r>
        <w:t xml:space="preserve">FR-6 Confidence meter: Display percentage derived from data completeness, efficiency, and retention strength; expose aria attributes for accessibility.</w:t>
      </w:r>
    </w:p>
    <w:p>
      <w:pPr>
        <w:pStyle w:val="ListParagraph"/>
        <w:numPr>
          <w:ilvl w:val="0"/>
          <w:numId w:val="1"/>
        </w:numPr>
      </w:pPr>
      <w:r>
        <w:t xml:space="preserve">FR-7 Compatibility guardrails: Detect unsupported browsers and downgrade visual filters to flat colors without impacting computations.</w:t>
      </w:r>
    </w:p>
    <w:p>
      <w:pPr>
        <w:pStyle w:val="ListParagraph"/>
        <w:numPr>
          <w:ilvl w:val="0"/>
          <w:numId w:val="1"/>
        </w:numPr>
      </w:pPr>
      <w:r>
        <w:t xml:space="preserve">FR-8 Data privacy: Keep all calculations client-side; never transmit inputs unless explicit export/sharing feature is enabled.</w:t>
      </w:r>
    </w:p>
    <w:p>
      <w:pPr>
        <w:pStyle w:val="Heading1"/>
      </w:pPr>
      <w:r>
        <w:t xml:space="preserve">6. Non-functional requirements</w:t>
      </w:r>
    </w:p>
    <w:p>
      <w:pPr>
        <w:pStyle w:val="ListParagraph"/>
        <w:numPr>
          <w:ilvl w:val="0"/>
          <w:numId w:val="1"/>
        </w:numPr>
      </w:pPr>
      <w:r>
        <w:t xml:space="preserve">Performance: First interactive under 2 seconds on 2018 MacBook Air equivalent; slider drag latency &lt; 100 ms.</w:t>
      </w:r>
    </w:p>
    <w:p>
      <w:pPr>
        <w:pStyle w:val="ListParagraph"/>
        <w:numPr>
          <w:ilvl w:val="0"/>
          <w:numId w:val="1"/>
        </w:numPr>
      </w:pPr>
      <w:r>
        <w:t xml:space="preserve">Reliability: Calculations must be pure functions without external API calls to ensure offline behavior once assets are cached.</w:t>
      </w:r>
    </w:p>
    <w:p>
      <w:pPr>
        <w:pStyle w:val="ListParagraph"/>
        <w:numPr>
          <w:ilvl w:val="0"/>
          <w:numId w:val="1"/>
        </w:numPr>
      </w:pPr>
      <w:r>
        <w:t xml:space="preserve">Accessibility: Provide sufficient color contrast, keyboard focus states, and aria labels for all interactive controls.</w:t>
      </w:r>
    </w:p>
    <w:p>
      <w:pPr>
        <w:pStyle w:val="ListParagraph"/>
        <w:numPr>
          <w:ilvl w:val="0"/>
          <w:numId w:val="1"/>
        </w:numPr>
      </w:pPr>
      <w:r>
        <w:t xml:space="preserve">Localization readiness: Keep text in string constants to enable future i18n; avoid concatenated strings with embedded markup.</w:t>
      </w:r>
    </w:p>
    <w:p>
      <w:pPr>
        <w:pStyle w:val="ListParagraph"/>
        <w:numPr>
          <w:ilvl w:val="0"/>
          <w:numId w:val="1"/>
        </w:numPr>
      </w:pPr>
      <w:r>
        <w:t xml:space="preserve">Security: No persistent storage of sensitive metrics by default; guard against XSS by not evaluating user-provided HTML.</w:t>
      </w:r>
    </w:p>
    <w:p>
      <w:pPr>
        <w:pStyle w:val="Heading1"/>
      </w:pPr>
      <w:r>
        <w:t xml:space="preserve">7. Data model and algorithm notes</w:t>
      </w:r>
    </w:p>
    <w:p>
      <w:r>
        <w:t xml:space="preserve">The valuation model is intentionally transparent. Key relationships:</w:t>
      </w:r>
    </w:p>
    <w:p>
      <w:pPr>
        <w:pStyle w:val="ListParagraph"/>
        <w:numPr>
          <w:ilvl w:val="0"/>
          <w:numId w:val="1"/>
        </w:numPr>
      </w:pPr>
      <w:r>
        <w:t xml:space="preserve">Stage configuration table (concept through Series C) defines base multiples, maturity scores, and minimum ARR floors; maintained in stageConfig.</w:t>
      </w:r>
    </w:p>
    <w:p>
      <w:pPr>
        <w:pStyle w:val="ListParagraph"/>
        <w:numPr>
          <w:ilvl w:val="0"/>
          <w:numId w:val="1"/>
        </w:numPr>
      </w:pPr>
      <w:r>
        <w:t xml:space="preserve">Revenue multiple = baseMultiple * growthLift * marginLift * qualitativeComposite * normalizedBurn, clamped between 0.7x and 3x of baseline to stay realistic.</w:t>
      </w:r>
    </w:p>
    <w:p>
      <w:pPr>
        <w:pStyle w:val="ListParagraph"/>
        <w:numPr>
          <w:ilvl w:val="0"/>
          <w:numId w:val="1"/>
        </w:numPr>
      </w:pPr>
      <w:r>
        <w:t xml:space="preserve">Forward ARR: Compounded monthly growth across 12 months when ARR is provided; otherwise rely on earliness floor.</w:t>
      </w:r>
    </w:p>
    <w:p>
      <w:pPr>
        <w:pStyle w:val="ListParagraph"/>
        <w:numPr>
          <w:ilvl w:val="0"/>
          <w:numId w:val="1"/>
        </w:numPr>
      </w:pPr>
      <w:r>
        <w:t xml:space="preserve">Market potential: TAM * (0.008 + maturityScore * 0.012) * qualitativeLift * growth bias, providing strategic upside weightings.</w:t>
      </w:r>
    </w:p>
    <w:p>
      <w:pPr>
        <w:pStyle w:val="ListParagraph"/>
        <w:numPr>
          <w:ilvl w:val="0"/>
          <w:numId w:val="1"/>
        </w:numPr>
      </w:pPr>
      <w:r>
        <w:t xml:space="preserve">Scenario spreads: Bull uses upside factor from growth + moat; Bear subtracts risk load derived from burn and talent depth.</w:t>
      </w:r>
    </w:p>
    <w:p>
      <w:pPr>
        <w:pStyle w:val="Heading1"/>
      </w:pPr>
      <w:r>
        <w:t xml:space="preserve">8. Experience and UI guidelines</w:t>
      </w:r>
    </w:p>
    <w:p>
      <w:pPr>
        <w:pStyle w:val="ListParagraph"/>
        <w:numPr>
          <w:ilvl w:val="0"/>
          <w:numId w:val="1"/>
        </w:numPr>
      </w:pPr>
      <w:r>
        <w:t xml:space="preserve">Advanced aesthetic: Maintain layered gradients, glow panels, and telemetry grid consistent with black/blue theme while ensuring fallback colors exist.</w:t>
      </w:r>
    </w:p>
    <w:p>
      <w:pPr>
        <w:pStyle w:val="ListParagraph"/>
        <w:numPr>
          <w:ilvl w:val="0"/>
          <w:numId w:val="1"/>
        </w:numPr>
      </w:pPr>
      <w:r>
        <w:t xml:space="preserve">Responsive grid: Two-column layout above 1100px, single column on smaller devices with preserved hierarchy (inputs before results).</w:t>
      </w:r>
    </w:p>
    <w:p>
      <w:pPr>
        <w:pStyle w:val="ListParagraph"/>
        <w:numPr>
          <w:ilvl w:val="0"/>
          <w:numId w:val="1"/>
        </w:numPr>
      </w:pPr>
      <w:r>
        <w:t xml:space="preserve">Inline validation: Display formatted value chips beside labels so users see normalized inputs in real time.</w:t>
      </w:r>
    </w:p>
    <w:p>
      <w:pPr>
        <w:pStyle w:val="ListParagraph"/>
        <w:numPr>
          <w:ilvl w:val="0"/>
          <w:numId w:val="1"/>
        </w:numPr>
      </w:pPr>
      <w:r>
        <w:t xml:space="preserve">Content tone: Hero copy emphasizes always-on valuation rail; insight list uses declarative, data-backed statements.</w:t>
      </w:r>
    </w:p>
    <w:p>
      <w:pPr>
        <w:pStyle w:val="Heading1"/>
      </w:pPr>
      <w:r>
        <w:t xml:space="preserve">9. Edge cases and backwards compatibility</w:t>
      </w:r>
    </w:p>
    <w:p>
      <w:pPr>
        <w:pStyle w:val="ListParagraph"/>
        <w:numPr>
          <w:ilvl w:val="0"/>
          <w:numId w:val="1"/>
        </w:numPr>
      </w:pPr>
      <w:r>
        <w:t xml:space="preserve">Zero ARR companies rely on earliness floors plus qualitative lifts; ensure messaging clarifies assumed baseline.</w:t>
      </w:r>
    </w:p>
    <w:p>
      <w:pPr>
        <w:pStyle w:val="ListParagraph"/>
        <w:numPr>
          <w:ilvl w:val="0"/>
          <w:numId w:val="1"/>
        </w:numPr>
      </w:pPr>
      <w:r>
        <w:t xml:space="preserve">Extreme TAM inputs (&gt; 250B) should be capped and annotated so multipliers remain stable.</w:t>
      </w:r>
    </w:p>
    <w:p>
      <w:pPr>
        <w:pStyle w:val="ListParagraph"/>
        <w:numPr>
          <w:ilvl w:val="0"/>
          <w:numId w:val="1"/>
        </w:numPr>
      </w:pPr>
      <w:r>
        <w:t xml:space="preserve">High burn (&gt; 3.5x) still returns valuations but widens bear/base spread visibly.</w:t>
      </w:r>
    </w:p>
    <w:p>
      <w:pPr>
        <w:pStyle w:val="ListParagraph"/>
        <w:numPr>
          <w:ilvl w:val="0"/>
          <w:numId w:val="1"/>
        </w:numPr>
      </w:pPr>
      <w:r>
        <w:t xml:space="preserve">Legacy browsers lacking backdrop-filter must still show legible panels; include feature detection and CSS fallbacks.</w:t>
      </w:r>
    </w:p>
    <w:p>
      <w:pPr>
        <w:pStyle w:val="ListParagraph"/>
        <w:numPr>
          <w:ilvl w:val="0"/>
          <w:numId w:val="1"/>
        </w:numPr>
      </w:pPr>
      <w:r>
        <w:t xml:space="preserve">Offline mode: Once assets cached, app continues to run without network; ensure service worker optionality is documented.</w:t>
      </w:r>
    </w:p>
    <w:p>
      <w:pPr>
        <w:pStyle w:val="Heading1"/>
      </w:pPr>
      <w:r>
        <w:t xml:space="preserve">10. Analytics and GTM plan</w:t>
      </w:r>
    </w:p>
    <w:p>
      <w:r>
        <w:t xml:space="preserve">Instrumentation priorities:</w:t>
      </w:r>
    </w:p>
    <w:p>
      <w:pPr>
        <w:pStyle w:val="ListParagraph"/>
        <w:numPr>
          <w:ilvl w:val="0"/>
          <w:numId w:val="1"/>
        </w:numPr>
      </w:pPr>
      <w:r>
        <w:t xml:space="preserve">Event taxonomy covering input changes, scenario renders, insights copied, and export actions.</w:t>
      </w:r>
    </w:p>
    <w:p>
      <w:pPr>
        <w:pStyle w:val="ListParagraph"/>
        <w:numPr>
          <w:ilvl w:val="0"/>
          <w:numId w:val="1"/>
        </w:numPr>
      </w:pPr>
      <w:r>
        <w:t xml:space="preserve">Session-level properties: persona flag (self-selected), stage distribution, browser/viewport data for compatibility reporting.</w:t>
      </w:r>
    </w:p>
    <w:p>
      <w:pPr>
        <w:pStyle w:val="ListParagraph"/>
        <w:numPr>
          <w:ilvl w:val="0"/>
          <w:numId w:val="1"/>
        </w:numPr>
      </w:pPr>
      <w:r>
        <w:t xml:space="preserve">Experiment hooks: Ability to A/B alternative insight narratives or UI treatments via feature flags.</w:t>
      </w:r>
    </w:p>
    <w:p>
      <w:pPr>
        <w:pStyle w:val="ListParagraph"/>
        <w:numPr>
          <w:ilvl w:val="0"/>
          <w:numId w:val="1"/>
        </w:numPr>
      </w:pPr>
      <w:r>
        <w:t xml:space="preserve">Rollout stages: Private alpha (internal finance teams), design partner beta (5 venture funds), public GA with documentation and landing page.</w:t>
      </w:r>
    </w:p>
    <w:p>
      <w:pPr>
        <w:pStyle w:val="ListParagraph"/>
        <w:numPr>
          <w:ilvl w:val="0"/>
          <w:numId w:val="1"/>
        </w:numPr>
      </w:pPr>
      <w:r>
        <w:t xml:space="preserve">Growth loops: Provide shareable link or export artifact so valuations can circulate in board docs with watermark attribution.</w:t>
      </w:r>
    </w:p>
    <w:p>
      <w:pPr>
        <w:pStyle w:val="Heading1"/>
      </w:pPr>
      <w:r>
        <w:t xml:space="preserve">11. Roadmap and release plan</w:t>
      </w:r>
    </w:p>
    <w:p>
      <w:pPr>
        <w:pStyle w:val="ListParagraph"/>
        <w:numPr>
          <w:ilvl w:val="0"/>
          <w:numId w:val="1"/>
        </w:numPr>
      </w:pPr>
      <w:r>
        <w:t xml:space="preserve">Phase 1 (Now - Jan): Finalize heuristics, lock UI polish, add analytics beacons.</w:t>
      </w:r>
    </w:p>
    <w:p>
      <w:pPr>
        <w:pStyle w:val="ListParagraph"/>
        <w:numPr>
          <w:ilvl w:val="0"/>
          <w:numId w:val="1"/>
        </w:numPr>
      </w:pPr>
      <w:r>
        <w:t xml:space="preserve">Phase 2 (Feb - Mar): Introduce export to PDF/PNG, lightweight scenario history, and guidance tips.</w:t>
      </w:r>
    </w:p>
    <w:p>
      <w:pPr>
        <w:pStyle w:val="ListParagraph"/>
        <w:numPr>
          <w:ilvl w:val="0"/>
          <w:numId w:val="1"/>
        </w:numPr>
      </w:pPr>
      <w:r>
        <w:t xml:space="preserve">Phase 3 (Apr+): Layer in account system for saving models, optional API ingestion, and benchmark datasets.</w:t>
      </w:r>
    </w:p>
    <w:p>
      <w:pPr>
        <w:pStyle w:val="Heading1"/>
      </w:pPr>
      <w:r>
        <w:t xml:space="preserve">12. Risks and mitigations</w:t>
      </w:r>
    </w:p>
    <w:p>
      <w:pPr>
        <w:pStyle w:val="ListParagraph"/>
        <w:numPr>
          <w:ilvl w:val="0"/>
          <w:numId w:val="1"/>
        </w:numPr>
      </w:pPr>
      <w:r>
        <w:t xml:space="preserve">R1: Market heuristics drift as funding climates change. Mitigation: refresh stageConfig quarterly with live comp sets.</w:t>
      </w:r>
    </w:p>
    <w:p>
      <w:pPr>
        <w:pStyle w:val="ListParagraph"/>
        <w:numPr>
          <w:ilvl w:val="0"/>
          <w:numId w:val="1"/>
        </w:numPr>
      </w:pPr>
      <w:r>
        <w:t xml:space="preserve">R2: Users over-index on tool outputs for official valuations. Mitigation: include clear disclaimer and encourage professional appraisal.</w:t>
      </w:r>
    </w:p>
    <w:p>
      <w:pPr>
        <w:pStyle w:val="ListParagraph"/>
        <w:numPr>
          <w:ilvl w:val="0"/>
          <w:numId w:val="1"/>
        </w:numPr>
      </w:pPr>
      <w:r>
        <w:t xml:space="preserve">R3: Visual richness impacts performance on low-end devices. Mitigation: enable reduced-motion and low-spec mode toggles.</w:t>
      </w:r>
    </w:p>
    <w:p>
      <w:pPr>
        <w:pStyle w:val="ListParagraph"/>
        <w:numPr>
          <w:ilvl w:val="0"/>
          <w:numId w:val="1"/>
        </w:numPr>
      </w:pPr>
      <w:r>
        <w:t xml:space="preserve">R4: Lack of export features could limit virality. Mitigation: prioritize screenshot/export backlog and provide API hooks.</w:t>
      </w:r>
    </w:p>
    <w:p>
      <w:pPr>
        <w:pStyle w:val="Heading1"/>
      </w:pPr>
      <w:r>
        <w:t xml:space="preserve">13. Dependencies and open questions</w:t>
      </w:r>
    </w:p>
    <w:p>
      <w:pPr>
        <w:pStyle w:val="ListParagraph"/>
        <w:numPr>
          <w:ilvl w:val="0"/>
          <w:numId w:val="1"/>
        </w:numPr>
      </w:pPr>
      <w:r>
        <w:t xml:space="preserve">Dependency: Staying synced with capital market data providers (or internal research) for base multiple updates.</w:t>
      </w:r>
    </w:p>
    <w:p>
      <w:pPr>
        <w:pStyle w:val="ListParagraph"/>
        <w:numPr>
          <w:ilvl w:val="0"/>
          <w:numId w:val="1"/>
        </w:numPr>
      </w:pPr>
      <w:r>
        <w:t xml:space="preserve">Dependency: QA coverage across browser/device farms to uphold compatibility promise.</w:t>
      </w:r>
    </w:p>
    <w:p>
      <w:pPr>
        <w:pStyle w:val="ListParagraph"/>
        <w:numPr>
          <w:ilvl w:val="0"/>
          <w:numId w:val="1"/>
        </w:numPr>
      </w:pPr>
      <w:r>
        <w:t xml:space="preserve">Open question: Do we integrate with CRM/finance tools for auto-ingest, or stay manual-first for v1?</w:t>
      </w:r>
    </w:p>
    <w:p>
      <w:pPr>
        <w:pStyle w:val="Heading1"/>
      </w:pPr>
      <w:r>
        <w:t xml:space="preserve">14. Appendix - Current implementation map</w:t>
      </w:r>
    </w:p>
    <w:p>
      <w:pPr>
        <w:pStyle w:val="ListParagraph"/>
        <w:numPr>
          <w:ilvl w:val="0"/>
          <w:numId w:val="1"/>
        </w:numPr>
      </w:pPr>
      <w:r>
        <w:t xml:space="preserve">UI Shell: src/App.tsx and src/App.css handle layout, hero, inputs, results, insights.</w:t>
      </w:r>
    </w:p>
    <w:p>
      <w:pPr>
        <w:pStyle w:val="ListParagraph"/>
        <w:numPr>
          <w:ilvl w:val="0"/>
          <w:numId w:val="1"/>
        </w:numPr>
      </w:pPr>
      <w:r>
        <w:t xml:space="preserve">Theme and resets: src/index.css handles typography, colors, and CSS variables.</w:t>
      </w:r>
    </w:p>
    <w:p>
      <w:pPr>
        <w:pStyle w:val="ListParagraph"/>
        <w:numPr>
          <w:ilvl w:val="0"/>
          <w:numId w:val="1"/>
        </w:numPr>
      </w:pPr>
      <w:r>
        <w:t xml:space="preserve">Valuation engine helpers: stageConfig, buildValuation, and buildInsights encapsulate business logic inside App.tsx for now.</w:t>
      </w:r>
    </w:p>
    <w:p>
      <w:pPr>
        <w:pStyle w:val="ListParagraph"/>
        <w:numPr>
          <w:ilvl w:val="0"/>
          <w:numId w:val="1"/>
        </w:numPr>
      </w:pPr>
      <w:r>
        <w:t xml:space="preserve">Readme overview: README.md captures highlights, modeling inputs, valuation stack, and browser support.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2025-11-25T07:29:47.362Z</dcterms:created>
  <dcterms:modified xsi:type="dcterms:W3CDTF">2025-11-25T07:29:47.362Z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