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775D" w:rsidRDefault="00632806" w:rsidP="00632806">
      <w:pPr>
        <w:bidi/>
        <w:rPr>
          <w:rtl/>
        </w:rPr>
      </w:pPr>
      <w:r>
        <w:rPr>
          <w:rFonts w:hint="cs"/>
          <w:rtl/>
        </w:rPr>
        <w:t>سنة 637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rtl/>
        </w:rPr>
        <w:t xml:space="preserve">الوصف: </w:t>
      </w:r>
      <w:r>
        <w:rPr>
          <w:rFonts w:hint="cs"/>
          <w:color w:val="000000"/>
          <w:rtl/>
        </w:rPr>
        <w:t xml:space="preserve">كانت </w:t>
      </w:r>
      <w:r>
        <w:rPr>
          <w:color w:val="000000"/>
          <w:rtl/>
        </w:rPr>
        <w:t>النشأة الأولى على مرتفع "</w:t>
      </w:r>
      <w:proofErr w:type="spellStart"/>
      <w:r>
        <w:rPr>
          <w:color w:val="000000"/>
          <w:rtl/>
        </w:rPr>
        <w:t>القليعات</w:t>
      </w:r>
      <w:proofErr w:type="spellEnd"/>
      <w:r>
        <w:rPr>
          <w:color w:val="000000"/>
          <w:rtl/>
        </w:rPr>
        <w:t>" بالضفة الغربية لدجلة لحماية حاضرة نينوى</w:t>
      </w:r>
      <w:r>
        <w:rPr>
          <w:rFonts w:hint="cs"/>
          <w:color w:val="000000"/>
          <w:rtl/>
        </w:rPr>
        <w:t xml:space="preserve"> عام 400 ق.م</w:t>
      </w:r>
      <w:r>
        <w:rPr>
          <w:color w:val="000000"/>
          <w:rtl/>
        </w:rPr>
        <w:t xml:space="preserve">، وعُرف بـ "الحصن العبوري" (حصنا </w:t>
      </w:r>
      <w:proofErr w:type="spellStart"/>
      <w:r>
        <w:rPr>
          <w:color w:val="000000"/>
          <w:rtl/>
        </w:rPr>
        <w:t>عبرايا</w:t>
      </w:r>
      <w:proofErr w:type="spellEnd"/>
      <w:r>
        <w:rPr>
          <w:rFonts w:hint="cs"/>
          <w:color w:val="000000"/>
          <w:rtl/>
        </w:rPr>
        <w:t>).</w:t>
      </w:r>
      <w:r>
        <w:rPr>
          <w:color w:val="000000"/>
        </w:rPr>
        <w:t xml:space="preserve"> </w:t>
      </w:r>
      <w:r>
        <w:rPr>
          <w:color w:val="000000"/>
          <w:rtl/>
        </w:rPr>
        <w:t xml:space="preserve">وفي حدود 570م أُسست صومعة الراهب مار </w:t>
      </w:r>
      <w:proofErr w:type="spellStart"/>
      <w:r>
        <w:rPr>
          <w:color w:val="000000"/>
          <w:rtl/>
        </w:rPr>
        <w:t>إيشوعياب</w:t>
      </w:r>
      <w:proofErr w:type="spellEnd"/>
      <w:r>
        <w:rPr>
          <w:color w:val="000000"/>
          <w:rtl/>
        </w:rPr>
        <w:t xml:space="preserve"> قرب الحصن وتشكلت حولهما مستوطنة مبكرة مع امتداد الأحياء غرباً</w:t>
      </w:r>
      <w:r>
        <w:rPr>
          <w:rFonts w:hint="cs"/>
          <w:color w:val="000000"/>
          <w:rtl/>
        </w:rPr>
        <w:t xml:space="preserve">. ثم في عام 637 </w:t>
      </w:r>
      <w:r>
        <w:rPr>
          <w:color w:val="000000"/>
          <w:rtl/>
        </w:rPr>
        <w:t>أُسست المدينة كـ "مِصر" إسلامي عسكري بإشراف هرثمة بن عرفجة البارقي بأمر الخليفة عمر بن الخطاب</w:t>
      </w:r>
      <w:r>
        <w:rPr>
          <w:color w:val="000000"/>
        </w:rPr>
        <w:t xml:space="preserve">. </w:t>
      </w:r>
      <w:r>
        <w:rPr>
          <w:color w:val="000000"/>
          <w:rtl/>
        </w:rPr>
        <w:t xml:space="preserve">تم توزيع القبائل في محلات عرفت بالـ "خِطط" حول المسجد الجامع الأول ودار الإمارة في مخطط مربع محصن بنواة مركزية تبلغ مساحتها 330×330 متراً فوق </w:t>
      </w:r>
      <w:proofErr w:type="spellStart"/>
      <w:r>
        <w:rPr>
          <w:color w:val="000000"/>
          <w:rtl/>
        </w:rPr>
        <w:t>القليعات</w:t>
      </w:r>
      <w:proofErr w:type="spellEnd"/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 xml:space="preserve">سنة 912 م: 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 xml:space="preserve">الوصف: في عام 750 م </w:t>
      </w:r>
      <w:r>
        <w:rPr>
          <w:color w:val="000000"/>
          <w:rtl/>
        </w:rPr>
        <w:t>جعل مروان بن محمد الموصل عاصمة للجزيرة فدفع بالتوسع العمراني</w:t>
      </w:r>
      <w:r>
        <w:rPr>
          <w:color w:val="000000"/>
        </w:rPr>
        <w:t xml:space="preserve">. </w:t>
      </w:r>
      <w:r>
        <w:rPr>
          <w:color w:val="000000"/>
          <w:rtl/>
        </w:rPr>
        <w:t>نفّذ الوالي الحر بن يوسف مشروع "النهر المكشوف" (نهر الحر) بطول 10 كم من دير مار ميخائيل لتغذية المدينة، وتوسعت الأسواق جنوباً خارج النواة المحصنة بعد زيادة الكثافة السكانية</w:t>
      </w:r>
      <w:r>
        <w:rPr>
          <w:color w:val="000000"/>
        </w:rPr>
        <w:t>.</w:t>
      </w:r>
      <w:r>
        <w:rPr>
          <w:rFonts w:hint="cs"/>
          <w:color w:val="000000"/>
          <w:rtl/>
        </w:rPr>
        <w:t xml:space="preserve"> ثم في عام 912 م </w:t>
      </w:r>
      <w:r>
        <w:rPr>
          <w:color w:val="000000"/>
          <w:rtl/>
        </w:rPr>
        <w:t>وصف المقدسي مخطط المدينة الأرضي بشكل "شبه الطيلسان" (شبه منحرف) نتيجة الامتداد الكبير نحو الجنوب بمحاذاة القناة المائية</w:t>
      </w:r>
      <w:r>
        <w:rPr>
          <w:color w:val="000000"/>
        </w:rPr>
        <w:t xml:space="preserve">. </w:t>
      </w:r>
      <w:r>
        <w:rPr>
          <w:color w:val="000000"/>
          <w:rtl/>
        </w:rPr>
        <w:t>أنشأ الحمدانيون مجمعهم القصري (دار المملكة) شمالاً، وربطوه بقلب المدينة عبر المحور الرئيسي (شارع الشعارين</w:t>
      </w:r>
      <w:proofErr w:type="gramStart"/>
      <w:r>
        <w:rPr>
          <w:rFonts w:hint="cs"/>
          <w:color w:val="000000"/>
          <w:rtl/>
        </w:rPr>
        <w:t>) .</w:t>
      </w:r>
      <w:proofErr w:type="gramEnd"/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سنة 1096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>أُعيد بناء سور المدينة بعد هدمه في العصر العباسي بمخطط مختلف ومنخفض الارتفاع دون خندق</w:t>
      </w:r>
      <w:r>
        <w:rPr>
          <w:color w:val="000000"/>
        </w:rPr>
        <w:t xml:space="preserve">. </w:t>
      </w:r>
      <w:r>
        <w:rPr>
          <w:color w:val="000000"/>
          <w:rtl/>
        </w:rPr>
        <w:t>شهدت هذه الحقبة هجر الأحياء الشمالية وخلو الجامع الأموي من المصلين، وتركز الاستيطان السكني في الجزء الجنوبي من المدينة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سنة 1127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>بلغت المدينة ذروة اتساعها بنحو 277.8 هكتاراً وشُيد الجامع النوري الكبير (1170م) فنقل المركز الحضري لصالحه</w:t>
      </w:r>
      <w:r>
        <w:rPr>
          <w:color w:val="000000"/>
        </w:rPr>
        <w:t xml:space="preserve">. </w:t>
      </w:r>
      <w:r>
        <w:rPr>
          <w:color w:val="000000"/>
          <w:rtl/>
        </w:rPr>
        <w:t xml:space="preserve">وُسّع السور ليضم قلعة </w:t>
      </w:r>
      <w:proofErr w:type="spellStart"/>
      <w:r>
        <w:rPr>
          <w:color w:val="000000"/>
          <w:rtl/>
        </w:rPr>
        <w:t>باشطابيا</w:t>
      </w:r>
      <w:proofErr w:type="spellEnd"/>
      <w:r>
        <w:rPr>
          <w:color w:val="000000"/>
          <w:rtl/>
        </w:rPr>
        <w:t xml:space="preserve"> وحُول السور القديم لفاصل داخلي عُرف بـ "الميدان</w:t>
      </w:r>
      <w:r>
        <w:rPr>
          <w:color w:val="000000"/>
        </w:rPr>
        <w:t>"</w:t>
      </w:r>
      <w:r>
        <w:rPr>
          <w:color w:val="000000"/>
          <w:rtl/>
        </w:rPr>
        <w:t>، كما بنى بدر الدين لؤلؤ أضرحة ومَشاهد تذكارية على مسافات منتظمة عند البوابات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1778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>توثق خريطة نيبور النسيج العضوي المتضام المكتمل وترميم الأسوار والخندق بجهود حسين باشا الجليلي بعد اندحار حصار نادر شاه</w:t>
      </w:r>
      <w:r>
        <w:rPr>
          <w:color w:val="000000"/>
        </w:rPr>
        <w:t xml:space="preserve">. </w:t>
      </w:r>
      <w:r>
        <w:rPr>
          <w:color w:val="000000"/>
          <w:rtl/>
        </w:rPr>
        <w:t>تُظهر الخريطة تركز الأسواق جنوباً وربط الضفتين عبر جسر القوارب العائم، مع بقاء منطقة الميدان شمالاً كفضاء عسكري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1838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 xml:space="preserve">وثّق الضابط البروسي فون </w:t>
      </w:r>
      <w:proofErr w:type="spellStart"/>
      <w:r>
        <w:rPr>
          <w:color w:val="000000"/>
          <w:rtl/>
        </w:rPr>
        <w:t>مولتكه</w:t>
      </w:r>
      <w:proofErr w:type="spellEnd"/>
      <w:r>
        <w:rPr>
          <w:color w:val="000000"/>
          <w:rtl/>
        </w:rPr>
        <w:t xml:space="preserve"> تقلص الكتلة السكنية وتركزها في الوسط والجنوب، مع تحول الجزء الشمالي الداخلي إلى خراب ومساحات خالية، واستمرار السور كحد مكاني صارم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1852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>مسح مساحي دقيق وثّق تفاصيل شبكة الشوارع والأسوار والخندق المحيط (بعمق 20 قدماً وعرض 50 قدماً</w:t>
      </w:r>
      <w:r>
        <w:rPr>
          <w:color w:val="000000"/>
        </w:rPr>
        <w:t>)</w:t>
      </w:r>
      <w:r>
        <w:rPr>
          <w:color w:val="000000"/>
          <w:rtl/>
        </w:rPr>
        <w:t>، وأثبت جغرافياً تفرع قناة نهر الحر من شمال غرب المدينة عند دير مار ميخائيل واندماجها مع مجرى دجلة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lastRenderedPageBreak/>
        <w:t>1906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 xml:space="preserve">يقدم مخطط إسماعيل حقي أوضح تمثيل للنسيج العضوي المكتظ وتوزيع المحلات والمباني الدينية مع بقاء السور وبواباته، وبدء امتداد طفيف للمباني خارج الباب الجنوبي نحو جامع </w:t>
      </w:r>
      <w:proofErr w:type="spellStart"/>
      <w:r>
        <w:rPr>
          <w:color w:val="000000"/>
          <w:rtl/>
        </w:rPr>
        <w:t>المجاهدي</w:t>
      </w:r>
      <w:proofErr w:type="spellEnd"/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1919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 xml:space="preserve">رصد </w:t>
      </w:r>
      <w:proofErr w:type="spellStart"/>
      <w:r>
        <w:rPr>
          <w:color w:val="000000"/>
          <w:rtl/>
        </w:rPr>
        <w:t>هيرتسفيلد</w:t>
      </w:r>
      <w:proofErr w:type="spellEnd"/>
      <w:r>
        <w:rPr>
          <w:color w:val="000000"/>
          <w:rtl/>
        </w:rPr>
        <w:t xml:space="preserve"> النسيج التراثي بالتزامن مع تنفيذ المرحلة الأولى لشق شارع نينوى من جهة الجسر حتى كنيسة الساعة، كأول شريان مستقيم يكسر خصوصية الأزقة العضوية القديمة</w:t>
      </w:r>
      <w:r>
        <w:rPr>
          <w:color w:val="000000"/>
        </w:rPr>
        <w:t>.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1944 م:</w:t>
      </w:r>
    </w:p>
    <w:p w:rsidR="00632806" w:rsidRDefault="00632806" w:rsidP="00632806">
      <w:pPr>
        <w:bidi/>
        <w:rPr>
          <w:color w:val="000000"/>
          <w:rtl/>
        </w:rPr>
      </w:pPr>
      <w:r>
        <w:rPr>
          <w:color w:val="000000"/>
          <w:rtl/>
        </w:rPr>
        <w:t>تبرز الخريطة اكتمال فتح المحاور الشريانية الكبرى (شارع نينوى والفاروق) وافتتاح الجسر الحديدي (1934م)، مما شطر البلوكات التراثية وحول المسارات الداخلية للمشاة لقنوات عبور سيارات</w:t>
      </w:r>
      <w:r>
        <w:rPr>
          <w:color w:val="000000"/>
        </w:rPr>
        <w:t>.</w:t>
      </w:r>
    </w:p>
    <w:p w:rsidR="00632806" w:rsidRDefault="005A204A" w:rsidP="00632806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1966 م: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color w:val="000000"/>
          <w:rtl/>
        </w:rPr>
        <w:t>رصدت الصور الجوية التمدد العمراني الواسع خارج الأسوار نحو الضفة اليسرى، وتشييد جسور خرسانية جديدة، مما أدى لاندثار معالم السور وبواباته وتحول النسيج القديم إلى عقدة عبور مرورية</w:t>
      </w:r>
      <w:r>
        <w:rPr>
          <w:color w:val="000000"/>
        </w:rPr>
        <w:t>.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1980 م: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color w:val="000000"/>
          <w:rtl/>
        </w:rPr>
        <w:t>رصدت الصور الجوية التمدد العمراني الواسع خارج الأسوار نحو الضفة اليسرى، وتشييد جسور خرسانية جديدة، مما أدى لاندثار معالم السور وبواباته وتحول النسيج القديم إلى عقدة عبور مرورية</w:t>
      </w:r>
      <w:r>
        <w:rPr>
          <w:color w:val="000000"/>
        </w:rPr>
        <w:t>.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2003 م: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color w:val="000000"/>
          <w:rtl/>
        </w:rPr>
        <w:t>أظهرت الصور الفضائية فقدان وتآكل قرابة 20% إلى 40% من النسيج السكني التراثي نتيجة الإهمال والهدم والضغط المروري المتولد من الجسور المتعددة</w:t>
      </w:r>
      <w:r>
        <w:rPr>
          <w:color w:val="000000"/>
        </w:rPr>
        <w:t>.</w:t>
      </w:r>
    </w:p>
    <w:p w:rsidR="005A204A" w:rsidRDefault="005A204A" w:rsidP="005A204A">
      <w:pPr>
        <w:bidi/>
        <w:rPr>
          <w:color w:val="000000"/>
          <w:rtl/>
        </w:rPr>
      </w:pPr>
      <w:r>
        <w:rPr>
          <w:rFonts w:hint="cs"/>
          <w:color w:val="000000"/>
          <w:rtl/>
        </w:rPr>
        <w:t>2020 م:</w:t>
      </w:r>
    </w:p>
    <w:p w:rsidR="005A204A" w:rsidRDefault="005A204A" w:rsidP="005A204A">
      <w:pPr>
        <w:bidi/>
        <w:rPr>
          <w:rFonts w:hint="cs"/>
          <w:rtl/>
        </w:rPr>
      </w:pPr>
      <w:r>
        <w:rPr>
          <w:color w:val="000000"/>
          <w:rtl/>
        </w:rPr>
        <w:t>توثيق شامل للدمار غير المسبوق في معارك 2017 الذي طال 47% من المباني التاريخية والجامع النوري والواجهة النهرية، مبرزةً تحديات الحفاظ على أصالة النسيج المتضام أمام مخططات التوسعة الحديثة</w:t>
      </w:r>
      <w:r>
        <w:rPr>
          <w:color w:val="000000"/>
        </w:rPr>
        <w:t>.</w:t>
      </w:r>
    </w:p>
    <w:sectPr w:rsidR="005A20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806"/>
    <w:rsid w:val="00054649"/>
    <w:rsid w:val="00062781"/>
    <w:rsid w:val="000C7F1C"/>
    <w:rsid w:val="000D2D98"/>
    <w:rsid w:val="002F7806"/>
    <w:rsid w:val="00492761"/>
    <w:rsid w:val="004E023D"/>
    <w:rsid w:val="00576304"/>
    <w:rsid w:val="0059248D"/>
    <w:rsid w:val="005955A6"/>
    <w:rsid w:val="005A204A"/>
    <w:rsid w:val="005B3895"/>
    <w:rsid w:val="00616CDE"/>
    <w:rsid w:val="00632806"/>
    <w:rsid w:val="00AC6A4F"/>
    <w:rsid w:val="00B41EE4"/>
    <w:rsid w:val="00B47E6C"/>
    <w:rsid w:val="00B54ADA"/>
    <w:rsid w:val="00B821DF"/>
    <w:rsid w:val="00BA2A0F"/>
    <w:rsid w:val="00BD79E0"/>
    <w:rsid w:val="00C70F4B"/>
    <w:rsid w:val="00D41277"/>
    <w:rsid w:val="00D82B42"/>
    <w:rsid w:val="00F0775D"/>
    <w:rsid w:val="00F3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Q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1F5903"/>
  <w15:chartTrackingRefBased/>
  <w15:docId w15:val="{D7F2E3F3-4D20-304E-A91D-6987FF0EB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Q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2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80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80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806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806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806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80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80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80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80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32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80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80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32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80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632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806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632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Abdallh Bashar</dc:creator>
  <cp:keywords/>
  <dc:description/>
  <cp:lastModifiedBy>Abdallh Bashar</cp:lastModifiedBy>
  <cp:revision>1</cp:revision>
  <dcterms:created xsi:type="dcterms:W3CDTF">2026-08-30T22:22:00Z</dcterms:created>
  <dcterms:modified xsi:type="dcterms:W3CDTF">2026-08-30T22:33:00Z</dcterms:modified>
</cp:coreProperties>
</file>