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400"/>
        <w:jc w:val="center"/>
      </w:pPr>
      <w:r>
        <w:drawing>
          <wp:inline xmlns:a="http://schemas.openxmlformats.org/drawingml/2006/main" xmlns:pic="http://schemas.openxmlformats.org/drawingml/2006/picture">
            <wp:extent cx="1835999" cy="2144389"/>
            <wp:docPr id="1" name="Picture 1"/>
            <wp:cNvGraphicFramePr>
              <a:graphicFrameLocks noChangeAspect="1"/>
            </wp:cNvGraphicFramePr>
            <a:graphic>
              <a:graphicData uri="http://schemas.openxmlformats.org/drawingml/2006/picture">
                <pic:pic>
                  <pic:nvPicPr>
                    <pic:cNvPr id="0" name="samari_logo_from_cdr.png"/>
                    <pic:cNvPicPr/>
                  </pic:nvPicPr>
                  <pic:blipFill>
                    <a:blip r:embed="rId11"/>
                    <a:stretch>
                      <a:fillRect/>
                    </a:stretch>
                  </pic:blipFill>
                  <pic:spPr>
                    <a:xfrm>
                      <a:off x="0" y="0"/>
                      <a:ext cx="1835999" cy="2144389"/>
                    </a:xfrm>
                    <a:prstGeom prst="rect"/>
                  </pic:spPr>
                </pic:pic>
              </a:graphicData>
            </a:graphic>
          </wp:inline>
        </w:drawing>
      </w:r>
    </w:p>
    <w:p>
      <w:pPr>
        <w:spacing w:before="200"/>
        <w:jc w:val="center"/>
      </w:pPr>
      <w:r>
        <w:rPr>
          <w:rFonts w:ascii="Aptos Display" w:hAnsi="Aptos Display" w:eastAsia="Aptos Display"/>
          <w:b/>
          <w:color w:val="1F5A3A"/>
          <w:sz w:val="48"/>
        </w:rPr>
        <w:t>WEBSITE TECHNICAL SPECIFICATION</w:t>
      </w:r>
    </w:p>
    <w:p>
      <w:pPr>
        <w:jc w:val="center"/>
      </w:pPr>
      <w:r>
        <w:rPr>
          <w:rFonts w:ascii="Aptos Display" w:hAnsi="Aptos Display" w:eastAsia="Aptos Display"/>
          <w:b/>
          <w:color w:val="E88828"/>
          <w:sz w:val="34"/>
        </w:rPr>
        <w:t>Samari Kuhsor Corporate and Product Catalogue Website</w:t>
      </w:r>
    </w:p>
    <w:p>
      <w:pPr>
        <w:spacing w:before="160"/>
        <w:jc w:val="center"/>
      </w:pPr>
      <w:r>
        <w:rPr>
          <w:rFonts w:ascii="Aptos" w:hAnsi="Aptos" w:eastAsia="Aptos"/>
          <w:b/>
          <w:color w:val="264B5D"/>
          <w:sz w:val="24"/>
        </w:rPr>
        <w:t>Legal entity: QOIM</w:t>
      </w:r>
    </w:p>
    <w:p>
      <w:pPr>
        <w:jc w:val="center"/>
      </w:pPr>
      <w:r>
        <w:rPr>
          <w:rFonts w:ascii="Aptos" w:hAnsi="Aptos" w:eastAsia="Aptos"/>
          <w:color w:val="4B5563"/>
          <w:sz w:val="23"/>
        </w:rPr>
        <w:t>Commercial brand: Самари Кӯҳсор / Samari Kuhsor</w:t>
      </w:r>
    </w:p>
    <w:p>
      <w:pPr>
        <w:jc w:val="center"/>
      </w:pPr>
      <w:r>
        <w:rPr>
          <w:rFonts w:ascii="Aptos" w:hAnsi="Aptos" w:eastAsia="Aptos"/>
          <w:color w:val="4B5563"/>
          <w:sz w:val="21"/>
        </w:rPr>
        <w:t>Production facility: Tem, Khorog, GBAO, Republic of Tajikistan</w:t>
      </w:r>
    </w:p>
    <w:tbl>
      <w:tblPr>
        <w:tblW w:type="auto" w:w="0"/>
        <w:jc w:val="center"/>
        <w:tblLayout w:type="fixed"/>
        <w:tblLook w:firstColumn="1" w:firstRow="1" w:lastColumn="0" w:lastRow="0" w:noHBand="0" w:noVBand="1" w:val="04A0"/>
      </w:tblPr>
      <w:tblGrid>
        <w:gridCol w:w="2835"/>
        <w:gridCol w:w="4989"/>
      </w:tblGrid>
      <w:tr>
        <w:trPr>
          <w:cantSplit/>
        </w:trPr>
        <w:tc>
          <w:tcPr>
            <w:tcW w:type="dxa" w:w="2835"/>
            <w:shd w:fill="FFF9EF"/>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9"/>
              </w:rPr>
              <w:t>Document version</w:t>
            </w:r>
          </w:p>
        </w:tc>
        <w:tc>
          <w:tcPr>
            <w:tcW w:type="dxa" w:w="4989"/>
            <w:shd w:fill="FFF9EF"/>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9"/>
              </w:rPr>
              <w:t>1.0</w:t>
            </w:r>
          </w:p>
        </w:tc>
      </w:tr>
      <w:tr>
        <w:trPr>
          <w:cantSplit/>
        </w:trPr>
        <w:tc>
          <w:tcPr>
            <w:tcW w:type="dxa" w:w="2835"/>
            <w:shd w:fill="EAF4E6"/>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b/>
                <w:color w:val="1F5A3A"/>
                <w:sz w:val="19"/>
              </w:rPr>
              <w:t>Date</w:t>
            </w:r>
          </w:p>
        </w:tc>
        <w:tc>
          <w:tcPr>
            <w:tcW w:type="dxa" w:w="4989"/>
            <w:shd w:fill="FFF9EF"/>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9"/>
              </w:rPr>
              <w:t>26 June 2026</w:t>
            </w:r>
          </w:p>
        </w:tc>
      </w:tr>
      <w:tr>
        <w:trPr>
          <w:cantSplit/>
        </w:trPr>
        <w:tc>
          <w:tcPr>
            <w:tcW w:type="dxa" w:w="2835"/>
            <w:shd w:fill="FFF9EF"/>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b/>
                <w:color w:val="1F5A3A"/>
                <w:sz w:val="19"/>
              </w:rPr>
              <w:t>Target public launch</w:t>
            </w:r>
          </w:p>
        </w:tc>
        <w:tc>
          <w:tcPr>
            <w:tcW w:type="dxa" w:w="4989"/>
            <w:shd w:fill="FFF9EF"/>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9"/>
              </w:rPr>
              <w:t>9 September 2026</w:t>
            </w:r>
          </w:p>
        </w:tc>
      </w:tr>
      <w:tr>
        <w:trPr>
          <w:cantSplit/>
        </w:trPr>
        <w:tc>
          <w:tcPr>
            <w:tcW w:type="dxa" w:w="2835"/>
            <w:shd w:fill="EAF4E6"/>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b/>
                <w:color w:val="1F5A3A"/>
                <w:sz w:val="19"/>
              </w:rPr>
              <w:t>Document purpose</w:t>
            </w:r>
          </w:p>
        </w:tc>
        <w:tc>
          <w:tcPr>
            <w:tcW w:type="dxa" w:w="4989"/>
            <w:shd w:fill="FFF9EF"/>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9"/>
              </w:rPr>
              <w:t>Requirements for design, development, content, testing and deployment</w:t>
            </w:r>
          </w:p>
        </w:tc>
      </w:tr>
    </w:tbl>
    <w:p>
      <w:pPr>
        <w:spacing w:before="320"/>
        <w:jc w:val="center"/>
      </w:pPr>
      <w:r>
        <w:rPr>
          <w:rFonts w:ascii="Aptos" w:hAnsi="Aptos" w:eastAsia="Aptos"/>
          <w:i/>
          <w:color w:val="4B5563"/>
          <w:sz w:val="19"/>
        </w:rPr>
        <w:t>Prepared as a working Terms of Reference for the web development team</w:t>
      </w:r>
    </w:p>
    <w:p>
      <w:r>
        <w:br w:type="page"/>
      </w:r>
    </w:p>
    <w:p>
      <w:pPr>
        <w:pStyle w:val="Heading1"/>
      </w:pPr>
      <w:r>
        <w:t>Document Control</w:t>
      </w:r>
    </w:p>
    <w:tbl>
      <w:tblPr>
        <w:tblW w:type="auto" w:w="0"/>
        <w:jc w:val="center"/>
        <w:tblLayout w:type="fixed"/>
        <w:tblLook w:firstColumn="1" w:firstRow="1" w:lastColumn="0" w:lastRow="0" w:noHBand="0" w:noVBand="1" w:val="04A0"/>
      </w:tblPr>
      <w:tblGrid>
        <w:gridCol w:w="5128"/>
        <w:gridCol w:w="5128"/>
      </w:tblGrid>
      <w:tr>
        <w:trPr>
          <w:cantSplit/>
        </w:trPr>
        <w:tc>
          <w:tcPr>
            <w:tcW w:type="dxa" w:w="294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9"/>
              </w:rPr>
              <w:t>Client / legal entity</w:t>
            </w:r>
          </w:p>
        </w:tc>
        <w:tc>
          <w:tcPr>
            <w:tcW w:type="dxa" w:w="6123"/>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9"/>
              </w:rPr>
              <w:t>QOIM</w:t>
            </w:r>
          </w:p>
        </w:tc>
      </w:tr>
      <w:tr>
        <w:trPr>
          <w:cantSplit/>
        </w:trPr>
        <w:tc>
          <w:tcPr>
            <w:tcW w:type="dxa" w:w="294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b/>
                <w:color w:val="1F5A3A"/>
                <w:sz w:val="19"/>
              </w:rPr>
              <w:t>Public-facing brand</w:t>
            </w:r>
          </w:p>
        </w:tc>
        <w:tc>
          <w:tcPr>
            <w:tcW w:type="dxa" w:w="6123"/>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9"/>
              </w:rPr>
              <w:t>Samari Kuhsor</w:t>
            </w:r>
          </w:p>
        </w:tc>
      </w:tr>
      <w:tr>
        <w:trPr>
          <w:cantSplit/>
        </w:trPr>
        <w:tc>
          <w:tcPr>
            <w:tcW w:type="dxa" w:w="294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b/>
                <w:color w:val="1F5A3A"/>
                <w:sz w:val="19"/>
              </w:rPr>
              <w:t>Primary website type</w:t>
            </w:r>
          </w:p>
        </w:tc>
        <w:tc>
          <w:tcPr>
            <w:tcW w:type="dxa" w:w="6123"/>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9"/>
              </w:rPr>
              <w:t>Corporate website and product catalogue</w:t>
            </w:r>
          </w:p>
        </w:tc>
      </w:tr>
      <w:tr>
        <w:trPr>
          <w:cantSplit/>
        </w:trPr>
        <w:tc>
          <w:tcPr>
            <w:tcW w:type="dxa" w:w="294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b/>
                <w:color w:val="1F5A3A"/>
                <w:sz w:val="19"/>
              </w:rPr>
              <w:t>Primary languages</w:t>
            </w:r>
          </w:p>
        </w:tc>
        <w:tc>
          <w:tcPr>
            <w:tcW w:type="dxa" w:w="6123"/>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9"/>
              </w:rPr>
              <w:t>Tajik, Russian and English</w:t>
            </w:r>
          </w:p>
        </w:tc>
      </w:tr>
      <w:tr>
        <w:trPr>
          <w:cantSplit/>
        </w:trPr>
        <w:tc>
          <w:tcPr>
            <w:tcW w:type="dxa" w:w="294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b/>
                <w:color w:val="1F5A3A"/>
                <w:sz w:val="19"/>
              </w:rPr>
              <w:t>Phase 1 status</w:t>
            </w:r>
          </w:p>
        </w:tc>
        <w:tc>
          <w:tcPr>
            <w:tcW w:type="dxa" w:w="6123"/>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9"/>
              </w:rPr>
              <w:t>Informational website; no e-commerce checkout</w:t>
            </w:r>
          </w:p>
        </w:tc>
      </w:tr>
    </w:tbl>
    <w:p>
      <w:pPr>
        <w:pStyle w:val="Heading1"/>
      </w:pPr>
      <w:r>
        <w:t>Contents</w:t>
      </w:r>
    </w:p>
    <w:p>
      <w:pPr>
        <w:spacing w:after="20" w:line="252" w:lineRule="auto"/>
      </w:pPr>
      <w:r>
        <w:rPr>
          <w:rFonts w:ascii="Aptos" w:hAnsi="Aptos" w:eastAsia="Aptos"/>
          <w:i w:val="0"/>
          <w:sz w:val="21"/>
        </w:rPr>
        <w:t>1. Project Context and Strategic Direction</w:t>
      </w:r>
    </w:p>
    <w:p>
      <w:pPr>
        <w:spacing w:after="20" w:line="252" w:lineRule="auto"/>
      </w:pPr>
      <w:r>
        <w:rPr>
          <w:rFonts w:ascii="Aptos" w:hAnsi="Aptos" w:eastAsia="Aptos"/>
          <w:i w:val="0"/>
          <w:sz w:val="21"/>
        </w:rPr>
        <w:t>2. Objectives, Audiences and Scope</w:t>
      </w:r>
    </w:p>
    <w:p>
      <w:pPr>
        <w:spacing w:after="20" w:line="252" w:lineRule="auto"/>
      </w:pPr>
      <w:r>
        <w:rPr>
          <w:rFonts w:ascii="Aptos" w:hAnsi="Aptos" w:eastAsia="Aptos"/>
          <w:i w:val="0"/>
          <w:sz w:val="21"/>
        </w:rPr>
        <w:t>3. Brand and Legal Architecture</w:t>
      </w:r>
    </w:p>
    <w:p>
      <w:pPr>
        <w:spacing w:after="20" w:line="252" w:lineRule="auto"/>
      </w:pPr>
      <w:r>
        <w:rPr>
          <w:rFonts w:ascii="Aptos" w:hAnsi="Aptos" w:eastAsia="Aptos"/>
          <w:i w:val="0"/>
          <w:sz w:val="21"/>
        </w:rPr>
        <w:t>4. Languages and URL Structure</w:t>
      </w:r>
    </w:p>
    <w:p>
      <w:pPr>
        <w:spacing w:after="20" w:line="252" w:lineRule="auto"/>
      </w:pPr>
      <w:r>
        <w:rPr>
          <w:rFonts w:ascii="Aptos" w:hAnsi="Aptos" w:eastAsia="Aptos"/>
          <w:i w:val="0"/>
          <w:sz w:val="21"/>
        </w:rPr>
        <w:t>5. Information Architecture and Sitemap</w:t>
      </w:r>
    </w:p>
    <w:p>
      <w:pPr>
        <w:spacing w:after="20" w:line="252" w:lineRule="auto"/>
      </w:pPr>
      <w:r>
        <w:rPr>
          <w:rFonts w:ascii="Aptos" w:hAnsi="Aptos" w:eastAsia="Aptos"/>
          <w:i w:val="0"/>
          <w:sz w:val="21"/>
        </w:rPr>
        <w:t>6. Page-by-Page Requirements</w:t>
      </w:r>
    </w:p>
    <w:p>
      <w:pPr>
        <w:spacing w:after="20" w:line="252" w:lineRule="auto"/>
      </w:pPr>
      <w:r>
        <w:rPr>
          <w:rFonts w:ascii="Aptos" w:hAnsi="Aptos" w:eastAsia="Aptos"/>
          <w:i w:val="0"/>
          <w:sz w:val="21"/>
        </w:rPr>
        <w:t>7. Product Catalogue and Data Model</w:t>
      </w:r>
    </w:p>
    <w:p>
      <w:pPr>
        <w:spacing w:after="20" w:line="252" w:lineRule="auto"/>
      </w:pPr>
      <w:r>
        <w:rPr>
          <w:rFonts w:ascii="Aptos" w:hAnsi="Aptos" w:eastAsia="Aptos"/>
          <w:i w:val="0"/>
          <w:sz w:val="21"/>
        </w:rPr>
        <w:t>8. User Experience and Visual Design</w:t>
      </w:r>
    </w:p>
    <w:p>
      <w:pPr>
        <w:spacing w:after="20" w:line="252" w:lineRule="auto"/>
      </w:pPr>
      <w:r>
        <w:rPr>
          <w:rFonts w:ascii="Aptos" w:hAnsi="Aptos" w:eastAsia="Aptos"/>
          <w:i w:val="0"/>
          <w:sz w:val="21"/>
        </w:rPr>
        <w:t>9. Content Management System</w:t>
      </w:r>
    </w:p>
    <w:p>
      <w:pPr>
        <w:spacing w:after="20" w:line="252" w:lineRule="auto"/>
      </w:pPr>
      <w:r>
        <w:rPr>
          <w:rFonts w:ascii="Aptos" w:hAnsi="Aptos" w:eastAsia="Aptos"/>
          <w:i w:val="0"/>
          <w:sz w:val="21"/>
        </w:rPr>
        <w:t>10. Functional Requirements</w:t>
      </w:r>
    </w:p>
    <w:p>
      <w:pPr>
        <w:spacing w:after="20" w:line="252" w:lineRule="auto"/>
      </w:pPr>
      <w:r>
        <w:rPr>
          <w:rFonts w:ascii="Aptos" w:hAnsi="Aptos" w:eastAsia="Aptos"/>
          <w:i w:val="0"/>
          <w:sz w:val="21"/>
        </w:rPr>
        <w:t>11. Non-Functional Requirements</w:t>
      </w:r>
    </w:p>
    <w:p>
      <w:pPr>
        <w:spacing w:after="20" w:line="252" w:lineRule="auto"/>
      </w:pPr>
      <w:r>
        <w:rPr>
          <w:rFonts w:ascii="Aptos" w:hAnsi="Aptos" w:eastAsia="Aptos"/>
          <w:i w:val="0"/>
          <w:sz w:val="21"/>
        </w:rPr>
        <w:t>12. SEO and Structured Data</w:t>
      </w:r>
    </w:p>
    <w:p>
      <w:pPr>
        <w:spacing w:after="20" w:line="252" w:lineRule="auto"/>
      </w:pPr>
      <w:r>
        <w:rPr>
          <w:rFonts w:ascii="Aptos" w:hAnsi="Aptos" w:eastAsia="Aptos"/>
          <w:i w:val="0"/>
          <w:sz w:val="21"/>
        </w:rPr>
        <w:t>13. Performance, Accessibility and Security</w:t>
      </w:r>
    </w:p>
    <w:p>
      <w:pPr>
        <w:spacing w:after="20" w:line="252" w:lineRule="auto"/>
      </w:pPr>
      <w:r>
        <w:rPr>
          <w:rFonts w:ascii="Aptos" w:hAnsi="Aptos" w:eastAsia="Aptos"/>
          <w:i w:val="0"/>
          <w:sz w:val="21"/>
        </w:rPr>
        <w:t>14. Technical Architecture</w:t>
      </w:r>
    </w:p>
    <w:p>
      <w:pPr>
        <w:spacing w:after="20" w:line="252" w:lineRule="auto"/>
      </w:pPr>
      <w:r>
        <w:rPr>
          <w:rFonts w:ascii="Aptos" w:hAnsi="Aptos" w:eastAsia="Aptos"/>
          <w:i w:val="0"/>
          <w:sz w:val="21"/>
        </w:rPr>
        <w:t>15. Analytics and Reporting</w:t>
      </w:r>
    </w:p>
    <w:p>
      <w:pPr>
        <w:spacing w:after="20" w:line="252" w:lineRule="auto"/>
      </w:pPr>
      <w:r>
        <w:rPr>
          <w:rFonts w:ascii="Aptos" w:hAnsi="Aptos" w:eastAsia="Aptos"/>
          <w:i w:val="0"/>
          <w:sz w:val="21"/>
        </w:rPr>
        <w:t>16. Content Governance and Publishing Workflow</w:t>
      </w:r>
    </w:p>
    <w:p>
      <w:pPr>
        <w:spacing w:after="20" w:line="252" w:lineRule="auto"/>
      </w:pPr>
      <w:r>
        <w:rPr>
          <w:rFonts w:ascii="Aptos" w:hAnsi="Aptos" w:eastAsia="Aptos"/>
          <w:i w:val="0"/>
          <w:sz w:val="21"/>
        </w:rPr>
        <w:t>17. Testing, Deployment and Operations</w:t>
      </w:r>
    </w:p>
    <w:p>
      <w:pPr>
        <w:spacing w:after="20" w:line="252" w:lineRule="auto"/>
      </w:pPr>
      <w:r>
        <w:rPr>
          <w:rFonts w:ascii="Aptos" w:hAnsi="Aptos" w:eastAsia="Aptos"/>
          <w:i w:val="0"/>
          <w:sz w:val="21"/>
        </w:rPr>
        <w:t>18. Implementation Schedule</w:t>
      </w:r>
    </w:p>
    <w:p>
      <w:pPr>
        <w:spacing w:after="20" w:line="252" w:lineRule="auto"/>
      </w:pPr>
      <w:r>
        <w:rPr>
          <w:rFonts w:ascii="Aptos" w:hAnsi="Aptos" w:eastAsia="Aptos"/>
          <w:i w:val="0"/>
          <w:sz w:val="21"/>
        </w:rPr>
        <w:t>19. Deliverables and Acceptance Criteria</w:t>
      </w:r>
    </w:p>
    <w:p>
      <w:pPr>
        <w:spacing w:after="20" w:line="252" w:lineRule="auto"/>
      </w:pPr>
      <w:r>
        <w:rPr>
          <w:rFonts w:ascii="Aptos" w:hAnsi="Aptos" w:eastAsia="Aptos"/>
          <w:i w:val="0"/>
          <w:sz w:val="21"/>
        </w:rPr>
        <w:t>Appendix A. Required Content Inputs</w:t>
      </w:r>
    </w:p>
    <w:p>
      <w:pPr>
        <w:spacing w:after="20" w:line="252" w:lineRule="auto"/>
      </w:pPr>
      <w:r>
        <w:rPr>
          <w:rFonts w:ascii="Aptos" w:hAnsi="Aptos" w:eastAsia="Aptos"/>
          <w:i w:val="0"/>
          <w:sz w:val="21"/>
        </w:rPr>
        <w:t>Appendix B. References</w:t>
      </w:r>
    </w:p>
    <w:tbl>
      <w:tblPr>
        <w:tblW w:type="auto" w:w="0"/>
        <w:jc w:val="center"/>
        <w:tblLayout w:type="fixed"/>
        <w:tblLook w:firstColumn="1" w:firstRow="1" w:lastColumn="0" w:lastRow="0" w:noHBand="0" w:noVBand="1" w:val="04A0"/>
      </w:tblPr>
      <w:tblGrid>
        <w:gridCol w:w="9524"/>
      </w:tblGrid>
      <w:tr>
        <w:trPr>
          <w:cantSplit/>
        </w:trPr>
        <w:tc>
          <w:tcPr>
            <w:tcW w:type="dxa" w:w="10256"/>
            <w:shd w:fill="EAF4E6"/>
            <w:tcBorders>
              <w:top w:val="single" w:sz="8" w:color="1F5A3A"/>
              <w:left w:val="single" w:sz="8" w:color="1F5A3A"/>
              <w:bottom w:val="single" w:sz="8" w:color="1F5A3A"/>
              <w:right w:val="single" w:sz="8" w:color="1F5A3A"/>
            </w:tcBorders>
            <w:tcMar>
              <w:top w:w="140" w:type="dxa"/>
              <w:start w:w="180" w:type="dxa"/>
              <w:bottom w:w="140" w:type="dxa"/>
              <w:end w:w="180" w:type="dxa"/>
            </w:tcMar>
          </w:tcPr>
          <w:p>
            <w:r>
              <w:rPr>
                <w:rFonts w:ascii="Aptos" w:hAnsi="Aptos" w:eastAsia="Aptos"/>
                <w:b/>
                <w:color w:val="1F5A3A"/>
                <w:sz w:val="21"/>
              </w:rPr>
              <w:t>Important positioning decision</w:t>
            </w:r>
            <w:r>
              <w:rPr>
                <w:rFonts w:ascii="Aptos" w:hAnsi="Aptos" w:eastAsia="Aptos"/>
                <w:sz w:val="20"/>
              </w:rPr>
              <w:br/>
              <w:t>Samari Kuhsor is the public commercial brand. QOIM is the legal entity and must appear in the footer, legal policies, contact details, certificates and formal downloads. The website must not present QOIM or Samari Kuhsor as a government body.</w:t>
            </w:r>
          </w:p>
        </w:tc>
      </w:tr>
    </w:tbl>
    <w:p>
      <w:pPr>
        <w:spacing w:after="0"/>
      </w:pPr>
    </w:p>
    <w:p>
      <w:r>
        <w:br w:type="page"/>
      </w:r>
    </w:p>
    <w:p>
      <w:pPr>
        <w:pStyle w:val="Heading1"/>
      </w:pPr>
      <w:r>
        <w:t>1. Project Context and Strategic Direction</w:t>
      </w:r>
    </w:p>
    <w:p>
      <w:pPr>
        <w:spacing w:after="80" w:line="252" w:lineRule="auto"/>
      </w:pPr>
      <w:r>
        <w:rPr>
          <w:rFonts w:ascii="Aptos" w:hAnsi="Aptos" w:eastAsia="Aptos"/>
          <w:i w:val="0"/>
          <w:sz w:val="21"/>
        </w:rPr>
        <w:t>QOIM is developing a food and beverage production facility in Tem, Khorog, GBAO. The commercial brand Samari Kuhsor will initially present four product categories: direct-pressed apple juice, apricot jam, tomato paste and non-carbonated drinking water.</w:t>
      </w:r>
    </w:p>
    <w:p>
      <w:pPr>
        <w:spacing w:after="80" w:line="252" w:lineRule="auto"/>
      </w:pPr>
      <w:r>
        <w:rPr>
          <w:rFonts w:ascii="Aptos" w:hAnsi="Aptos" w:eastAsia="Aptos"/>
          <w:i w:val="0"/>
          <w:sz w:val="21"/>
        </w:rPr>
        <w:t>The website should establish the company as a modern Tajik producer connected to the Pamir region, local agricultural resources, responsible processing, quality control and professional packaging. The site must communicate trust without making claims that are not yet supported by approved recipes, laboratory testing or certificates.</w:t>
      </w:r>
    </w:p>
    <w:p>
      <w:pPr>
        <w:pStyle w:val="Heading2"/>
      </w:pPr>
      <w:r>
        <w:t>1.1 Recommended market position</w:t>
      </w:r>
    </w:p>
    <w:p>
      <w:pPr>
        <w:pStyle w:val="ListBullet"/>
        <w:spacing w:after="40" w:line="252" w:lineRule="auto"/>
      </w:pPr>
      <w:r>
        <w:rPr>
          <w:rFonts w:ascii="Aptos" w:hAnsi="Aptos" w:eastAsia="Aptos"/>
          <w:sz w:val="21"/>
        </w:rPr>
        <w:t>A Tajik food and beverage brand with a clear regional identity.</w:t>
      </w:r>
    </w:p>
    <w:p>
      <w:pPr>
        <w:pStyle w:val="ListBullet"/>
        <w:spacing w:after="40" w:line="252" w:lineRule="auto"/>
      </w:pPr>
      <w:r>
        <w:rPr>
          <w:rFonts w:ascii="Aptos" w:hAnsi="Aptos" w:eastAsia="Aptos"/>
          <w:sz w:val="21"/>
        </w:rPr>
        <w:t>Modern production and packaging rather than a purely traditional or handmade image.</w:t>
      </w:r>
    </w:p>
    <w:p>
      <w:pPr>
        <w:pStyle w:val="ListBullet"/>
        <w:spacing w:after="40" w:line="252" w:lineRule="auto"/>
      </w:pPr>
      <w:r>
        <w:rPr>
          <w:rFonts w:ascii="Aptos" w:hAnsi="Aptos" w:eastAsia="Aptos"/>
          <w:sz w:val="21"/>
        </w:rPr>
        <w:t>Products inspired by the Pamir region and local agricultural resources.</w:t>
      </w:r>
    </w:p>
    <w:p>
      <w:pPr>
        <w:pStyle w:val="ListBullet"/>
        <w:spacing w:after="40" w:line="252" w:lineRule="auto"/>
      </w:pPr>
      <w:r>
        <w:rPr>
          <w:rFonts w:ascii="Aptos" w:hAnsi="Aptos" w:eastAsia="Aptos"/>
          <w:sz w:val="21"/>
        </w:rPr>
        <w:t>A credible partner for retailers, distributors, institutions and development partners.</w:t>
      </w:r>
    </w:p>
    <w:p>
      <w:pPr>
        <w:pStyle w:val="Heading2"/>
      </w:pPr>
      <w:r>
        <w:t>1.2 Core message</w:t>
      </w:r>
    </w:p>
    <w:tbl>
      <w:tblPr>
        <w:tblW w:type="auto" w:w="0"/>
        <w:jc w:val="center"/>
        <w:tblLayout w:type="fixed"/>
        <w:tblLook w:firstColumn="1" w:firstRow="1" w:lastColumn="0" w:lastRow="0" w:noHBand="0" w:noVBand="1" w:val="04A0"/>
      </w:tblPr>
      <w:tblGrid>
        <w:gridCol w:w="9524"/>
      </w:tblGrid>
      <w:tr>
        <w:trPr>
          <w:cantSplit/>
        </w:trPr>
        <w:tc>
          <w:tcPr>
            <w:tcW w:type="dxa" w:w="10256"/>
            <w:shd w:fill="FFF9EF"/>
            <w:tcBorders>
              <w:top w:val="single" w:sz="8" w:color="E88828"/>
              <w:left w:val="single" w:sz="8" w:color="E88828"/>
              <w:bottom w:val="single" w:sz="8" w:color="E88828"/>
              <w:right w:val="single" w:sz="8" w:color="E88828"/>
            </w:tcBorders>
            <w:tcMar>
              <w:top w:w="140" w:type="dxa"/>
              <w:start w:w="180" w:type="dxa"/>
              <w:bottom w:w="140" w:type="dxa"/>
              <w:end w:w="180" w:type="dxa"/>
            </w:tcMar>
          </w:tcPr>
          <w:p>
            <w:r>
              <w:rPr>
                <w:rFonts w:ascii="Aptos" w:hAnsi="Aptos" w:eastAsia="Aptos"/>
                <w:b/>
                <w:color w:val="E88828"/>
                <w:sz w:val="21"/>
              </w:rPr>
              <w:t>Recommended umbrella message</w:t>
            </w:r>
            <w:r>
              <w:rPr>
                <w:rFonts w:ascii="Aptos" w:hAnsi="Aptos" w:eastAsia="Aptos"/>
                <w:sz w:val="20"/>
              </w:rPr>
              <w:br/>
              <w:t>A Tajik brand. A modern production facility. Products inspired by the Pamir region.</w:t>
            </w:r>
          </w:p>
        </w:tc>
      </w:tr>
    </w:tbl>
    <w:p>
      <w:pPr>
        <w:spacing w:after="0"/>
      </w:pPr>
    </w:p>
    <w:p>
      <w:pPr>
        <w:pStyle w:val="Heading1"/>
      </w:pPr>
      <w:r>
        <w:t>2. Objectives, Audiences and Scope</w:t>
      </w:r>
    </w:p>
    <w:p>
      <w:pPr>
        <w:pStyle w:val="Heading2"/>
      </w:pPr>
      <w:r>
        <w:t>2.1 Website objectives</w:t>
      </w:r>
    </w:p>
    <w:p>
      <w:pPr>
        <w:pStyle w:val="ListBullet"/>
        <w:spacing w:after="40" w:line="252" w:lineRule="auto"/>
      </w:pPr>
      <w:r>
        <w:rPr>
          <w:rFonts w:ascii="Aptos" w:hAnsi="Aptos" w:eastAsia="Aptos"/>
          <w:sz w:val="21"/>
        </w:rPr>
        <w:t>Present QOIM and the Samari Kuhsor brand professionally.</w:t>
      </w:r>
    </w:p>
    <w:p>
      <w:pPr>
        <w:pStyle w:val="ListBullet"/>
        <w:spacing w:after="40" w:line="252" w:lineRule="auto"/>
      </w:pPr>
      <w:r>
        <w:rPr>
          <w:rFonts w:ascii="Aptos" w:hAnsi="Aptos" w:eastAsia="Aptos"/>
          <w:sz w:val="21"/>
        </w:rPr>
        <w:t>Provide an accurate and visually strong product catalogue.</w:t>
      </w:r>
    </w:p>
    <w:p>
      <w:pPr>
        <w:pStyle w:val="ListBullet"/>
        <w:spacing w:after="40" w:line="252" w:lineRule="auto"/>
      </w:pPr>
      <w:r>
        <w:rPr>
          <w:rFonts w:ascii="Aptos" w:hAnsi="Aptos" w:eastAsia="Aptos"/>
          <w:sz w:val="21"/>
        </w:rPr>
        <w:t>Build confidence through information about production, hygiene, packaging and quality control.</w:t>
      </w:r>
    </w:p>
    <w:p>
      <w:pPr>
        <w:pStyle w:val="ListBullet"/>
        <w:spacing w:after="40" w:line="252" w:lineRule="auto"/>
      </w:pPr>
      <w:r>
        <w:rPr>
          <w:rFonts w:ascii="Aptos" w:hAnsi="Aptos" w:eastAsia="Aptos"/>
          <w:sz w:val="21"/>
        </w:rPr>
        <w:t>Provide verified corporate, legal and contact information.</w:t>
      </w:r>
    </w:p>
    <w:p>
      <w:pPr>
        <w:pStyle w:val="ListBullet"/>
        <w:spacing w:after="40" w:line="252" w:lineRule="auto"/>
      </w:pPr>
      <w:r>
        <w:rPr>
          <w:rFonts w:ascii="Aptos" w:hAnsi="Aptos" w:eastAsia="Aptos"/>
          <w:sz w:val="21"/>
        </w:rPr>
        <w:t>Generate distributor, wholesale, supplier and partnership inquiries.</w:t>
      </w:r>
    </w:p>
    <w:p>
      <w:pPr>
        <w:pStyle w:val="ListBullet"/>
        <w:spacing w:after="40" w:line="252" w:lineRule="auto"/>
      </w:pPr>
      <w:r>
        <w:rPr>
          <w:rFonts w:ascii="Aptos" w:hAnsi="Aptos" w:eastAsia="Aptos"/>
          <w:sz w:val="21"/>
        </w:rPr>
        <w:t>Publish company news, launch milestones, photographs, videos and downloadable documents.</w:t>
      </w:r>
    </w:p>
    <w:p>
      <w:pPr>
        <w:pStyle w:val="Heading2"/>
      </w:pPr>
      <w:r>
        <w:t>2.2 Primary audiences</w:t>
      </w:r>
    </w:p>
    <w:tbl>
      <w:tblPr>
        <w:tblW w:type="auto" w:w="0"/>
        <w:jc w:val="center"/>
        <w:tblLayout w:type="fixed"/>
        <w:tblLook w:firstColumn="1" w:firstRow="1" w:lastColumn="0" w:lastRow="0" w:noHBand="0" w:noVBand="1" w:val="04A0"/>
      </w:tblPr>
      <w:tblGrid>
        <w:gridCol w:w="3419"/>
        <w:gridCol w:w="3419"/>
        <w:gridCol w:w="3419"/>
      </w:tblGrid>
      <w:tr>
        <w:trPr>
          <w:tblHeader w:val="true"/>
          <w:cantSplit/>
        </w:trPr>
        <w:tc>
          <w:tcPr>
            <w:tcW w:type="dxa" w:w="1984"/>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264B5D"/>
          </w:tcPr>
          <w:p>
            <w:pPr>
              <w:spacing w:after="0" w:line="240" w:lineRule="auto"/>
              <w:jc w:val="center"/>
            </w:pPr>
            <w:r>
              <w:rPr>
                <w:rFonts w:ascii="Aptos" w:hAnsi="Aptos" w:eastAsia="Aptos"/>
                <w:b/>
                <w:color w:val="FFFFFF"/>
                <w:sz w:val="17"/>
              </w:rPr>
              <w:t>Audience</w:t>
            </w:r>
          </w:p>
        </w:tc>
        <w:tc>
          <w:tcPr>
            <w:tcW w:type="dxa" w:w="3969"/>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264B5D"/>
          </w:tcPr>
          <w:p>
            <w:pPr>
              <w:spacing w:after="0" w:line="240" w:lineRule="auto"/>
              <w:jc w:val="center"/>
            </w:pPr>
            <w:r>
              <w:rPr>
                <w:rFonts w:ascii="Aptos" w:hAnsi="Aptos" w:eastAsia="Aptos"/>
                <w:b/>
                <w:color w:val="FFFFFF"/>
                <w:sz w:val="17"/>
              </w:rPr>
              <w:t>Primary need</w:t>
            </w:r>
          </w:p>
        </w:tc>
        <w:tc>
          <w:tcPr>
            <w:tcW w:type="dxa" w:w="311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264B5D"/>
          </w:tcPr>
          <w:p>
            <w:pPr>
              <w:spacing w:after="0" w:line="240" w:lineRule="auto"/>
              <w:jc w:val="center"/>
            </w:pPr>
            <w:r>
              <w:rPr>
                <w:rFonts w:ascii="Aptos" w:hAnsi="Aptos" w:eastAsia="Aptos"/>
                <w:b/>
                <w:color w:val="FFFFFF"/>
                <w:sz w:val="17"/>
              </w:rPr>
              <w:t>Desired action</w:t>
            </w:r>
          </w:p>
        </w:tc>
      </w:tr>
      <w:tr>
        <w:trPr>
          <w:cantSplit/>
        </w:trPr>
        <w:tc>
          <w:tcPr>
            <w:tcW w:type="dxa" w:w="1984"/>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7"/>
              </w:rPr>
              <w:t>Consumers</w:t>
            </w:r>
          </w:p>
        </w:tc>
        <w:tc>
          <w:tcPr>
            <w:tcW w:type="dxa" w:w="3969"/>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7"/>
              </w:rPr>
              <w:t>Understand the brand, products, packaging and availability</w:t>
            </w:r>
          </w:p>
        </w:tc>
        <w:tc>
          <w:tcPr>
            <w:tcW w:type="dxa" w:w="311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7"/>
              </w:rPr>
              <w:t>Explore products and contact the company</w:t>
            </w:r>
          </w:p>
        </w:tc>
      </w:tr>
      <w:tr>
        <w:trPr>
          <w:cantSplit/>
        </w:trPr>
        <w:tc>
          <w:tcPr>
            <w:tcW w:type="dxa" w:w="1984"/>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7"/>
              </w:rPr>
              <w:t>Retailers and distributors</w:t>
            </w:r>
          </w:p>
        </w:tc>
        <w:tc>
          <w:tcPr>
            <w:tcW w:type="dxa" w:w="3969"/>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7"/>
              </w:rPr>
              <w:t>Review formats, specifications and commercial readiness</w:t>
            </w:r>
          </w:p>
        </w:tc>
        <w:tc>
          <w:tcPr>
            <w:tcW w:type="dxa" w:w="311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7"/>
              </w:rPr>
              <w:t>Submit a wholesale or distributor inquiry</w:t>
            </w:r>
          </w:p>
        </w:tc>
      </w:tr>
      <w:tr>
        <w:trPr>
          <w:cantSplit/>
        </w:trPr>
        <w:tc>
          <w:tcPr>
            <w:tcW w:type="dxa" w:w="1984"/>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7"/>
              </w:rPr>
              <w:t>Government and institutions</w:t>
            </w:r>
          </w:p>
        </w:tc>
        <w:tc>
          <w:tcPr>
            <w:tcW w:type="dxa" w:w="3969"/>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7"/>
              </w:rPr>
              <w:t>Confirm enterprise identity, production location and development relevance</w:t>
            </w:r>
          </w:p>
        </w:tc>
        <w:tc>
          <w:tcPr>
            <w:tcW w:type="dxa" w:w="311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7"/>
              </w:rPr>
              <w:t>Access official corporate information</w:t>
            </w:r>
          </w:p>
        </w:tc>
      </w:tr>
      <w:tr>
        <w:trPr>
          <w:cantSplit/>
        </w:trPr>
        <w:tc>
          <w:tcPr>
            <w:tcW w:type="dxa" w:w="1984"/>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7"/>
              </w:rPr>
              <w:t>Suppliers and partners</w:t>
            </w:r>
          </w:p>
        </w:tc>
        <w:tc>
          <w:tcPr>
            <w:tcW w:type="dxa" w:w="3969"/>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7"/>
              </w:rPr>
              <w:t>Understand current production categories and procurement needs</w:t>
            </w:r>
          </w:p>
        </w:tc>
        <w:tc>
          <w:tcPr>
            <w:tcW w:type="dxa" w:w="311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7"/>
              </w:rPr>
              <w:t>Submit a supplier or cooperation proposal</w:t>
            </w:r>
          </w:p>
        </w:tc>
      </w:tr>
      <w:tr>
        <w:trPr>
          <w:cantSplit/>
        </w:trPr>
        <w:tc>
          <w:tcPr>
            <w:tcW w:type="dxa" w:w="1984"/>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7"/>
              </w:rPr>
              <w:t>Media and public</w:t>
            </w:r>
          </w:p>
        </w:tc>
        <w:tc>
          <w:tcPr>
            <w:tcW w:type="dxa" w:w="3969"/>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7"/>
              </w:rPr>
              <w:t>Access approved news, imagery and company background</w:t>
            </w:r>
          </w:p>
        </w:tc>
        <w:tc>
          <w:tcPr>
            <w:tcW w:type="dxa" w:w="311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7"/>
              </w:rPr>
              <w:t>Use official information and contact the media focal point</w:t>
            </w:r>
          </w:p>
        </w:tc>
      </w:tr>
    </w:tbl>
    <w:p>
      <w:pPr>
        <w:pStyle w:val="Heading2"/>
      </w:pPr>
      <w:r>
        <w:t>2.3 Phase 1 scope</w:t>
      </w:r>
    </w:p>
    <w:p>
      <w:pPr>
        <w:pStyle w:val="ListBullet"/>
        <w:spacing w:after="40" w:line="252" w:lineRule="auto"/>
      </w:pPr>
      <w:r>
        <w:rPr>
          <w:rFonts w:ascii="Aptos" w:hAnsi="Aptos" w:eastAsia="Aptos"/>
          <w:sz w:val="21"/>
        </w:rPr>
        <w:t>Multilingual public website in Tajik, Russian and English.</w:t>
      </w:r>
    </w:p>
    <w:p>
      <w:pPr>
        <w:pStyle w:val="ListBullet"/>
        <w:spacing w:after="40" w:line="252" w:lineRule="auto"/>
      </w:pPr>
      <w:r>
        <w:rPr>
          <w:rFonts w:ascii="Aptos" w:hAnsi="Aptos" w:eastAsia="Aptos"/>
          <w:sz w:val="21"/>
        </w:rPr>
        <w:t>Corporate pages, President page, product catalogue, production and quality pages.</w:t>
      </w:r>
    </w:p>
    <w:p>
      <w:pPr>
        <w:pStyle w:val="ListBullet"/>
        <w:spacing w:after="40" w:line="252" w:lineRule="auto"/>
      </w:pPr>
      <w:r>
        <w:rPr>
          <w:rFonts w:ascii="Aptos" w:hAnsi="Aptos" w:eastAsia="Aptos"/>
          <w:sz w:val="21"/>
        </w:rPr>
        <w:t>News, photo/video gallery, downloads, contact and distributor inquiry forms.</w:t>
      </w:r>
    </w:p>
    <w:p>
      <w:pPr>
        <w:pStyle w:val="ListBullet"/>
        <w:spacing w:after="40" w:line="252" w:lineRule="auto"/>
      </w:pPr>
      <w:r>
        <w:rPr>
          <w:rFonts w:ascii="Aptos" w:hAnsi="Aptos" w:eastAsia="Aptos"/>
          <w:sz w:val="21"/>
        </w:rPr>
        <w:t>Content management system with role-based publishing workflow.</w:t>
      </w:r>
    </w:p>
    <w:p>
      <w:pPr>
        <w:pStyle w:val="ListBullet"/>
        <w:spacing w:after="40" w:line="252" w:lineRule="auto"/>
      </w:pPr>
      <w:r>
        <w:rPr>
          <w:rFonts w:ascii="Aptos" w:hAnsi="Aptos" w:eastAsia="Aptos"/>
          <w:sz w:val="21"/>
        </w:rPr>
        <w:t>Responsive design, SEO, analytics, accessibility, security and backups.</w:t>
      </w:r>
    </w:p>
    <w:p>
      <w:pPr>
        <w:pStyle w:val="Heading2"/>
      </w:pPr>
      <w:r>
        <w:t>2.4 Out of scope for Phase 1</w:t>
      </w:r>
    </w:p>
    <w:p>
      <w:pPr>
        <w:pStyle w:val="ListBullet"/>
        <w:spacing w:after="40" w:line="252" w:lineRule="auto"/>
      </w:pPr>
      <w:r>
        <w:rPr>
          <w:rFonts w:ascii="Aptos" w:hAnsi="Aptos" w:eastAsia="Aptos"/>
          <w:sz w:val="21"/>
        </w:rPr>
        <w:t>Online payment and e-commerce checkout.</w:t>
      </w:r>
    </w:p>
    <w:p>
      <w:pPr>
        <w:pStyle w:val="ListBullet"/>
        <w:spacing w:after="40" w:line="252" w:lineRule="auto"/>
      </w:pPr>
      <w:r>
        <w:rPr>
          <w:rFonts w:ascii="Aptos" w:hAnsi="Aptos" w:eastAsia="Aptos"/>
          <w:sz w:val="21"/>
        </w:rPr>
        <w:t>Consumer user accounts or loyalty programme.</w:t>
      </w:r>
    </w:p>
    <w:p>
      <w:pPr>
        <w:pStyle w:val="ListBullet"/>
        <w:spacing w:after="40" w:line="252" w:lineRule="auto"/>
      </w:pPr>
      <w:r>
        <w:rPr>
          <w:rFonts w:ascii="Aptos" w:hAnsi="Aptos" w:eastAsia="Aptos"/>
          <w:sz w:val="21"/>
        </w:rPr>
        <w:t>ERP, warehouse or accounting integration.</w:t>
      </w:r>
    </w:p>
    <w:p>
      <w:pPr>
        <w:pStyle w:val="ListBullet"/>
        <w:spacing w:after="40" w:line="252" w:lineRule="auto"/>
      </w:pPr>
      <w:r>
        <w:rPr>
          <w:rFonts w:ascii="Aptos" w:hAnsi="Aptos" w:eastAsia="Aptos"/>
          <w:sz w:val="21"/>
        </w:rPr>
        <w:t>Live stock availability and automated wholesale pricing.</w:t>
      </w:r>
    </w:p>
    <w:p>
      <w:pPr>
        <w:pStyle w:val="ListBullet"/>
        <w:spacing w:after="40" w:line="252" w:lineRule="auto"/>
      </w:pPr>
      <w:r>
        <w:rPr>
          <w:rFonts w:ascii="Aptos" w:hAnsi="Aptos" w:eastAsia="Aptos"/>
          <w:sz w:val="21"/>
        </w:rPr>
        <w:t>Public recruitment portal beyond a basic vacancy/contact form.</w:t>
      </w:r>
    </w:p>
    <w:p>
      <w:pPr>
        <w:pStyle w:val="Heading1"/>
      </w:pPr>
      <w:r>
        <w:t>3. Brand and Legal Architecture</w:t>
      </w:r>
    </w:p>
    <w:tbl>
      <w:tblPr>
        <w:tblW w:type="auto" w:w="0"/>
        <w:jc w:val="center"/>
        <w:tblLayout w:type="fixed"/>
        <w:tblLook w:firstColumn="1" w:firstRow="1" w:lastColumn="0" w:lastRow="0" w:noHBand="0" w:noVBand="1" w:val="04A0"/>
      </w:tblPr>
      <w:tblGrid>
        <w:gridCol w:w="3419"/>
        <w:gridCol w:w="3419"/>
        <w:gridCol w:w="3419"/>
      </w:tblGrid>
      <w:tr>
        <w:trPr>
          <w:tblHeader w:val="true"/>
          <w:cantSplit/>
        </w:trPr>
        <w:tc>
          <w:tcPr>
            <w:tcW w:type="dxa" w:w="187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264B5D"/>
          </w:tcPr>
          <w:p>
            <w:pPr>
              <w:spacing w:after="0" w:line="240" w:lineRule="auto"/>
              <w:jc w:val="center"/>
            </w:pPr>
            <w:r>
              <w:rPr>
                <w:rFonts w:ascii="Aptos" w:hAnsi="Aptos" w:eastAsia="Aptos"/>
                <w:b/>
                <w:color w:val="FFFFFF"/>
                <w:sz w:val="17"/>
              </w:rPr>
              <w:t>Element</w:t>
            </w:r>
          </w:p>
        </w:tc>
        <w:tc>
          <w:tcPr>
            <w:tcW w:type="dxa" w:w="289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264B5D"/>
          </w:tcPr>
          <w:p>
            <w:pPr>
              <w:spacing w:after="0" w:line="240" w:lineRule="auto"/>
              <w:jc w:val="center"/>
            </w:pPr>
            <w:r>
              <w:rPr>
                <w:rFonts w:ascii="Aptos" w:hAnsi="Aptos" w:eastAsia="Aptos"/>
                <w:b/>
                <w:color w:val="FFFFFF"/>
                <w:sz w:val="17"/>
              </w:rPr>
              <w:t>Approved name</w:t>
            </w:r>
          </w:p>
        </w:tc>
        <w:tc>
          <w:tcPr>
            <w:tcW w:type="dxa" w:w="4309"/>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264B5D"/>
          </w:tcPr>
          <w:p>
            <w:pPr>
              <w:spacing w:after="0" w:line="240" w:lineRule="auto"/>
              <w:jc w:val="center"/>
            </w:pPr>
            <w:r>
              <w:rPr>
                <w:rFonts w:ascii="Aptos" w:hAnsi="Aptos" w:eastAsia="Aptos"/>
                <w:b/>
                <w:color w:val="FFFFFF"/>
                <w:sz w:val="17"/>
              </w:rPr>
              <w:t>Website usage</w:t>
            </w:r>
          </w:p>
        </w:tc>
      </w:tr>
      <w:tr>
        <w:trPr>
          <w:cantSplit/>
        </w:trPr>
        <w:tc>
          <w:tcPr>
            <w:tcW w:type="dxa" w:w="187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7"/>
              </w:rPr>
              <w:t>Legal entity</w:t>
            </w:r>
          </w:p>
        </w:tc>
        <w:tc>
          <w:tcPr>
            <w:tcW w:type="dxa" w:w="289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7"/>
              </w:rPr>
              <w:t>QOIM</w:t>
            </w:r>
          </w:p>
        </w:tc>
        <w:tc>
          <w:tcPr>
            <w:tcW w:type="dxa" w:w="4309"/>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7"/>
              </w:rPr>
              <w:t>Footer, legal pages, certificates, formal downloads and contact/legal details</w:t>
            </w:r>
          </w:p>
        </w:tc>
      </w:tr>
      <w:tr>
        <w:trPr>
          <w:cantSplit/>
        </w:trPr>
        <w:tc>
          <w:tcPr>
            <w:tcW w:type="dxa" w:w="187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7"/>
              </w:rPr>
              <w:t>Commercial brand</w:t>
            </w:r>
          </w:p>
        </w:tc>
        <w:tc>
          <w:tcPr>
            <w:tcW w:type="dxa" w:w="289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7"/>
              </w:rPr>
              <w:t>Самари Кӯҳсор / Samari Kuhsor</w:t>
            </w:r>
          </w:p>
        </w:tc>
        <w:tc>
          <w:tcPr>
            <w:tcW w:type="dxa" w:w="4309"/>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7"/>
              </w:rPr>
              <w:t>Main navigation, logo, product pages and public marketing content</w:t>
            </w:r>
          </w:p>
        </w:tc>
      </w:tr>
      <w:tr>
        <w:trPr>
          <w:cantSplit/>
        </w:trPr>
        <w:tc>
          <w:tcPr>
            <w:tcW w:type="dxa" w:w="187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7"/>
              </w:rPr>
              <w:t>Production location</w:t>
            </w:r>
          </w:p>
        </w:tc>
        <w:tc>
          <w:tcPr>
            <w:tcW w:type="dxa" w:w="289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7"/>
              </w:rPr>
              <w:t>Tem, Khorog, GBAO, Republic of Tajikistan</w:t>
            </w:r>
          </w:p>
        </w:tc>
        <w:tc>
          <w:tcPr>
            <w:tcW w:type="dxa" w:w="4309"/>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7"/>
              </w:rPr>
              <w:t>Contact, About, Production and footer</w:t>
            </w:r>
          </w:p>
        </w:tc>
      </w:tr>
      <w:tr>
        <w:trPr>
          <w:cantSplit/>
        </w:trPr>
        <w:tc>
          <w:tcPr>
            <w:tcW w:type="dxa" w:w="187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7"/>
              </w:rPr>
              <w:t>Brand slogan</w:t>
            </w:r>
          </w:p>
        </w:tc>
        <w:tc>
          <w:tcPr>
            <w:tcW w:type="dxa" w:w="289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7"/>
              </w:rPr>
              <w:t>Тозагӣ аз табиат</w:t>
            </w:r>
          </w:p>
        </w:tc>
        <w:tc>
          <w:tcPr>
            <w:tcW w:type="dxa" w:w="4309"/>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7"/>
              </w:rPr>
              <w:t>Logo lock-up and selected brand sections</w:t>
            </w:r>
          </w:p>
        </w:tc>
      </w:tr>
      <w:tr>
        <w:trPr>
          <w:cantSplit/>
        </w:trPr>
        <w:tc>
          <w:tcPr>
            <w:tcW w:type="dxa" w:w="187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7"/>
              </w:rPr>
              <w:t>English support line</w:t>
            </w:r>
          </w:p>
        </w:tc>
        <w:tc>
          <w:tcPr>
            <w:tcW w:type="dxa" w:w="289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7"/>
              </w:rPr>
              <w:t>Purity from Nature</w:t>
            </w:r>
          </w:p>
        </w:tc>
        <w:tc>
          <w:tcPr>
            <w:tcW w:type="dxa" w:w="4309"/>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7"/>
              </w:rPr>
              <w:t>Optional supporting text, subject to brand approval</w:t>
            </w:r>
          </w:p>
        </w:tc>
      </w:tr>
    </w:tbl>
    <w:p>
      <w:pPr>
        <w:pStyle w:val="Heading2"/>
      </w:pPr>
      <w:r>
        <w:t>3.1 Recommended footer disclosure</w:t>
      </w:r>
    </w:p>
    <w:tbl>
      <w:tblPr>
        <w:tblW w:type="auto" w:w="0"/>
        <w:jc w:val="center"/>
        <w:tblLayout w:type="fixed"/>
        <w:tblLook w:firstColumn="1" w:firstRow="1" w:lastColumn="0" w:lastRow="0" w:noHBand="0" w:noVBand="1" w:val="04A0"/>
      </w:tblPr>
      <w:tblGrid>
        <w:gridCol w:w="9524"/>
      </w:tblGrid>
      <w:tr>
        <w:trPr>
          <w:cantSplit/>
        </w:trPr>
        <w:tc>
          <w:tcPr>
            <w:tcW w:type="dxa" w:w="10256"/>
            <w:shd w:fill="E5F0F5"/>
            <w:tcBorders>
              <w:top w:val="single" w:sz="8" w:color="264B5D"/>
              <w:left w:val="single" w:sz="8" w:color="264B5D"/>
              <w:bottom w:val="single" w:sz="8" w:color="264B5D"/>
              <w:right w:val="single" w:sz="8" w:color="264B5D"/>
            </w:tcBorders>
            <w:tcMar>
              <w:top w:w="140" w:type="dxa"/>
              <w:start w:w="180" w:type="dxa"/>
              <w:bottom w:w="140" w:type="dxa"/>
              <w:end w:w="180" w:type="dxa"/>
            </w:tcMar>
          </w:tcPr>
          <w:p>
            <w:r>
              <w:rPr>
                <w:rFonts w:ascii="Aptos" w:hAnsi="Aptos" w:eastAsia="Aptos"/>
                <w:b/>
                <w:color w:val="264B5D"/>
                <w:sz w:val="21"/>
              </w:rPr>
              <w:t>Footer wording</w:t>
            </w:r>
            <w:r>
              <w:rPr>
                <w:rFonts w:ascii="Aptos" w:hAnsi="Aptos" w:eastAsia="Aptos"/>
                <w:sz w:val="20"/>
              </w:rPr>
              <w:br/>
              <w:t>Samari Kuhsor is a commercial brand of QOIM. Production facility: Tem, Khorog, GBAO, Republic of Tajikistan.</w:t>
            </w:r>
          </w:p>
        </w:tc>
      </w:tr>
    </w:tbl>
    <w:p>
      <w:pPr>
        <w:spacing w:after="0"/>
      </w:pPr>
    </w:p>
    <w:p>
      <w:pPr>
        <w:pStyle w:val="Heading1"/>
      </w:pPr>
      <w:r>
        <w:t>4. Languages and URL Structure</w:t>
      </w:r>
    </w:p>
    <w:p>
      <w:pPr>
        <w:spacing w:after="80" w:line="252" w:lineRule="auto"/>
      </w:pPr>
      <w:r>
        <w:rPr>
          <w:rFonts w:ascii="Aptos" w:hAnsi="Aptos" w:eastAsia="Aptos"/>
          <w:i w:val="0"/>
          <w:sz w:val="21"/>
        </w:rPr>
        <w:t>The website shall be fully available in Tajik, Russian and English. Tajik should be the default language unless the client decides otherwise before development begins. Each language version must be manually reviewed; automatic translation is not acceptable for final public content.</w:t>
      </w:r>
    </w:p>
    <w:tbl>
      <w:tblPr>
        <w:tblW w:type="auto" w:w="0"/>
        <w:jc w:val="center"/>
        <w:tblLayout w:type="fixed"/>
        <w:tblLook w:firstColumn="1" w:firstRow="1" w:lastColumn="0" w:lastRow="0" w:noHBand="0" w:noVBand="1" w:val="04A0"/>
      </w:tblPr>
      <w:tblGrid>
        <w:gridCol w:w="3419"/>
        <w:gridCol w:w="3419"/>
        <w:gridCol w:w="3419"/>
      </w:tblGrid>
      <w:tr>
        <w:trPr>
          <w:tblHeader w:val="true"/>
          <w:cantSplit/>
        </w:trPr>
        <w:tc>
          <w:tcPr>
            <w:tcW w:type="dxa" w:w="1984"/>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264B5D"/>
          </w:tcPr>
          <w:p>
            <w:pPr>
              <w:spacing w:after="0" w:line="240" w:lineRule="auto"/>
              <w:jc w:val="center"/>
            </w:pPr>
            <w:r>
              <w:rPr>
                <w:rFonts w:ascii="Aptos" w:hAnsi="Aptos" w:eastAsia="Aptos"/>
                <w:b/>
                <w:color w:val="FFFFFF"/>
                <w:sz w:val="18"/>
              </w:rPr>
              <w:t>Language</w:t>
            </w:r>
          </w:p>
        </w:tc>
        <w:tc>
          <w:tcPr>
            <w:tcW w:type="dxa" w:w="170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264B5D"/>
          </w:tcPr>
          <w:p>
            <w:pPr>
              <w:spacing w:after="0" w:line="240" w:lineRule="auto"/>
              <w:jc w:val="center"/>
            </w:pPr>
            <w:r>
              <w:rPr>
                <w:rFonts w:ascii="Aptos" w:hAnsi="Aptos" w:eastAsia="Aptos"/>
                <w:b/>
                <w:color w:val="FFFFFF"/>
                <w:sz w:val="18"/>
              </w:rPr>
              <w:t>Prefix</w:t>
            </w:r>
          </w:p>
        </w:tc>
        <w:tc>
          <w:tcPr>
            <w:tcW w:type="dxa" w:w="5386"/>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264B5D"/>
          </w:tcPr>
          <w:p>
            <w:pPr>
              <w:spacing w:after="0" w:line="240" w:lineRule="auto"/>
              <w:jc w:val="center"/>
            </w:pPr>
            <w:r>
              <w:rPr>
                <w:rFonts w:ascii="Aptos" w:hAnsi="Aptos" w:eastAsia="Aptos"/>
                <w:b/>
                <w:color w:val="FFFFFF"/>
                <w:sz w:val="18"/>
              </w:rPr>
              <w:t>Example</w:t>
            </w:r>
          </w:p>
        </w:tc>
      </w:tr>
      <w:tr>
        <w:trPr>
          <w:cantSplit/>
        </w:trPr>
        <w:tc>
          <w:tcPr>
            <w:tcW w:type="dxa" w:w="1984"/>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8"/>
              </w:rPr>
              <w:t>Tajik</w:t>
            </w:r>
          </w:p>
        </w:tc>
        <w:tc>
          <w:tcPr>
            <w:tcW w:type="dxa" w:w="170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8"/>
              </w:rPr>
              <w:t>/tj/</w:t>
            </w:r>
          </w:p>
        </w:tc>
        <w:tc>
          <w:tcPr>
            <w:tcW w:type="dxa" w:w="5386"/>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8"/>
              </w:rPr>
              <w:t>/tj/mahsulot/obi-nushoki</w:t>
            </w:r>
          </w:p>
        </w:tc>
      </w:tr>
      <w:tr>
        <w:trPr>
          <w:cantSplit/>
        </w:trPr>
        <w:tc>
          <w:tcPr>
            <w:tcW w:type="dxa" w:w="1984"/>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8"/>
              </w:rPr>
              <w:t>Russian</w:t>
            </w:r>
          </w:p>
        </w:tc>
        <w:tc>
          <w:tcPr>
            <w:tcW w:type="dxa" w:w="170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8"/>
              </w:rPr>
              <w:t>/ru/</w:t>
            </w:r>
          </w:p>
        </w:tc>
        <w:tc>
          <w:tcPr>
            <w:tcW w:type="dxa" w:w="5386"/>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8"/>
              </w:rPr>
              <w:t>/ru/products/drinking-water</w:t>
            </w:r>
          </w:p>
        </w:tc>
      </w:tr>
      <w:tr>
        <w:trPr>
          <w:cantSplit/>
        </w:trPr>
        <w:tc>
          <w:tcPr>
            <w:tcW w:type="dxa" w:w="1984"/>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8"/>
              </w:rPr>
              <w:t>English</w:t>
            </w:r>
          </w:p>
        </w:tc>
        <w:tc>
          <w:tcPr>
            <w:tcW w:type="dxa" w:w="170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8"/>
              </w:rPr>
              <w:t>/en/</w:t>
            </w:r>
          </w:p>
        </w:tc>
        <w:tc>
          <w:tcPr>
            <w:tcW w:type="dxa" w:w="5386"/>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8"/>
              </w:rPr>
              <w:t>/en/products/drinking-water</w:t>
            </w:r>
          </w:p>
        </w:tc>
      </w:tr>
    </w:tbl>
    <w:p>
      <w:pPr>
        <w:pStyle w:val="ListBullet"/>
        <w:spacing w:after="40" w:line="252" w:lineRule="auto"/>
      </w:pPr>
      <w:r>
        <w:rPr>
          <w:rFonts w:ascii="Aptos" w:hAnsi="Aptos" w:eastAsia="Aptos"/>
          <w:sz w:val="21"/>
        </w:rPr>
        <w:t>The language selector must be visible in the desktop header and mobile menu.</w:t>
      </w:r>
    </w:p>
    <w:p>
      <w:pPr>
        <w:pStyle w:val="ListBullet"/>
        <w:spacing w:after="40" w:line="252" w:lineRule="auto"/>
      </w:pPr>
      <w:r>
        <w:rPr>
          <w:rFonts w:ascii="Aptos" w:hAnsi="Aptos" w:eastAsia="Aptos"/>
          <w:sz w:val="21"/>
        </w:rPr>
        <w:t>Switching language should open the equivalent translated page, not the homepage.</w:t>
      </w:r>
    </w:p>
    <w:p>
      <w:pPr>
        <w:pStyle w:val="ListBullet"/>
        <w:spacing w:after="40" w:line="252" w:lineRule="auto"/>
      </w:pPr>
      <w:r>
        <w:rPr>
          <w:rFonts w:ascii="Aptos" w:hAnsi="Aptos" w:eastAsia="Aptos"/>
          <w:sz w:val="21"/>
        </w:rPr>
        <w:t>Each translation must have an independent publication status and review date.</w:t>
      </w:r>
    </w:p>
    <w:p>
      <w:pPr>
        <w:pStyle w:val="ListBullet"/>
        <w:spacing w:after="40" w:line="252" w:lineRule="auto"/>
      </w:pPr>
      <w:r>
        <w:rPr>
          <w:rFonts w:ascii="Aptos" w:hAnsi="Aptos" w:eastAsia="Aptos"/>
          <w:sz w:val="21"/>
        </w:rPr>
        <w:t>Search engines must receive correct hreflang and canonical metadata.</w:t>
      </w:r>
    </w:p>
    <w:p>
      <w:pPr>
        <w:pStyle w:val="Heading1"/>
      </w:pPr>
      <w:r>
        <w:t>5. Information Architecture and Sitemap</w:t>
      </w:r>
    </w:p>
    <w:p>
      <w:pPr>
        <w:spacing w:after="80" w:line="252" w:lineRule="auto"/>
      </w:pPr>
      <w:r>
        <w:rPr>
          <w:rFonts w:ascii="Aptos" w:hAnsi="Aptos" w:eastAsia="Aptos"/>
          <w:i w:val="0"/>
          <w:sz w:val="21"/>
        </w:rPr>
        <w:t>The proposed structure is intentionally broader than a simple brochure. It supports brand presentation, product discovery, institutional credibility and business inquiries while remaining manageable for a small content team.</w:t>
      </w:r>
    </w:p>
    <w:tbl>
      <w:tblPr>
        <w:tblW w:type="auto" w:w="0"/>
        <w:jc w:val="center"/>
        <w:tblLayout w:type="fixed"/>
        <w:tblLook w:firstColumn="1" w:firstRow="1" w:lastColumn="0" w:lastRow="0" w:noHBand="0" w:noVBand="1" w:val="04A0"/>
      </w:tblPr>
      <w:tblGrid>
        <w:gridCol w:w="3419"/>
        <w:gridCol w:w="3419"/>
        <w:gridCol w:w="3419"/>
      </w:tblGrid>
      <w:tr>
        <w:trPr>
          <w:tblHeader w:val="true"/>
          <w:cantSplit/>
        </w:trPr>
        <w:tc>
          <w:tcPr>
            <w:tcW w:type="dxa" w:w="1757"/>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264B5D"/>
          </w:tcPr>
          <w:p>
            <w:pPr>
              <w:spacing w:after="0" w:line="240" w:lineRule="auto"/>
              <w:jc w:val="center"/>
            </w:pPr>
            <w:r>
              <w:rPr>
                <w:rFonts w:ascii="Aptos" w:hAnsi="Aptos" w:eastAsia="Aptos"/>
                <w:b/>
                <w:color w:val="FFFFFF"/>
                <w:sz w:val="16"/>
              </w:rPr>
              <w:t>Level 1</w:t>
            </w:r>
          </w:p>
        </w:tc>
        <w:tc>
          <w:tcPr>
            <w:tcW w:type="dxa" w:w="362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264B5D"/>
          </w:tcPr>
          <w:p>
            <w:pPr>
              <w:spacing w:after="0" w:line="240" w:lineRule="auto"/>
              <w:jc w:val="center"/>
            </w:pPr>
            <w:r>
              <w:rPr>
                <w:rFonts w:ascii="Aptos" w:hAnsi="Aptos" w:eastAsia="Aptos"/>
                <w:b/>
                <w:color w:val="FFFFFF"/>
                <w:sz w:val="16"/>
              </w:rPr>
              <w:t>Level 2</w:t>
            </w:r>
          </w:p>
        </w:tc>
        <w:tc>
          <w:tcPr>
            <w:tcW w:type="dxa" w:w="3685"/>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264B5D"/>
          </w:tcPr>
          <w:p>
            <w:pPr>
              <w:spacing w:after="0" w:line="240" w:lineRule="auto"/>
              <w:jc w:val="center"/>
            </w:pPr>
            <w:r>
              <w:rPr>
                <w:rFonts w:ascii="Aptos" w:hAnsi="Aptos" w:eastAsia="Aptos"/>
                <w:b/>
                <w:color w:val="FFFFFF"/>
                <w:sz w:val="16"/>
              </w:rPr>
              <w:t>Purpose</w:t>
            </w:r>
          </w:p>
        </w:tc>
      </w:tr>
      <w:tr>
        <w:trPr>
          <w:cantSplit/>
        </w:trPr>
        <w:tc>
          <w:tcPr>
            <w:tcW w:type="dxa" w:w="1757"/>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b/>
                <w:color w:val="1F5A3A"/>
                <w:sz w:val="16"/>
              </w:rPr>
              <w:t>Home</w:t>
            </w:r>
          </w:p>
        </w:tc>
        <w:tc>
          <w:tcPr>
            <w:tcW w:type="dxa" w:w="362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6"/>
              </w:rPr>
              <w:t>-</w:t>
            </w:r>
          </w:p>
        </w:tc>
        <w:tc>
          <w:tcPr>
            <w:tcW w:type="dxa" w:w="3685"/>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6"/>
              </w:rPr>
              <w:t>Brand overview, products, trust, news and contact conversion</w:t>
            </w:r>
          </w:p>
        </w:tc>
      </w:tr>
      <w:tr>
        <w:trPr>
          <w:cantSplit/>
        </w:trPr>
        <w:tc>
          <w:tcPr>
            <w:tcW w:type="dxa" w:w="1757"/>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b/>
                <w:color w:val="1F5A3A"/>
                <w:sz w:val="16"/>
              </w:rPr>
              <w:t>About Us</w:t>
            </w:r>
          </w:p>
        </w:tc>
        <w:tc>
          <w:tcPr>
            <w:tcW w:type="dxa" w:w="362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6"/>
              </w:rPr>
              <w:t>About the Brand; Our Story; Production Facility; Mission and Values</w:t>
            </w:r>
          </w:p>
        </w:tc>
        <w:tc>
          <w:tcPr>
            <w:tcW w:type="dxa" w:w="3685"/>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6"/>
              </w:rPr>
              <w:t>Company identity and background</w:t>
            </w:r>
          </w:p>
        </w:tc>
      </w:tr>
      <w:tr>
        <w:trPr>
          <w:cantSplit/>
        </w:trPr>
        <w:tc>
          <w:tcPr>
            <w:tcW w:type="dxa" w:w="1757"/>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b/>
                <w:color w:val="1F5A3A"/>
                <w:sz w:val="16"/>
              </w:rPr>
              <w:t>Products</w:t>
            </w:r>
          </w:p>
        </w:tc>
        <w:tc>
          <w:tcPr>
            <w:tcW w:type="dxa" w:w="362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6"/>
              </w:rPr>
              <w:t>Apple Juice; Apricot Jam; Tomato Paste; Drinking Water</w:t>
            </w:r>
          </w:p>
        </w:tc>
        <w:tc>
          <w:tcPr>
            <w:tcW w:type="dxa" w:w="3685"/>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6"/>
              </w:rPr>
              <w:t>Product catalogue and technical consumer information</w:t>
            </w:r>
          </w:p>
        </w:tc>
      </w:tr>
      <w:tr>
        <w:trPr>
          <w:cantSplit/>
        </w:trPr>
        <w:tc>
          <w:tcPr>
            <w:tcW w:type="dxa" w:w="1757"/>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b/>
                <w:color w:val="1F5A3A"/>
                <w:sz w:val="16"/>
              </w:rPr>
              <w:t>Production &amp; Quality</w:t>
            </w:r>
          </w:p>
        </w:tc>
        <w:tc>
          <w:tcPr>
            <w:tcW w:type="dxa" w:w="362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6"/>
              </w:rPr>
              <w:t>Production Process; Quality Control; Packaging; Local Raw Materials</w:t>
            </w:r>
          </w:p>
        </w:tc>
        <w:tc>
          <w:tcPr>
            <w:tcW w:type="dxa" w:w="3685"/>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6"/>
              </w:rPr>
              <w:t>Trust-building and process transparency</w:t>
            </w:r>
          </w:p>
        </w:tc>
      </w:tr>
      <w:tr>
        <w:trPr>
          <w:cantSplit/>
        </w:trPr>
        <w:tc>
          <w:tcPr>
            <w:tcW w:type="dxa" w:w="1757"/>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b/>
                <w:color w:val="1F5A3A"/>
                <w:sz w:val="16"/>
              </w:rPr>
              <w:t>Tajikistan</w:t>
            </w:r>
          </w:p>
        </w:tc>
        <w:tc>
          <w:tcPr>
            <w:tcW w:type="dxa" w:w="362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6"/>
              </w:rPr>
              <w:t>President of the Republic of Tajikistan; About Tajikistan; National Symbols (optional)</w:t>
            </w:r>
          </w:p>
        </w:tc>
        <w:tc>
          <w:tcPr>
            <w:tcW w:type="dxa" w:w="3685"/>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6"/>
              </w:rPr>
              <w:t>Institutional context without presenting the company as governmental</w:t>
            </w:r>
          </w:p>
        </w:tc>
      </w:tr>
      <w:tr>
        <w:trPr>
          <w:cantSplit/>
        </w:trPr>
        <w:tc>
          <w:tcPr>
            <w:tcW w:type="dxa" w:w="1757"/>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b/>
                <w:color w:val="1F5A3A"/>
                <w:sz w:val="16"/>
              </w:rPr>
              <w:t>News &amp; Media</w:t>
            </w:r>
          </w:p>
        </w:tc>
        <w:tc>
          <w:tcPr>
            <w:tcW w:type="dxa" w:w="362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6"/>
              </w:rPr>
              <w:t>Company News; Photo Gallery; Video Gallery</w:t>
            </w:r>
          </w:p>
        </w:tc>
        <w:tc>
          <w:tcPr>
            <w:tcW w:type="dxa" w:w="3685"/>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6"/>
              </w:rPr>
              <w:t>Updates and public communications</w:t>
            </w:r>
          </w:p>
        </w:tc>
      </w:tr>
      <w:tr>
        <w:trPr>
          <w:cantSplit/>
        </w:trPr>
        <w:tc>
          <w:tcPr>
            <w:tcW w:type="dxa" w:w="1757"/>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b/>
                <w:color w:val="1F5A3A"/>
                <w:sz w:val="16"/>
              </w:rPr>
              <w:t>Downloads</w:t>
            </w:r>
          </w:p>
        </w:tc>
        <w:tc>
          <w:tcPr>
            <w:tcW w:type="dxa" w:w="362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6"/>
              </w:rPr>
              <w:t>Catalogue; Product Sheets; Certificates; Corporate Documents</w:t>
            </w:r>
          </w:p>
        </w:tc>
        <w:tc>
          <w:tcPr>
            <w:tcW w:type="dxa" w:w="3685"/>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6"/>
              </w:rPr>
              <w:t>Controlled document publication</w:t>
            </w:r>
          </w:p>
        </w:tc>
      </w:tr>
      <w:tr>
        <w:trPr>
          <w:cantSplit/>
        </w:trPr>
        <w:tc>
          <w:tcPr>
            <w:tcW w:type="dxa" w:w="1757"/>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b/>
                <w:color w:val="1F5A3A"/>
                <w:sz w:val="16"/>
              </w:rPr>
              <w:t>Partners</w:t>
            </w:r>
          </w:p>
        </w:tc>
        <w:tc>
          <w:tcPr>
            <w:tcW w:type="dxa" w:w="362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6"/>
              </w:rPr>
              <w:t>Distributor and Cooperation Information</w:t>
            </w:r>
          </w:p>
        </w:tc>
        <w:tc>
          <w:tcPr>
            <w:tcW w:type="dxa" w:w="3685"/>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6"/>
              </w:rPr>
              <w:t>Lead generation</w:t>
            </w:r>
          </w:p>
        </w:tc>
      </w:tr>
      <w:tr>
        <w:trPr>
          <w:cantSplit/>
        </w:trPr>
        <w:tc>
          <w:tcPr>
            <w:tcW w:type="dxa" w:w="1757"/>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b/>
                <w:color w:val="1F5A3A"/>
                <w:sz w:val="16"/>
              </w:rPr>
              <w:t>Contact Us</w:t>
            </w:r>
          </w:p>
        </w:tc>
        <w:tc>
          <w:tcPr>
            <w:tcW w:type="dxa" w:w="362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6"/>
              </w:rPr>
              <w:t>Contact Form; Map; Legal Details</w:t>
            </w:r>
          </w:p>
        </w:tc>
        <w:tc>
          <w:tcPr>
            <w:tcW w:type="dxa" w:w="3685"/>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6"/>
              </w:rPr>
              <w:t>Corporate contact and inquiries</w:t>
            </w:r>
          </w:p>
        </w:tc>
      </w:tr>
      <w:tr>
        <w:trPr>
          <w:cantSplit/>
        </w:trPr>
        <w:tc>
          <w:tcPr>
            <w:tcW w:type="dxa" w:w="1757"/>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b/>
                <w:color w:val="1F5A3A"/>
                <w:sz w:val="16"/>
              </w:rPr>
              <w:t>Legal</w:t>
            </w:r>
          </w:p>
        </w:tc>
        <w:tc>
          <w:tcPr>
            <w:tcW w:type="dxa" w:w="362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6"/>
              </w:rPr>
              <w:t>Privacy Policy; Terms of Use; Cookie Policy</w:t>
            </w:r>
          </w:p>
        </w:tc>
        <w:tc>
          <w:tcPr>
            <w:tcW w:type="dxa" w:w="3685"/>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6"/>
              </w:rPr>
              <w:t>Compliance and transparency</w:t>
            </w:r>
          </w:p>
        </w:tc>
      </w:tr>
    </w:tbl>
    <w:p>
      <w:pPr>
        <w:pStyle w:val="Heading2"/>
      </w:pPr>
      <w:r>
        <w:t>5.1 Recommended top navigation</w:t>
      </w:r>
    </w:p>
    <w:tbl>
      <w:tblPr>
        <w:tblW w:type="auto" w:w="0"/>
        <w:jc w:val="center"/>
        <w:tblLayout w:type="fixed"/>
        <w:tblLook w:firstColumn="1" w:firstRow="1" w:lastColumn="0" w:lastRow="0" w:noHBand="0" w:noVBand="1" w:val="04A0"/>
      </w:tblPr>
      <w:tblGrid>
        <w:gridCol w:w="9524"/>
      </w:tblGrid>
      <w:tr>
        <w:trPr>
          <w:cantSplit/>
        </w:trPr>
        <w:tc>
          <w:tcPr>
            <w:tcW w:type="dxa" w:w="10256"/>
            <w:shd w:fill="FFF9EF"/>
            <w:tcBorders>
              <w:top w:val="single" w:sz="8" w:color="E88828"/>
              <w:left w:val="single" w:sz="8" w:color="E88828"/>
              <w:bottom w:val="single" w:sz="8" w:color="E88828"/>
              <w:right w:val="single" w:sz="8" w:color="E88828"/>
            </w:tcBorders>
            <w:tcMar>
              <w:top w:w="140" w:type="dxa"/>
              <w:start w:w="180" w:type="dxa"/>
              <w:bottom w:w="140" w:type="dxa"/>
              <w:end w:w="180" w:type="dxa"/>
            </w:tcMar>
          </w:tcPr>
          <w:p>
            <w:r>
              <w:rPr>
                <w:rFonts w:ascii="Aptos" w:hAnsi="Aptos" w:eastAsia="Aptos"/>
                <w:b/>
                <w:color w:val="E88828"/>
                <w:sz w:val="21"/>
              </w:rPr>
              <w:t>Desktop menu</w:t>
            </w:r>
            <w:r>
              <w:rPr>
                <w:rFonts w:ascii="Aptos" w:hAnsi="Aptos" w:eastAsia="Aptos"/>
                <w:sz w:val="20"/>
              </w:rPr>
              <w:br/>
              <w:t>Home | About Us | Products | Production &amp; Quality | News | Tajikistan | Contact</w:t>
            </w:r>
          </w:p>
        </w:tc>
      </w:tr>
    </w:tbl>
    <w:p>
      <w:pPr>
        <w:spacing w:after="0"/>
      </w:pPr>
    </w:p>
    <w:p>
      <w:pPr>
        <w:spacing w:after="80" w:line="252" w:lineRule="auto"/>
      </w:pPr>
      <w:r>
        <w:rPr>
          <w:rFonts w:ascii="Aptos" w:hAnsi="Aptos" w:eastAsia="Aptos"/>
          <w:i w:val="0"/>
          <w:sz w:val="21"/>
        </w:rPr>
        <w:t>The President page should exist, as requested, but placing it under a Tajikistan menu is preferable to making it a dominant commercial menu item. This reduces the risk that users interpret the private company as a state institution.</w:t>
      </w:r>
    </w:p>
    <w:p>
      <w:pPr>
        <w:pStyle w:val="Heading1"/>
      </w:pPr>
      <w:r>
        <w:t>6. Page-by-Page Requirements</w:t>
      </w:r>
    </w:p>
    <w:p>
      <w:pPr>
        <w:pStyle w:val="Heading2"/>
      </w:pPr>
      <w:r>
        <w:t>6.1 Home page</w:t>
      </w:r>
    </w:p>
    <w:p>
      <w:pPr>
        <w:pStyle w:val="ListBullet"/>
        <w:spacing w:after="40" w:line="252" w:lineRule="auto"/>
      </w:pPr>
      <w:r>
        <w:rPr>
          <w:rFonts w:ascii="Aptos" w:hAnsi="Aptos" w:eastAsia="Aptos"/>
          <w:sz w:val="21"/>
        </w:rPr>
        <w:t>Hero area with logo, product group image, Pamir visual context, short message and two calls to action.</w:t>
      </w:r>
    </w:p>
    <w:p>
      <w:pPr>
        <w:pStyle w:val="ListBullet"/>
        <w:spacing w:after="40" w:line="252" w:lineRule="auto"/>
      </w:pPr>
      <w:r>
        <w:rPr>
          <w:rFonts w:ascii="Aptos" w:hAnsi="Aptos" w:eastAsia="Aptos"/>
          <w:sz w:val="21"/>
        </w:rPr>
        <w:t>Four product cards with image, name, size, packaging and link.</w:t>
      </w:r>
    </w:p>
    <w:p>
      <w:pPr>
        <w:pStyle w:val="ListBullet"/>
        <w:spacing w:after="40" w:line="252" w:lineRule="auto"/>
      </w:pPr>
      <w:r>
        <w:rPr>
          <w:rFonts w:ascii="Aptos" w:hAnsi="Aptos" w:eastAsia="Aptos"/>
          <w:sz w:val="21"/>
        </w:rPr>
        <w:t>Short brand introduction and meaning of the name.</w:t>
      </w:r>
    </w:p>
    <w:p>
      <w:pPr>
        <w:pStyle w:val="ListBullet"/>
        <w:spacing w:after="40" w:line="252" w:lineRule="auto"/>
      </w:pPr>
      <w:r>
        <w:rPr>
          <w:rFonts w:ascii="Aptos" w:hAnsi="Aptos" w:eastAsia="Aptos"/>
          <w:sz w:val="21"/>
        </w:rPr>
        <w:t>Production facility block with location and manufacturing categories.</w:t>
      </w:r>
    </w:p>
    <w:p>
      <w:pPr>
        <w:pStyle w:val="ListBullet"/>
        <w:spacing w:after="40" w:line="252" w:lineRule="auto"/>
      </w:pPr>
      <w:r>
        <w:rPr>
          <w:rFonts w:ascii="Aptos" w:hAnsi="Aptos" w:eastAsia="Aptos"/>
          <w:sz w:val="21"/>
        </w:rPr>
        <w:t>Quality and process indicators.</w:t>
      </w:r>
    </w:p>
    <w:p>
      <w:pPr>
        <w:pStyle w:val="ListBullet"/>
        <w:spacing w:after="40" w:line="252" w:lineRule="auto"/>
      </w:pPr>
      <w:r>
        <w:rPr>
          <w:rFonts w:ascii="Aptos" w:hAnsi="Aptos" w:eastAsia="Aptos"/>
          <w:sz w:val="21"/>
        </w:rPr>
        <w:t>Latest three news items.</w:t>
      </w:r>
    </w:p>
    <w:p>
      <w:pPr>
        <w:pStyle w:val="ListBullet"/>
        <w:spacing w:after="40" w:line="252" w:lineRule="auto"/>
      </w:pPr>
      <w:r>
        <w:rPr>
          <w:rFonts w:ascii="Aptos" w:hAnsi="Aptos" w:eastAsia="Aptos"/>
          <w:sz w:val="21"/>
        </w:rPr>
        <w:t>Interactive location map and contact summary.</w:t>
      </w:r>
    </w:p>
    <w:p>
      <w:pPr>
        <w:pStyle w:val="ListBullet"/>
        <w:spacing w:after="40" w:line="252" w:lineRule="auto"/>
      </w:pPr>
      <w:r>
        <w:rPr>
          <w:rFonts w:ascii="Aptos" w:hAnsi="Aptos" w:eastAsia="Aptos"/>
          <w:sz w:val="21"/>
        </w:rPr>
        <w:t>Final distributor/cooperation call to action.</w:t>
      </w:r>
    </w:p>
    <w:p>
      <w:pPr>
        <w:pStyle w:val="Heading2"/>
      </w:pPr>
      <w:r>
        <w:t>6.2 About Us</w:t>
      </w:r>
    </w:p>
    <w:p>
      <w:pPr>
        <w:pStyle w:val="ListBullet"/>
        <w:spacing w:after="40" w:line="252" w:lineRule="auto"/>
      </w:pPr>
      <w:r>
        <w:rPr>
          <w:rFonts w:ascii="Aptos" w:hAnsi="Aptos" w:eastAsia="Aptos"/>
          <w:sz w:val="21"/>
        </w:rPr>
        <w:t>About the brand and meaning of Samari Kuhsor.</w:t>
      </w:r>
    </w:p>
    <w:p>
      <w:pPr>
        <w:pStyle w:val="ListBullet"/>
        <w:spacing w:after="40" w:line="252" w:lineRule="auto"/>
      </w:pPr>
      <w:r>
        <w:rPr>
          <w:rFonts w:ascii="Aptos" w:hAnsi="Aptos" w:eastAsia="Aptos"/>
          <w:sz w:val="21"/>
        </w:rPr>
        <w:t>QOIM as legal entity and operator of the brand.</w:t>
      </w:r>
    </w:p>
    <w:p>
      <w:pPr>
        <w:pStyle w:val="ListBullet"/>
        <w:spacing w:after="40" w:line="252" w:lineRule="auto"/>
      </w:pPr>
      <w:r>
        <w:rPr>
          <w:rFonts w:ascii="Aptos" w:hAnsi="Aptos" w:eastAsia="Aptos"/>
          <w:sz w:val="21"/>
        </w:rPr>
        <w:t>Mission, vision and values.</w:t>
      </w:r>
    </w:p>
    <w:p>
      <w:pPr>
        <w:pStyle w:val="ListBullet"/>
        <w:spacing w:after="40" w:line="252" w:lineRule="auto"/>
      </w:pPr>
      <w:r>
        <w:rPr>
          <w:rFonts w:ascii="Aptos" w:hAnsi="Aptos" w:eastAsia="Aptos"/>
          <w:sz w:val="21"/>
        </w:rPr>
        <w:t>Production location and regional development relevance.</w:t>
      </w:r>
    </w:p>
    <w:p>
      <w:pPr>
        <w:pStyle w:val="ListBullet"/>
        <w:spacing w:after="40" w:line="252" w:lineRule="auto"/>
      </w:pPr>
      <w:r>
        <w:rPr>
          <w:rFonts w:ascii="Aptos" w:hAnsi="Aptos" w:eastAsia="Aptos"/>
          <w:sz w:val="21"/>
        </w:rPr>
        <w:t>Company milestones, presented only after verification.</w:t>
      </w:r>
    </w:p>
    <w:p>
      <w:pPr>
        <w:pStyle w:val="Heading2"/>
      </w:pPr>
      <w:r>
        <w:t>6.3 President of the Republic of Tajikistan</w:t>
      </w:r>
    </w:p>
    <w:p>
      <w:pPr>
        <w:spacing w:after="80" w:line="252" w:lineRule="auto"/>
      </w:pPr>
      <w:r>
        <w:rPr>
          <w:rFonts w:ascii="Aptos" w:hAnsi="Aptos" w:eastAsia="Aptos"/>
          <w:i w:val="0"/>
          <w:sz w:val="21"/>
        </w:rPr>
        <w:t>The current President of the Republic of Tajikistan is Emomali Rahmon. The page must use the official presidential website as the authoritative source and must be reviewed before launch because office-holder information is time-sensitive. [1]</w:t>
      </w:r>
    </w:p>
    <w:p>
      <w:pPr>
        <w:pStyle w:val="ListBullet"/>
        <w:spacing w:after="40" w:line="252" w:lineRule="auto"/>
      </w:pPr>
      <w:r>
        <w:rPr>
          <w:rFonts w:ascii="Aptos" w:hAnsi="Aptos" w:eastAsia="Aptos"/>
          <w:sz w:val="21"/>
        </w:rPr>
        <w:t>Official portrait obtained from an authorised official source.</w:t>
      </w:r>
    </w:p>
    <w:p>
      <w:pPr>
        <w:pStyle w:val="ListBullet"/>
        <w:spacing w:after="40" w:line="252" w:lineRule="auto"/>
      </w:pPr>
      <w:r>
        <w:rPr>
          <w:rFonts w:ascii="Aptos" w:hAnsi="Aptos" w:eastAsia="Aptos"/>
          <w:sz w:val="21"/>
        </w:rPr>
        <w:t>Official name and title.</w:t>
      </w:r>
    </w:p>
    <w:p>
      <w:pPr>
        <w:pStyle w:val="ListBullet"/>
        <w:spacing w:after="40" w:line="252" w:lineRule="auto"/>
      </w:pPr>
      <w:r>
        <w:rPr>
          <w:rFonts w:ascii="Aptos" w:hAnsi="Aptos" w:eastAsia="Aptos"/>
          <w:sz w:val="21"/>
        </w:rPr>
        <w:t>Short, neutral biography rather than a copied full biography.</w:t>
      </w:r>
    </w:p>
    <w:p>
      <w:pPr>
        <w:pStyle w:val="ListBullet"/>
        <w:spacing w:after="40" w:line="252" w:lineRule="auto"/>
      </w:pPr>
      <w:r>
        <w:rPr>
          <w:rFonts w:ascii="Aptos" w:hAnsi="Aptos" w:eastAsia="Aptos"/>
          <w:sz w:val="21"/>
        </w:rPr>
        <w:t>Brief section on national priorities relevant to domestic production, entrepreneurship, processing, employment and regional development.</w:t>
      </w:r>
    </w:p>
    <w:p>
      <w:pPr>
        <w:pStyle w:val="ListBullet"/>
        <w:spacing w:after="40" w:line="252" w:lineRule="auto"/>
      </w:pPr>
      <w:r>
        <w:rPr>
          <w:rFonts w:ascii="Aptos" w:hAnsi="Aptos" w:eastAsia="Aptos"/>
          <w:sz w:val="21"/>
        </w:rPr>
        <w:t>Prominent external link to the official website of the President.</w:t>
      </w:r>
    </w:p>
    <w:p>
      <w:pPr>
        <w:pStyle w:val="ListBullet"/>
        <w:spacing w:after="40" w:line="252" w:lineRule="auto"/>
      </w:pPr>
      <w:r>
        <w:rPr>
          <w:rFonts w:ascii="Aptos" w:hAnsi="Aptos" w:eastAsia="Aptos"/>
          <w:sz w:val="21"/>
        </w:rPr>
        <w:t>Source note identifying official state resources.</w:t>
      </w:r>
    </w:p>
    <w:tbl>
      <w:tblPr>
        <w:tblW w:type="auto" w:w="0"/>
        <w:jc w:val="center"/>
        <w:tblLayout w:type="fixed"/>
        <w:tblLook w:firstColumn="1" w:firstRow="1" w:lastColumn="0" w:lastRow="0" w:noHBand="0" w:noVBand="1" w:val="04A0"/>
      </w:tblPr>
      <w:tblGrid>
        <w:gridCol w:w="9524"/>
      </w:tblGrid>
      <w:tr>
        <w:trPr>
          <w:cantSplit/>
        </w:trPr>
        <w:tc>
          <w:tcPr>
            <w:tcW w:type="dxa" w:w="10256"/>
            <w:shd w:fill="FBE5E5"/>
            <w:tcBorders>
              <w:top w:val="single" w:sz="8" w:color="C53B3B"/>
              <w:left w:val="single" w:sz="8" w:color="C53B3B"/>
              <w:bottom w:val="single" w:sz="8" w:color="C53B3B"/>
              <w:right w:val="single" w:sz="8" w:color="C53B3B"/>
            </w:tcBorders>
            <w:tcMar>
              <w:top w:w="140" w:type="dxa"/>
              <w:start w:w="180" w:type="dxa"/>
              <w:bottom w:w="140" w:type="dxa"/>
              <w:end w:w="180" w:type="dxa"/>
            </w:tcMar>
          </w:tcPr>
          <w:p>
            <w:r>
              <w:rPr>
                <w:rFonts w:ascii="Aptos" w:hAnsi="Aptos" w:eastAsia="Aptos"/>
                <w:b/>
                <w:color w:val="C53B3B"/>
                <w:sz w:val="21"/>
              </w:rPr>
              <w:t>Mandatory disclaimer</w:t>
            </w:r>
            <w:r>
              <w:rPr>
                <w:rFonts w:ascii="Aptos" w:hAnsi="Aptos" w:eastAsia="Aptos"/>
                <w:sz w:val="20"/>
              </w:rPr>
              <w:br/>
              <w:t>The page must not imply that the President endorses QOIM or Samari Kuhsor, that the enterprise is state-owned, or that the company is an official government body.</w:t>
            </w:r>
          </w:p>
        </w:tc>
      </w:tr>
    </w:tbl>
    <w:p>
      <w:pPr>
        <w:spacing w:after="0"/>
      </w:pPr>
    </w:p>
    <w:p>
      <w:pPr>
        <w:pStyle w:val="Heading2"/>
      </w:pPr>
      <w:r>
        <w:t>6.4 Product catalogue</w:t>
      </w:r>
    </w:p>
    <w:p>
      <w:pPr>
        <w:pStyle w:val="ListBullet"/>
        <w:spacing w:after="40" w:line="252" w:lineRule="auto"/>
      </w:pPr>
      <w:r>
        <w:rPr>
          <w:rFonts w:ascii="Aptos" w:hAnsi="Aptos" w:eastAsia="Aptos"/>
          <w:sz w:val="21"/>
        </w:rPr>
        <w:t>Grid/list view with category filters.</w:t>
      </w:r>
    </w:p>
    <w:p>
      <w:pPr>
        <w:pStyle w:val="ListBullet"/>
        <w:spacing w:after="40" w:line="252" w:lineRule="auto"/>
      </w:pPr>
      <w:r>
        <w:rPr>
          <w:rFonts w:ascii="Aptos" w:hAnsi="Aptos" w:eastAsia="Aptos"/>
          <w:sz w:val="21"/>
        </w:rPr>
        <w:t>Search by product name and package format.</w:t>
      </w:r>
    </w:p>
    <w:p>
      <w:pPr>
        <w:pStyle w:val="ListBullet"/>
        <w:spacing w:after="40" w:line="252" w:lineRule="auto"/>
      </w:pPr>
      <w:r>
        <w:rPr>
          <w:rFonts w:ascii="Aptos" w:hAnsi="Aptos" w:eastAsia="Aptos"/>
          <w:sz w:val="21"/>
        </w:rPr>
        <w:t>Cards showing image, product name, net quantity, packaging and “View Product”.</w:t>
      </w:r>
    </w:p>
    <w:p>
      <w:pPr>
        <w:pStyle w:val="ListBullet"/>
        <w:spacing w:after="40" w:line="252" w:lineRule="auto"/>
      </w:pPr>
      <w:r>
        <w:rPr>
          <w:rFonts w:ascii="Aptos" w:hAnsi="Aptos" w:eastAsia="Aptos"/>
          <w:sz w:val="21"/>
        </w:rPr>
        <w:t>No retail price unless explicitly approved.</w:t>
      </w:r>
    </w:p>
    <w:p>
      <w:pPr>
        <w:pStyle w:val="ListBullet"/>
        <w:spacing w:after="40" w:line="252" w:lineRule="auto"/>
      </w:pPr>
      <w:r>
        <w:rPr>
          <w:rFonts w:ascii="Aptos" w:hAnsi="Aptos" w:eastAsia="Aptos"/>
          <w:sz w:val="21"/>
        </w:rPr>
        <w:t>Downloadable catalogue and product data sheets.</w:t>
      </w:r>
    </w:p>
    <w:p>
      <w:pPr>
        <w:pStyle w:val="Heading2"/>
      </w:pPr>
      <w:r>
        <w:t>6.5 Standard product detail page</w:t>
      </w:r>
    </w:p>
    <w:p>
      <w:pPr>
        <w:pStyle w:val="ListBullet"/>
        <w:spacing w:after="40" w:line="252" w:lineRule="auto"/>
      </w:pPr>
      <w:r>
        <w:rPr>
          <w:rFonts w:ascii="Aptos" w:hAnsi="Aptos" w:eastAsia="Aptos"/>
          <w:sz w:val="21"/>
        </w:rPr>
        <w:t>Product name</w:t>
      </w:r>
    </w:p>
    <w:p>
      <w:pPr>
        <w:pStyle w:val="ListBullet"/>
        <w:spacing w:after="40" w:line="252" w:lineRule="auto"/>
      </w:pPr>
      <w:r>
        <w:rPr>
          <w:rFonts w:ascii="Aptos" w:hAnsi="Aptos" w:eastAsia="Aptos"/>
          <w:sz w:val="21"/>
        </w:rPr>
        <w:t>Hero image and gallery</w:t>
      </w:r>
    </w:p>
    <w:p>
      <w:pPr>
        <w:pStyle w:val="ListBullet"/>
        <w:spacing w:after="40" w:line="252" w:lineRule="auto"/>
      </w:pPr>
      <w:r>
        <w:rPr>
          <w:rFonts w:ascii="Aptos" w:hAnsi="Aptos" w:eastAsia="Aptos"/>
          <w:sz w:val="21"/>
        </w:rPr>
        <w:t>Short description</w:t>
      </w:r>
    </w:p>
    <w:p>
      <w:pPr>
        <w:pStyle w:val="ListBullet"/>
        <w:spacing w:after="40" w:line="252" w:lineRule="auto"/>
      </w:pPr>
      <w:r>
        <w:rPr>
          <w:rFonts w:ascii="Aptos" w:hAnsi="Aptos" w:eastAsia="Aptos"/>
          <w:sz w:val="21"/>
        </w:rPr>
        <w:t>Ingredients</w:t>
      </w:r>
    </w:p>
    <w:p>
      <w:pPr>
        <w:pStyle w:val="ListBullet"/>
        <w:spacing w:after="40" w:line="252" w:lineRule="auto"/>
      </w:pPr>
      <w:r>
        <w:rPr>
          <w:rFonts w:ascii="Aptos" w:hAnsi="Aptos" w:eastAsia="Aptos"/>
          <w:sz w:val="21"/>
        </w:rPr>
        <w:t>Nutrition table</w:t>
      </w:r>
    </w:p>
    <w:p>
      <w:pPr>
        <w:pStyle w:val="ListBullet"/>
        <w:spacing w:after="40" w:line="252" w:lineRule="auto"/>
      </w:pPr>
      <w:r>
        <w:rPr>
          <w:rFonts w:ascii="Aptos" w:hAnsi="Aptos" w:eastAsia="Aptos"/>
          <w:sz w:val="21"/>
        </w:rPr>
        <w:t>Net quantity / container volume</w:t>
      </w:r>
    </w:p>
    <w:p>
      <w:pPr>
        <w:pStyle w:val="ListBullet"/>
        <w:spacing w:after="40" w:line="252" w:lineRule="auto"/>
      </w:pPr>
      <w:r>
        <w:rPr>
          <w:rFonts w:ascii="Aptos" w:hAnsi="Aptos" w:eastAsia="Aptos"/>
          <w:sz w:val="21"/>
        </w:rPr>
        <w:t>Packaging material</w:t>
      </w:r>
    </w:p>
    <w:p>
      <w:pPr>
        <w:pStyle w:val="ListBullet"/>
        <w:spacing w:after="40" w:line="252" w:lineRule="auto"/>
      </w:pPr>
      <w:r>
        <w:rPr>
          <w:rFonts w:ascii="Aptos" w:hAnsi="Aptos" w:eastAsia="Aptos"/>
          <w:sz w:val="21"/>
        </w:rPr>
        <w:t>Closure type</w:t>
      </w:r>
    </w:p>
    <w:p>
      <w:pPr>
        <w:pStyle w:val="ListBullet"/>
        <w:spacing w:after="40" w:line="252" w:lineRule="auto"/>
      </w:pPr>
      <w:r>
        <w:rPr>
          <w:rFonts w:ascii="Aptos" w:hAnsi="Aptos" w:eastAsia="Aptos"/>
          <w:sz w:val="21"/>
        </w:rPr>
        <w:t>Storage conditions</w:t>
      </w:r>
    </w:p>
    <w:p>
      <w:pPr>
        <w:pStyle w:val="ListBullet"/>
        <w:spacing w:after="40" w:line="252" w:lineRule="auto"/>
      </w:pPr>
      <w:r>
        <w:rPr>
          <w:rFonts w:ascii="Aptos" w:hAnsi="Aptos" w:eastAsia="Aptos"/>
          <w:sz w:val="21"/>
        </w:rPr>
        <w:t>Shelf life</w:t>
      </w:r>
    </w:p>
    <w:p>
      <w:pPr>
        <w:pStyle w:val="ListBullet"/>
        <w:spacing w:after="40" w:line="252" w:lineRule="auto"/>
      </w:pPr>
      <w:r>
        <w:rPr>
          <w:rFonts w:ascii="Aptos" w:hAnsi="Aptos" w:eastAsia="Aptos"/>
          <w:sz w:val="21"/>
        </w:rPr>
        <w:t>Conditions after opening</w:t>
      </w:r>
    </w:p>
    <w:p>
      <w:pPr>
        <w:pStyle w:val="ListBullet"/>
        <w:spacing w:after="40" w:line="252" w:lineRule="auto"/>
      </w:pPr>
      <w:r>
        <w:rPr>
          <w:rFonts w:ascii="Aptos" w:hAnsi="Aptos" w:eastAsia="Aptos"/>
          <w:sz w:val="21"/>
        </w:rPr>
        <w:t>Production address</w:t>
      </w:r>
    </w:p>
    <w:p>
      <w:pPr>
        <w:pStyle w:val="ListBullet"/>
        <w:spacing w:after="40" w:line="252" w:lineRule="auto"/>
      </w:pPr>
      <w:r>
        <w:rPr>
          <w:rFonts w:ascii="Aptos" w:hAnsi="Aptos" w:eastAsia="Aptos"/>
          <w:sz w:val="21"/>
        </w:rPr>
        <w:t>Certification status</w:t>
      </w:r>
    </w:p>
    <w:p>
      <w:pPr>
        <w:pStyle w:val="ListBullet"/>
        <w:spacing w:after="40" w:line="252" w:lineRule="auto"/>
      </w:pPr>
      <w:r>
        <w:rPr>
          <w:rFonts w:ascii="Aptos" w:hAnsi="Aptos" w:eastAsia="Aptos"/>
          <w:sz w:val="21"/>
        </w:rPr>
        <w:t>Downloadable technical sheet</w:t>
      </w:r>
    </w:p>
    <w:p>
      <w:pPr>
        <w:pStyle w:val="ListBullet"/>
        <w:spacing w:after="40" w:line="252" w:lineRule="auto"/>
      </w:pPr>
      <w:r>
        <w:rPr>
          <w:rFonts w:ascii="Aptos" w:hAnsi="Aptos" w:eastAsia="Aptos"/>
          <w:sz w:val="21"/>
        </w:rPr>
        <w:t>Distributor inquiry button</w:t>
      </w:r>
    </w:p>
    <w:p>
      <w:pPr>
        <w:pStyle w:val="Heading2"/>
      </w:pPr>
      <w:r>
        <w:t>6.6 Production and Quality</w:t>
      </w:r>
    </w:p>
    <w:p>
      <w:pPr>
        <w:pStyle w:val="ListBullet"/>
        <w:spacing w:after="40" w:line="252" w:lineRule="auto"/>
      </w:pPr>
      <w:r>
        <w:rPr>
          <w:rFonts w:ascii="Aptos" w:hAnsi="Aptos" w:eastAsia="Aptos"/>
          <w:sz w:val="21"/>
        </w:rPr>
        <w:t>Raw-material reception and inspection.</w:t>
      </w:r>
    </w:p>
    <w:p>
      <w:pPr>
        <w:pStyle w:val="ListBullet"/>
        <w:spacing w:after="40" w:line="252" w:lineRule="auto"/>
      </w:pPr>
      <w:r>
        <w:rPr>
          <w:rFonts w:ascii="Aptos" w:hAnsi="Aptos" w:eastAsia="Aptos"/>
          <w:sz w:val="21"/>
        </w:rPr>
        <w:t>Fruit and vegetable processing stages.</w:t>
      </w:r>
    </w:p>
    <w:p>
      <w:pPr>
        <w:pStyle w:val="ListBullet"/>
        <w:spacing w:after="40" w:line="252" w:lineRule="auto"/>
      </w:pPr>
      <w:r>
        <w:rPr>
          <w:rFonts w:ascii="Aptos" w:hAnsi="Aptos" w:eastAsia="Aptos"/>
          <w:sz w:val="21"/>
        </w:rPr>
        <w:t>Water treatment and PET bottle blowing.</w:t>
      </w:r>
    </w:p>
    <w:p>
      <w:pPr>
        <w:pStyle w:val="ListBullet"/>
        <w:spacing w:after="40" w:line="252" w:lineRule="auto"/>
      </w:pPr>
      <w:r>
        <w:rPr>
          <w:rFonts w:ascii="Aptos" w:hAnsi="Aptos" w:eastAsia="Aptos"/>
          <w:sz w:val="21"/>
        </w:rPr>
        <w:t>Pasteurisation, filling, closure, cooling, labelling and packaging.</w:t>
      </w:r>
    </w:p>
    <w:p>
      <w:pPr>
        <w:pStyle w:val="ListBullet"/>
        <w:spacing w:after="40" w:line="252" w:lineRule="auto"/>
      </w:pPr>
      <w:r>
        <w:rPr>
          <w:rFonts w:ascii="Aptos" w:hAnsi="Aptos" w:eastAsia="Aptos"/>
          <w:sz w:val="21"/>
        </w:rPr>
        <w:t>Cleaning, hygiene, traceability and laboratory controls.</w:t>
      </w:r>
    </w:p>
    <w:p>
      <w:pPr>
        <w:pStyle w:val="ListBullet"/>
        <w:spacing w:after="40" w:line="252" w:lineRule="auto"/>
      </w:pPr>
      <w:r>
        <w:rPr>
          <w:rFonts w:ascii="Aptos" w:hAnsi="Aptos" w:eastAsia="Aptos"/>
          <w:sz w:val="21"/>
        </w:rPr>
        <w:t>Packaging formats and closure systems.</w:t>
      </w:r>
    </w:p>
    <w:p>
      <w:pPr>
        <w:pStyle w:val="Heading2"/>
      </w:pPr>
      <w:r>
        <w:t>6.7 News and Media</w:t>
      </w:r>
    </w:p>
    <w:p>
      <w:pPr>
        <w:pStyle w:val="ListBullet"/>
        <w:spacing w:after="40" w:line="252" w:lineRule="auto"/>
      </w:pPr>
      <w:r>
        <w:rPr>
          <w:rFonts w:ascii="Aptos" w:hAnsi="Aptos" w:eastAsia="Aptos"/>
          <w:sz w:val="21"/>
        </w:rPr>
        <w:t>News posts with date, category, featured image, gallery and attachments.</w:t>
      </w:r>
    </w:p>
    <w:p>
      <w:pPr>
        <w:pStyle w:val="ListBullet"/>
        <w:spacing w:after="40" w:line="252" w:lineRule="auto"/>
      </w:pPr>
      <w:r>
        <w:rPr>
          <w:rFonts w:ascii="Aptos" w:hAnsi="Aptos" w:eastAsia="Aptos"/>
          <w:sz w:val="21"/>
        </w:rPr>
        <w:t>Photo galleries and videos with captions and alt text.</w:t>
      </w:r>
    </w:p>
    <w:p>
      <w:pPr>
        <w:pStyle w:val="ListBullet"/>
        <w:spacing w:after="40" w:line="252" w:lineRule="auto"/>
      </w:pPr>
      <w:r>
        <w:rPr>
          <w:rFonts w:ascii="Aptos" w:hAnsi="Aptos" w:eastAsia="Aptos"/>
          <w:sz w:val="21"/>
        </w:rPr>
        <w:t>Social sharing metadata and stable page URLs.</w:t>
      </w:r>
    </w:p>
    <w:p>
      <w:pPr>
        <w:pStyle w:val="ListBullet"/>
        <w:spacing w:after="40" w:line="252" w:lineRule="auto"/>
      </w:pPr>
      <w:r>
        <w:rPr>
          <w:rFonts w:ascii="Aptos" w:hAnsi="Aptos" w:eastAsia="Aptos"/>
          <w:sz w:val="21"/>
        </w:rPr>
        <w:t>Categories for construction, equipment, training, launch, products and partnerships.</w:t>
      </w:r>
    </w:p>
    <w:p>
      <w:pPr>
        <w:pStyle w:val="Heading2"/>
      </w:pPr>
      <w:r>
        <w:t>6.8 Contact Us</w:t>
      </w:r>
    </w:p>
    <w:tbl>
      <w:tblPr>
        <w:tblW w:type="auto" w:w="0"/>
        <w:jc w:val="center"/>
        <w:tblLayout w:type="fixed"/>
        <w:tblLook w:firstColumn="1" w:firstRow="1" w:lastColumn="0" w:lastRow="0" w:noHBand="0" w:noVBand="1" w:val="04A0"/>
      </w:tblPr>
      <w:tblGrid>
        <w:gridCol w:w="3419"/>
        <w:gridCol w:w="3419"/>
        <w:gridCol w:w="3419"/>
      </w:tblGrid>
      <w:tr>
        <w:trPr>
          <w:tblHeader w:val="true"/>
          <w:cantSplit/>
        </w:trPr>
        <w:tc>
          <w:tcPr>
            <w:tcW w:type="dxa" w:w="255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264B5D"/>
          </w:tcPr>
          <w:p>
            <w:pPr>
              <w:spacing w:after="0" w:line="240" w:lineRule="auto"/>
              <w:jc w:val="center"/>
            </w:pPr>
            <w:r>
              <w:rPr>
                <w:rFonts w:ascii="Aptos" w:hAnsi="Aptos" w:eastAsia="Aptos"/>
                <w:b/>
                <w:color w:val="FFFFFF"/>
                <w:sz w:val="17"/>
              </w:rPr>
              <w:t>Field</w:t>
            </w:r>
          </w:p>
        </w:tc>
        <w:tc>
          <w:tcPr>
            <w:tcW w:type="dxa" w:w="1417"/>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264B5D"/>
          </w:tcPr>
          <w:p>
            <w:pPr>
              <w:spacing w:after="0" w:line="240" w:lineRule="auto"/>
              <w:jc w:val="center"/>
            </w:pPr>
            <w:r>
              <w:rPr>
                <w:rFonts w:ascii="Aptos" w:hAnsi="Aptos" w:eastAsia="Aptos"/>
                <w:b/>
                <w:color w:val="FFFFFF"/>
                <w:sz w:val="17"/>
              </w:rPr>
              <w:t>Required</w:t>
            </w:r>
          </w:p>
        </w:tc>
        <w:tc>
          <w:tcPr>
            <w:tcW w:type="dxa" w:w="5102"/>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264B5D"/>
          </w:tcPr>
          <w:p>
            <w:pPr>
              <w:spacing w:after="0" w:line="240" w:lineRule="auto"/>
              <w:jc w:val="center"/>
            </w:pPr>
            <w:r>
              <w:rPr>
                <w:rFonts w:ascii="Aptos" w:hAnsi="Aptos" w:eastAsia="Aptos"/>
                <w:b/>
                <w:color w:val="FFFFFF"/>
                <w:sz w:val="17"/>
              </w:rPr>
              <w:t>Notes</w:t>
            </w:r>
          </w:p>
        </w:tc>
      </w:tr>
      <w:tr>
        <w:trPr>
          <w:cantSplit/>
        </w:trPr>
        <w:tc>
          <w:tcPr>
            <w:tcW w:type="dxa" w:w="255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7"/>
              </w:rPr>
              <w:t>Full name</w:t>
            </w:r>
          </w:p>
        </w:tc>
        <w:tc>
          <w:tcPr>
            <w:tcW w:type="dxa" w:w="1417"/>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7"/>
              </w:rPr>
              <w:t>Yes</w:t>
            </w:r>
          </w:p>
        </w:tc>
        <w:tc>
          <w:tcPr>
            <w:tcW w:type="dxa" w:w="5102"/>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7"/>
              </w:rPr>
              <w:t>Individual submitting the inquiry</w:t>
            </w:r>
          </w:p>
        </w:tc>
      </w:tr>
      <w:tr>
        <w:trPr>
          <w:cantSplit/>
        </w:trPr>
        <w:tc>
          <w:tcPr>
            <w:tcW w:type="dxa" w:w="255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7"/>
              </w:rPr>
              <w:t>Company</w:t>
            </w:r>
          </w:p>
        </w:tc>
        <w:tc>
          <w:tcPr>
            <w:tcW w:type="dxa" w:w="1417"/>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7"/>
              </w:rPr>
              <w:t>Conditional</w:t>
            </w:r>
          </w:p>
        </w:tc>
        <w:tc>
          <w:tcPr>
            <w:tcW w:type="dxa" w:w="5102"/>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7"/>
              </w:rPr>
              <w:t>Required for distributor/supplier inquiries</w:t>
            </w:r>
          </w:p>
        </w:tc>
      </w:tr>
      <w:tr>
        <w:trPr>
          <w:cantSplit/>
        </w:trPr>
        <w:tc>
          <w:tcPr>
            <w:tcW w:type="dxa" w:w="255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7"/>
              </w:rPr>
              <w:t>Email</w:t>
            </w:r>
          </w:p>
        </w:tc>
        <w:tc>
          <w:tcPr>
            <w:tcW w:type="dxa" w:w="1417"/>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7"/>
              </w:rPr>
              <w:t>Yes</w:t>
            </w:r>
          </w:p>
        </w:tc>
        <w:tc>
          <w:tcPr>
            <w:tcW w:type="dxa" w:w="5102"/>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7"/>
              </w:rPr>
              <w:t>Validated format</w:t>
            </w:r>
          </w:p>
        </w:tc>
      </w:tr>
      <w:tr>
        <w:trPr>
          <w:cantSplit/>
        </w:trPr>
        <w:tc>
          <w:tcPr>
            <w:tcW w:type="dxa" w:w="255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7"/>
              </w:rPr>
              <w:t>Telephone / WhatsApp</w:t>
            </w:r>
          </w:p>
        </w:tc>
        <w:tc>
          <w:tcPr>
            <w:tcW w:type="dxa" w:w="1417"/>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7"/>
              </w:rPr>
              <w:t>Yes</w:t>
            </w:r>
          </w:p>
        </w:tc>
        <w:tc>
          <w:tcPr>
            <w:tcW w:type="dxa" w:w="5102"/>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7"/>
              </w:rPr>
              <w:t>Country code supported</w:t>
            </w:r>
          </w:p>
        </w:tc>
      </w:tr>
      <w:tr>
        <w:trPr>
          <w:cantSplit/>
        </w:trPr>
        <w:tc>
          <w:tcPr>
            <w:tcW w:type="dxa" w:w="255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7"/>
              </w:rPr>
              <w:t>Country</w:t>
            </w:r>
          </w:p>
        </w:tc>
        <w:tc>
          <w:tcPr>
            <w:tcW w:type="dxa" w:w="1417"/>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7"/>
              </w:rPr>
              <w:t>Yes</w:t>
            </w:r>
          </w:p>
        </w:tc>
        <w:tc>
          <w:tcPr>
            <w:tcW w:type="dxa" w:w="5102"/>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7"/>
              </w:rPr>
              <w:t>Dropdown or searchable field</w:t>
            </w:r>
          </w:p>
        </w:tc>
      </w:tr>
      <w:tr>
        <w:trPr>
          <w:cantSplit/>
        </w:trPr>
        <w:tc>
          <w:tcPr>
            <w:tcW w:type="dxa" w:w="255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7"/>
              </w:rPr>
              <w:t>Reason for contact</w:t>
            </w:r>
          </w:p>
        </w:tc>
        <w:tc>
          <w:tcPr>
            <w:tcW w:type="dxa" w:w="1417"/>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7"/>
              </w:rPr>
              <w:t>Yes</w:t>
            </w:r>
          </w:p>
        </w:tc>
        <w:tc>
          <w:tcPr>
            <w:tcW w:type="dxa" w:w="5102"/>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7"/>
              </w:rPr>
              <w:t>General, wholesale, distribution, supplier, employment, media</w:t>
            </w:r>
          </w:p>
        </w:tc>
      </w:tr>
      <w:tr>
        <w:trPr>
          <w:cantSplit/>
        </w:trPr>
        <w:tc>
          <w:tcPr>
            <w:tcW w:type="dxa" w:w="255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7"/>
              </w:rPr>
              <w:t>Message</w:t>
            </w:r>
          </w:p>
        </w:tc>
        <w:tc>
          <w:tcPr>
            <w:tcW w:type="dxa" w:w="1417"/>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7"/>
              </w:rPr>
              <w:t>Yes</w:t>
            </w:r>
          </w:p>
        </w:tc>
        <w:tc>
          <w:tcPr>
            <w:tcW w:type="dxa" w:w="5102"/>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7"/>
              </w:rPr>
              <w:t>Minimum and maximum length</w:t>
            </w:r>
          </w:p>
        </w:tc>
      </w:tr>
      <w:tr>
        <w:trPr>
          <w:cantSplit/>
        </w:trPr>
        <w:tc>
          <w:tcPr>
            <w:tcW w:type="dxa" w:w="255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7"/>
              </w:rPr>
              <w:t>Consent checkbox</w:t>
            </w:r>
          </w:p>
        </w:tc>
        <w:tc>
          <w:tcPr>
            <w:tcW w:type="dxa" w:w="1417"/>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7"/>
              </w:rPr>
              <w:t>Yes</w:t>
            </w:r>
          </w:p>
        </w:tc>
        <w:tc>
          <w:tcPr>
            <w:tcW w:type="dxa" w:w="5102"/>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7"/>
              </w:rPr>
              <w:t>Required before submission</w:t>
            </w:r>
          </w:p>
        </w:tc>
      </w:tr>
      <w:tr>
        <w:trPr>
          <w:cantSplit/>
        </w:trPr>
        <w:tc>
          <w:tcPr>
            <w:tcW w:type="dxa" w:w="255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7"/>
              </w:rPr>
              <w:t>Attachment</w:t>
            </w:r>
          </w:p>
        </w:tc>
        <w:tc>
          <w:tcPr>
            <w:tcW w:type="dxa" w:w="1417"/>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7"/>
              </w:rPr>
              <w:t>Optional</w:t>
            </w:r>
          </w:p>
        </w:tc>
        <w:tc>
          <w:tcPr>
            <w:tcW w:type="dxa" w:w="5102"/>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7"/>
              </w:rPr>
              <w:t>Restricted formats and size; malware scanning</w:t>
            </w:r>
          </w:p>
        </w:tc>
      </w:tr>
    </w:tbl>
    <w:p>
      <w:r>
        <w:br w:type="page"/>
      </w:r>
    </w:p>
    <w:p>
      <w:pPr>
        <w:pStyle w:val="Heading1"/>
      </w:pPr>
      <w:r>
        <w:t>7. Product Catalogue and Data Model</w:t>
      </w:r>
    </w:p>
    <w:p>
      <w:pPr>
        <w:pStyle w:val="Heading2"/>
      </w:pPr>
      <w:r>
        <w:t>7.1 Initial product range</w:t>
      </w:r>
    </w:p>
    <w:tbl>
      <w:tblPr>
        <w:tblW w:type="auto" w:w="0"/>
        <w:jc w:val="center"/>
        <w:tblLayout w:type="fixed"/>
        <w:tblLook w:firstColumn="1" w:firstRow="1" w:lastColumn="0" w:lastRow="0" w:noHBand="0" w:noVBand="1" w:val="04A0"/>
      </w:tblPr>
      <w:tblGrid>
        <w:gridCol w:w="2564"/>
        <w:gridCol w:w="2564"/>
        <w:gridCol w:w="2564"/>
        <w:gridCol w:w="2564"/>
      </w:tblGrid>
      <w:tr>
        <w:trPr>
          <w:tblHeader w:val="true"/>
          <w:cantSplit/>
        </w:trPr>
        <w:tc>
          <w:tcPr>
            <w:tcW w:type="dxa" w:w="170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264B5D"/>
          </w:tcPr>
          <w:p>
            <w:pPr>
              <w:spacing w:after="0" w:line="240" w:lineRule="auto"/>
              <w:jc w:val="center"/>
            </w:pPr>
            <w:r>
              <w:rPr>
                <w:rFonts w:ascii="Aptos" w:hAnsi="Aptos" w:eastAsia="Aptos"/>
                <w:b/>
                <w:color w:val="FFFFFF"/>
                <w:sz w:val="16"/>
              </w:rPr>
              <w:t>Product</w:t>
            </w:r>
          </w:p>
        </w:tc>
        <w:tc>
          <w:tcPr>
            <w:tcW w:type="dxa" w:w="2154"/>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264B5D"/>
          </w:tcPr>
          <w:p>
            <w:pPr>
              <w:spacing w:after="0" w:line="240" w:lineRule="auto"/>
              <w:jc w:val="center"/>
            </w:pPr>
            <w:r>
              <w:rPr>
                <w:rFonts w:ascii="Aptos" w:hAnsi="Aptos" w:eastAsia="Aptos"/>
                <w:b/>
                <w:color w:val="FFFFFF"/>
                <w:sz w:val="16"/>
              </w:rPr>
              <w:t>Package</w:t>
            </w:r>
          </w:p>
        </w:tc>
        <w:tc>
          <w:tcPr>
            <w:tcW w:type="dxa" w:w="2324"/>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264B5D"/>
          </w:tcPr>
          <w:p>
            <w:pPr>
              <w:spacing w:after="0" w:line="240" w:lineRule="auto"/>
              <w:jc w:val="center"/>
            </w:pPr>
            <w:r>
              <w:rPr>
                <w:rFonts w:ascii="Aptos" w:hAnsi="Aptos" w:eastAsia="Aptos"/>
                <w:b/>
                <w:color w:val="FFFFFF"/>
                <w:sz w:val="16"/>
              </w:rPr>
              <w:t>Initial website name</w:t>
            </w:r>
          </w:p>
        </w:tc>
        <w:tc>
          <w:tcPr>
            <w:tcW w:type="dxa" w:w="289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264B5D"/>
          </w:tcPr>
          <w:p>
            <w:pPr>
              <w:spacing w:after="0" w:line="240" w:lineRule="auto"/>
              <w:jc w:val="center"/>
            </w:pPr>
            <w:r>
              <w:rPr>
                <w:rFonts w:ascii="Aptos" w:hAnsi="Aptos" w:eastAsia="Aptos"/>
                <w:b/>
                <w:color w:val="FFFFFF"/>
                <w:sz w:val="16"/>
              </w:rPr>
              <w:t>Publication cautions</w:t>
            </w:r>
          </w:p>
        </w:tc>
      </w:tr>
      <w:tr>
        <w:trPr>
          <w:cantSplit/>
        </w:trPr>
        <w:tc>
          <w:tcPr>
            <w:tcW w:type="dxa" w:w="170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6"/>
              </w:rPr>
              <w:t>Apple juice</w:t>
            </w:r>
          </w:p>
        </w:tc>
        <w:tc>
          <w:tcPr>
            <w:tcW w:type="dxa" w:w="2154"/>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6"/>
              </w:rPr>
              <w:t>1,000 ml clear glass bottle</w:t>
            </w:r>
          </w:p>
        </w:tc>
        <w:tc>
          <w:tcPr>
            <w:tcW w:type="dxa" w:w="2324"/>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6"/>
              </w:rPr>
              <w:t>Direct-Pressed Apple Juice</w:t>
            </w:r>
          </w:p>
        </w:tc>
        <w:tc>
          <w:tcPr>
            <w:tcW w:type="dxa" w:w="289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6"/>
              </w:rPr>
              <w:t>Claims such as 100% natural, no added sugar or no preservatives require technical approval.</w:t>
            </w:r>
          </w:p>
        </w:tc>
      </w:tr>
      <w:tr>
        <w:trPr>
          <w:cantSplit/>
        </w:trPr>
        <w:tc>
          <w:tcPr>
            <w:tcW w:type="dxa" w:w="170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6"/>
              </w:rPr>
              <w:t>Apricot jam</w:t>
            </w:r>
          </w:p>
        </w:tc>
        <w:tc>
          <w:tcPr>
            <w:tcW w:type="dxa" w:w="2154"/>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6"/>
              </w:rPr>
              <w:t>212–228 ml clear glass jar</w:t>
            </w:r>
          </w:p>
        </w:tc>
        <w:tc>
          <w:tcPr>
            <w:tcW w:type="dxa" w:w="2324"/>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6"/>
              </w:rPr>
              <w:t>Apricot Jam</w:t>
            </w:r>
          </w:p>
        </w:tc>
        <w:tc>
          <w:tcPr>
            <w:tcW w:type="dxa" w:w="289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6"/>
              </w:rPr>
              <w:t>Website should show final net weight in grams after filling trials.</w:t>
            </w:r>
          </w:p>
        </w:tc>
      </w:tr>
      <w:tr>
        <w:trPr>
          <w:cantSplit/>
        </w:trPr>
        <w:tc>
          <w:tcPr>
            <w:tcW w:type="dxa" w:w="170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6"/>
              </w:rPr>
              <w:t>Tomato paste</w:t>
            </w:r>
          </w:p>
        </w:tc>
        <w:tc>
          <w:tcPr>
            <w:tcW w:type="dxa" w:w="2154"/>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6"/>
              </w:rPr>
              <w:t>500 ml clear glass jar</w:t>
            </w:r>
          </w:p>
        </w:tc>
        <w:tc>
          <w:tcPr>
            <w:tcW w:type="dxa" w:w="2324"/>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6"/>
              </w:rPr>
              <w:t>Tomato Paste</w:t>
            </w:r>
          </w:p>
        </w:tc>
        <w:tc>
          <w:tcPr>
            <w:tcW w:type="dxa" w:w="289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6"/>
              </w:rPr>
              <w:t>Publish soluble-solids concentration and net weight only after recipe approval.</w:t>
            </w:r>
          </w:p>
        </w:tc>
      </w:tr>
      <w:tr>
        <w:trPr>
          <w:cantSplit/>
        </w:trPr>
        <w:tc>
          <w:tcPr>
            <w:tcW w:type="dxa" w:w="170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6"/>
              </w:rPr>
              <w:t>Drinking water</w:t>
            </w:r>
          </w:p>
        </w:tc>
        <w:tc>
          <w:tcPr>
            <w:tcW w:type="dxa" w:w="2154"/>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6"/>
              </w:rPr>
              <w:t>500 ml and 1.5 L PET bottles</w:t>
            </w:r>
          </w:p>
        </w:tc>
        <w:tc>
          <w:tcPr>
            <w:tcW w:type="dxa" w:w="2324"/>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6"/>
              </w:rPr>
              <w:t>Non-Carbonated Drinking Water</w:t>
            </w:r>
          </w:p>
        </w:tc>
        <w:tc>
          <w:tcPr>
            <w:tcW w:type="dxa" w:w="289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6"/>
              </w:rPr>
              <w:t>Do not call it spring, mountain or mineral water without documented classification.</w:t>
            </w:r>
          </w:p>
        </w:tc>
      </w:tr>
    </w:tbl>
    <w:p>
      <w:pPr>
        <w:pStyle w:val="Heading2"/>
      </w:pPr>
      <w:r>
        <w:t>7.2 Product record fields</w:t>
      </w:r>
    </w:p>
    <w:tbl>
      <w:tblPr>
        <w:tblW w:type="auto" w:w="0"/>
        <w:jc w:val="center"/>
        <w:tblLayout w:type="fixed"/>
        <w:tblLook w:firstColumn="1" w:firstRow="1" w:lastColumn="0" w:lastRow="0" w:noHBand="0" w:noVBand="1" w:val="04A0"/>
      </w:tblPr>
      <w:tblGrid>
        <w:gridCol w:w="3419"/>
        <w:gridCol w:w="3419"/>
        <w:gridCol w:w="3419"/>
      </w:tblGrid>
      <w:tr>
        <w:trPr>
          <w:tblHeader w:val="true"/>
          <w:cantSplit/>
        </w:trPr>
        <w:tc>
          <w:tcPr>
            <w:tcW w:type="dxa" w:w="170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264B5D"/>
          </w:tcPr>
          <w:p>
            <w:pPr>
              <w:spacing w:after="0" w:line="240" w:lineRule="auto"/>
              <w:jc w:val="center"/>
            </w:pPr>
            <w:r>
              <w:rPr>
                <w:rFonts w:ascii="Aptos" w:hAnsi="Aptos" w:eastAsia="Aptos"/>
                <w:b/>
                <w:color w:val="FFFFFF"/>
                <w:sz w:val="16"/>
              </w:rPr>
              <w:t>Group</w:t>
            </w:r>
          </w:p>
        </w:tc>
        <w:tc>
          <w:tcPr>
            <w:tcW w:type="dxa" w:w="294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264B5D"/>
          </w:tcPr>
          <w:p>
            <w:pPr>
              <w:spacing w:after="0" w:line="240" w:lineRule="auto"/>
              <w:jc w:val="center"/>
            </w:pPr>
            <w:r>
              <w:rPr>
                <w:rFonts w:ascii="Aptos" w:hAnsi="Aptos" w:eastAsia="Aptos"/>
                <w:b/>
                <w:color w:val="FFFFFF"/>
                <w:sz w:val="16"/>
              </w:rPr>
              <w:t>Field</w:t>
            </w:r>
          </w:p>
        </w:tc>
        <w:tc>
          <w:tcPr>
            <w:tcW w:type="dxa" w:w="4422"/>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264B5D"/>
          </w:tcPr>
          <w:p>
            <w:pPr>
              <w:spacing w:after="0" w:line="240" w:lineRule="auto"/>
              <w:jc w:val="center"/>
            </w:pPr>
            <w:r>
              <w:rPr>
                <w:rFonts w:ascii="Aptos" w:hAnsi="Aptos" w:eastAsia="Aptos"/>
                <w:b/>
                <w:color w:val="FFFFFF"/>
                <w:sz w:val="16"/>
              </w:rPr>
              <w:t>Requirement</w:t>
            </w:r>
          </w:p>
        </w:tc>
      </w:tr>
      <w:tr>
        <w:trPr>
          <w:cantSplit/>
        </w:trPr>
        <w:tc>
          <w:tcPr>
            <w:tcW w:type="dxa" w:w="170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6"/>
              </w:rPr>
              <w:t>Identity</w:t>
            </w:r>
          </w:p>
        </w:tc>
        <w:tc>
          <w:tcPr>
            <w:tcW w:type="dxa" w:w="294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6"/>
              </w:rPr>
              <w:t>Product ID / SKU</w:t>
            </w:r>
          </w:p>
        </w:tc>
        <w:tc>
          <w:tcPr>
            <w:tcW w:type="dxa" w:w="4422"/>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6"/>
              </w:rPr>
              <w:t>Unique and immutable internal identifier</w:t>
            </w:r>
          </w:p>
        </w:tc>
      </w:tr>
      <w:tr>
        <w:trPr>
          <w:cantSplit/>
        </w:trPr>
        <w:tc>
          <w:tcPr>
            <w:tcW w:type="dxa" w:w="170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6"/>
              </w:rPr>
              <w:t>Identity</w:t>
            </w:r>
          </w:p>
        </w:tc>
        <w:tc>
          <w:tcPr>
            <w:tcW w:type="dxa" w:w="294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6"/>
              </w:rPr>
              <w:t>Name in Tajik, Russian and English</w:t>
            </w:r>
          </w:p>
        </w:tc>
        <w:tc>
          <w:tcPr>
            <w:tcW w:type="dxa" w:w="4422"/>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6"/>
              </w:rPr>
              <w:t>Independent multilingual fields</w:t>
            </w:r>
          </w:p>
        </w:tc>
      </w:tr>
      <w:tr>
        <w:trPr>
          <w:cantSplit/>
        </w:trPr>
        <w:tc>
          <w:tcPr>
            <w:tcW w:type="dxa" w:w="170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6"/>
              </w:rPr>
              <w:t>Identity</w:t>
            </w:r>
          </w:p>
        </w:tc>
        <w:tc>
          <w:tcPr>
            <w:tcW w:type="dxa" w:w="294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6"/>
              </w:rPr>
              <w:t>Slug</w:t>
            </w:r>
          </w:p>
        </w:tc>
        <w:tc>
          <w:tcPr>
            <w:tcW w:type="dxa" w:w="4422"/>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6"/>
              </w:rPr>
              <w:t>Editable but unique per language</w:t>
            </w:r>
          </w:p>
        </w:tc>
      </w:tr>
      <w:tr>
        <w:trPr>
          <w:cantSplit/>
        </w:trPr>
        <w:tc>
          <w:tcPr>
            <w:tcW w:type="dxa" w:w="170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6"/>
              </w:rPr>
              <w:t>Description</w:t>
            </w:r>
          </w:p>
        </w:tc>
        <w:tc>
          <w:tcPr>
            <w:tcW w:type="dxa" w:w="294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6"/>
              </w:rPr>
              <w:t>Short and full descriptions</w:t>
            </w:r>
          </w:p>
        </w:tc>
        <w:tc>
          <w:tcPr>
            <w:tcW w:type="dxa" w:w="4422"/>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6"/>
              </w:rPr>
              <w:t>Separate fields with approval status</w:t>
            </w:r>
          </w:p>
        </w:tc>
      </w:tr>
      <w:tr>
        <w:trPr>
          <w:cantSplit/>
        </w:trPr>
        <w:tc>
          <w:tcPr>
            <w:tcW w:type="dxa" w:w="170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6"/>
              </w:rPr>
              <w:t>Composition</w:t>
            </w:r>
          </w:p>
        </w:tc>
        <w:tc>
          <w:tcPr>
            <w:tcW w:type="dxa" w:w="294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6"/>
              </w:rPr>
              <w:t>Ingredients and allergen statement</w:t>
            </w:r>
          </w:p>
        </w:tc>
        <w:tc>
          <w:tcPr>
            <w:tcW w:type="dxa" w:w="4422"/>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6"/>
              </w:rPr>
              <w:t>Structured, editable and versioned</w:t>
            </w:r>
          </w:p>
        </w:tc>
      </w:tr>
      <w:tr>
        <w:trPr>
          <w:cantSplit/>
        </w:trPr>
        <w:tc>
          <w:tcPr>
            <w:tcW w:type="dxa" w:w="170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6"/>
              </w:rPr>
              <w:t>Nutrition</w:t>
            </w:r>
          </w:p>
        </w:tc>
        <w:tc>
          <w:tcPr>
            <w:tcW w:type="dxa" w:w="294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6"/>
              </w:rPr>
              <w:t>Nutrition table</w:t>
            </w:r>
          </w:p>
        </w:tc>
        <w:tc>
          <w:tcPr>
            <w:tcW w:type="dxa" w:w="4422"/>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6"/>
              </w:rPr>
              <w:t>Values, units and serving basis</w:t>
            </w:r>
          </w:p>
        </w:tc>
      </w:tr>
      <w:tr>
        <w:trPr>
          <w:cantSplit/>
        </w:trPr>
        <w:tc>
          <w:tcPr>
            <w:tcW w:type="dxa" w:w="170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6"/>
              </w:rPr>
              <w:t>Packaging</w:t>
            </w:r>
          </w:p>
        </w:tc>
        <w:tc>
          <w:tcPr>
            <w:tcW w:type="dxa" w:w="294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6"/>
              </w:rPr>
              <w:t>Net quantity, container volume, material, closure</w:t>
            </w:r>
          </w:p>
        </w:tc>
        <w:tc>
          <w:tcPr>
            <w:tcW w:type="dxa" w:w="4422"/>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6"/>
              </w:rPr>
              <w:t>Separate fields, not embedded in prose</w:t>
            </w:r>
          </w:p>
        </w:tc>
      </w:tr>
      <w:tr>
        <w:trPr>
          <w:cantSplit/>
        </w:trPr>
        <w:tc>
          <w:tcPr>
            <w:tcW w:type="dxa" w:w="170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6"/>
              </w:rPr>
              <w:t>Storage</w:t>
            </w:r>
          </w:p>
        </w:tc>
        <w:tc>
          <w:tcPr>
            <w:tcW w:type="dxa" w:w="294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6"/>
              </w:rPr>
              <w:t>Shelf life and storage after opening</w:t>
            </w:r>
          </w:p>
        </w:tc>
        <w:tc>
          <w:tcPr>
            <w:tcW w:type="dxa" w:w="4422"/>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6"/>
              </w:rPr>
              <w:t>Date-reviewed and compliance-approved</w:t>
            </w:r>
          </w:p>
        </w:tc>
      </w:tr>
      <w:tr>
        <w:trPr>
          <w:cantSplit/>
        </w:trPr>
        <w:tc>
          <w:tcPr>
            <w:tcW w:type="dxa" w:w="170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6"/>
              </w:rPr>
              <w:t>Media</w:t>
            </w:r>
          </w:p>
        </w:tc>
        <w:tc>
          <w:tcPr>
            <w:tcW w:type="dxa" w:w="294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6"/>
              </w:rPr>
              <w:t>Hero image, gallery, label artwork</w:t>
            </w:r>
          </w:p>
        </w:tc>
        <w:tc>
          <w:tcPr>
            <w:tcW w:type="dxa" w:w="4422"/>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6"/>
              </w:rPr>
              <w:t>Alt text and copyright/source metadata</w:t>
            </w:r>
          </w:p>
        </w:tc>
      </w:tr>
      <w:tr>
        <w:trPr>
          <w:cantSplit/>
        </w:trPr>
        <w:tc>
          <w:tcPr>
            <w:tcW w:type="dxa" w:w="170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6"/>
              </w:rPr>
              <w:t>Compliance</w:t>
            </w:r>
          </w:p>
        </w:tc>
        <w:tc>
          <w:tcPr>
            <w:tcW w:type="dxa" w:w="294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6"/>
              </w:rPr>
              <w:t>Certificate status and technical sheet</w:t>
            </w:r>
          </w:p>
        </w:tc>
        <w:tc>
          <w:tcPr>
            <w:tcW w:type="dxa" w:w="4422"/>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6"/>
              </w:rPr>
              <w:t>Draft / approved / expired status</w:t>
            </w:r>
          </w:p>
        </w:tc>
      </w:tr>
      <w:tr>
        <w:trPr>
          <w:cantSplit/>
        </w:trPr>
        <w:tc>
          <w:tcPr>
            <w:tcW w:type="dxa" w:w="170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6"/>
              </w:rPr>
              <w:t>SEO</w:t>
            </w:r>
          </w:p>
        </w:tc>
        <w:tc>
          <w:tcPr>
            <w:tcW w:type="dxa" w:w="294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6"/>
              </w:rPr>
              <w:t>Title, description, share image</w:t>
            </w:r>
          </w:p>
        </w:tc>
        <w:tc>
          <w:tcPr>
            <w:tcW w:type="dxa" w:w="4422"/>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6"/>
              </w:rPr>
              <w:t>Per language</w:t>
            </w:r>
          </w:p>
        </w:tc>
      </w:tr>
      <w:tr>
        <w:trPr>
          <w:cantSplit/>
        </w:trPr>
        <w:tc>
          <w:tcPr>
            <w:tcW w:type="dxa" w:w="170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6"/>
              </w:rPr>
              <w:t>Governance</w:t>
            </w:r>
          </w:p>
        </w:tc>
        <w:tc>
          <w:tcPr>
            <w:tcW w:type="dxa" w:w="294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6"/>
              </w:rPr>
              <w:t>Owner, reviewer, last review date</w:t>
            </w:r>
          </w:p>
        </w:tc>
        <w:tc>
          <w:tcPr>
            <w:tcW w:type="dxa" w:w="4422"/>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6"/>
              </w:rPr>
              <w:t>Required for publication</w:t>
            </w:r>
          </w:p>
        </w:tc>
      </w:tr>
    </w:tbl>
    <w:p>
      <w:pPr>
        <w:pStyle w:val="Heading2"/>
      </w:pPr>
      <w:r>
        <w:t>7.3 Illustrative product visual direction</w:t>
      </w:r>
    </w:p>
    <w:tbl>
      <w:tblPr>
        <w:tblW w:type="auto" w:w="0"/>
        <w:jc w:val="center"/>
        <w:tblLook w:firstColumn="1" w:firstRow="1" w:lastColumn="0" w:lastRow="0" w:noHBand="0" w:noVBand="1" w:val="04A0"/>
      </w:tblPr>
      <w:tblGrid>
        <w:gridCol w:w="5128"/>
        <w:gridCol w:w="5128"/>
      </w:tblGrid>
      <w:tr>
        <w:trPr>
          <w:cantSplit/>
        </w:trPr>
        <w:tc>
          <w:tcPr>
            <w:tcW w:type="dxa" w:w="5128"/>
            <w:vAlign w:val="center"/>
            <w:shd w:fill="FFF9EF"/>
            <w:tcMar>
              <w:top w:w="90" w:type="dxa"/>
              <w:start w:w="90" w:type="dxa"/>
              <w:bottom w:w="90" w:type="dxa"/>
              <w:end w:w="90" w:type="dxa"/>
            </w:tcMar>
            <w:tcBorders>
              <w:top w:val="single" w:sz="4" w:color="E5E7EB"/>
              <w:left w:val="single" w:sz="4" w:color="E5E7EB"/>
              <w:bottom w:val="single" w:sz="4" w:color="E5E7EB"/>
              <w:right w:val="single" w:sz="4" w:color="E5E7EB"/>
            </w:tcBorders>
          </w:tcPr>
          <w:p>
            <w:pPr>
              <w:jc w:val="center"/>
            </w:pPr>
            <w:r>
              <w:drawing>
                <wp:inline xmlns:a="http://schemas.openxmlformats.org/drawingml/2006/main" xmlns:pic="http://schemas.openxmlformats.org/drawingml/2006/picture">
                  <wp:extent cx="2448000" cy="3459685"/>
                  <wp:docPr id="2" name="Picture 2"/>
                  <wp:cNvGraphicFramePr>
                    <a:graphicFrameLocks noChangeAspect="1"/>
                  </wp:cNvGraphicFramePr>
                  <a:graphic>
                    <a:graphicData uri="http://schemas.openxmlformats.org/drawingml/2006/picture">
                      <pic:pic>
                        <pic:nvPicPr>
                          <pic:cNvPr id="0" name="apple_juice_product_catalogue_design.png"/>
                          <pic:cNvPicPr/>
                        </pic:nvPicPr>
                        <pic:blipFill>
                          <a:blip r:embed="rId12"/>
                          <a:stretch>
                            <a:fillRect/>
                          </a:stretch>
                        </pic:blipFill>
                        <pic:spPr>
                          <a:xfrm>
                            <a:off x="0" y="0"/>
                            <a:ext cx="2448000" cy="3459685"/>
                          </a:xfrm>
                          <a:prstGeom prst="rect"/>
                        </pic:spPr>
                      </pic:pic>
                    </a:graphicData>
                  </a:graphic>
                </wp:inline>
              </w:drawing>
            </w:r>
          </w:p>
          <w:p>
            <w:pPr>
              <w:jc w:val="center"/>
            </w:pPr>
            <w:r>
              <w:rPr>
                <w:rFonts w:ascii="Aptos" w:hAnsi="Aptos" w:eastAsia="Aptos"/>
                <w:i/>
                <w:color w:val="4B5563"/>
                <w:sz w:val="17"/>
              </w:rPr>
              <w:t>Apple juice catalogue concept</w:t>
            </w:r>
          </w:p>
        </w:tc>
        <w:tc>
          <w:tcPr>
            <w:tcW w:type="dxa" w:w="5128"/>
            <w:vAlign w:val="center"/>
            <w:shd w:fill="FFF9EF"/>
            <w:tcMar>
              <w:top w:w="90" w:type="dxa"/>
              <w:start w:w="90" w:type="dxa"/>
              <w:bottom w:w="90" w:type="dxa"/>
              <w:end w:w="90" w:type="dxa"/>
            </w:tcMar>
            <w:tcBorders>
              <w:top w:val="single" w:sz="4" w:color="E5E7EB"/>
              <w:left w:val="single" w:sz="4" w:color="E5E7EB"/>
              <w:bottom w:val="single" w:sz="4" w:color="E5E7EB"/>
              <w:right w:val="single" w:sz="4" w:color="E5E7EB"/>
            </w:tcBorders>
          </w:tcPr>
          <w:p>
            <w:pPr>
              <w:jc w:val="center"/>
            </w:pPr>
            <w:r>
              <w:drawing>
                <wp:inline xmlns:a="http://schemas.openxmlformats.org/drawingml/2006/main" xmlns:pic="http://schemas.openxmlformats.org/drawingml/2006/picture">
                  <wp:extent cx="2448000" cy="3459685"/>
                  <wp:docPr id="3" name="Picture 3"/>
                  <wp:cNvGraphicFramePr>
                    <a:graphicFrameLocks noChangeAspect="1"/>
                  </wp:cNvGraphicFramePr>
                  <a:graphic>
                    <a:graphicData uri="http://schemas.openxmlformats.org/drawingml/2006/picture">
                      <pic:pic>
                        <pic:nvPicPr>
                          <pic:cNvPr id="0" name="premium_apricot_jam_catalogue_page.png"/>
                          <pic:cNvPicPr/>
                        </pic:nvPicPr>
                        <pic:blipFill>
                          <a:blip r:embed="rId13"/>
                          <a:stretch>
                            <a:fillRect/>
                          </a:stretch>
                        </pic:blipFill>
                        <pic:spPr>
                          <a:xfrm>
                            <a:off x="0" y="0"/>
                            <a:ext cx="2448000" cy="3459685"/>
                          </a:xfrm>
                          <a:prstGeom prst="rect"/>
                        </pic:spPr>
                      </pic:pic>
                    </a:graphicData>
                  </a:graphic>
                </wp:inline>
              </w:drawing>
            </w:r>
          </w:p>
          <w:p>
            <w:pPr>
              <w:jc w:val="center"/>
            </w:pPr>
            <w:r>
              <w:rPr>
                <w:rFonts w:ascii="Aptos" w:hAnsi="Aptos" w:eastAsia="Aptos"/>
                <w:i/>
                <w:color w:val="4B5563"/>
                <w:sz w:val="17"/>
              </w:rPr>
              <w:t>Apricot jam catalogue concept</w:t>
            </w:r>
          </w:p>
        </w:tc>
      </w:tr>
      <w:tr>
        <w:trPr>
          <w:cantSplit/>
        </w:trPr>
        <w:tc>
          <w:tcPr>
            <w:tcW w:type="dxa" w:w="5128"/>
            <w:vAlign w:val="center"/>
            <w:shd w:fill="FFF9EF"/>
            <w:tcMar>
              <w:top w:w="90" w:type="dxa"/>
              <w:start w:w="90" w:type="dxa"/>
              <w:bottom w:w="90" w:type="dxa"/>
              <w:end w:w="90" w:type="dxa"/>
            </w:tcMar>
            <w:tcBorders>
              <w:top w:val="single" w:sz="4" w:color="E5E7EB"/>
              <w:left w:val="single" w:sz="4" w:color="E5E7EB"/>
              <w:bottom w:val="single" w:sz="4" w:color="E5E7EB"/>
              <w:right w:val="single" w:sz="4" w:color="E5E7EB"/>
            </w:tcBorders>
          </w:tcPr>
          <w:p>
            <w:pPr>
              <w:jc w:val="center"/>
            </w:pPr>
            <w:r>
              <w:drawing>
                <wp:inline xmlns:a="http://schemas.openxmlformats.org/drawingml/2006/main" xmlns:pic="http://schemas.openxmlformats.org/drawingml/2006/picture">
                  <wp:extent cx="2448000" cy="3459685"/>
                  <wp:docPr id="4" name="Picture 4"/>
                  <wp:cNvGraphicFramePr>
                    <a:graphicFrameLocks noChangeAspect="1"/>
                  </wp:cNvGraphicFramePr>
                  <a:graphic>
                    <a:graphicData uri="http://schemas.openxmlformats.org/drawingml/2006/picture">
                      <pic:pic>
                        <pic:nvPicPr>
                          <pic:cNvPr id="0" name="natural_tomato_paste_product_catalogue.png"/>
                          <pic:cNvPicPr/>
                        </pic:nvPicPr>
                        <pic:blipFill>
                          <a:blip r:embed="rId14"/>
                          <a:stretch>
                            <a:fillRect/>
                          </a:stretch>
                        </pic:blipFill>
                        <pic:spPr>
                          <a:xfrm>
                            <a:off x="0" y="0"/>
                            <a:ext cx="2448000" cy="3459685"/>
                          </a:xfrm>
                          <a:prstGeom prst="rect"/>
                        </pic:spPr>
                      </pic:pic>
                    </a:graphicData>
                  </a:graphic>
                </wp:inline>
              </w:drawing>
            </w:r>
          </w:p>
          <w:p>
            <w:pPr>
              <w:jc w:val="center"/>
            </w:pPr>
            <w:r>
              <w:rPr>
                <w:rFonts w:ascii="Aptos" w:hAnsi="Aptos" w:eastAsia="Aptos"/>
                <w:i/>
                <w:color w:val="4B5563"/>
                <w:sz w:val="17"/>
              </w:rPr>
              <w:t>Tomato paste catalogue concept</w:t>
            </w:r>
          </w:p>
        </w:tc>
        <w:tc>
          <w:tcPr>
            <w:tcW w:type="dxa" w:w="5128"/>
            <w:vAlign w:val="center"/>
            <w:shd w:fill="FFF9EF"/>
            <w:tcMar>
              <w:top w:w="90" w:type="dxa"/>
              <w:start w:w="90" w:type="dxa"/>
              <w:bottom w:w="90" w:type="dxa"/>
              <w:end w:w="90" w:type="dxa"/>
            </w:tcMar>
            <w:tcBorders>
              <w:top w:val="single" w:sz="4" w:color="E5E7EB"/>
              <w:left w:val="single" w:sz="4" w:color="E5E7EB"/>
              <w:bottom w:val="single" w:sz="4" w:color="E5E7EB"/>
              <w:right w:val="single" w:sz="4" w:color="E5E7EB"/>
            </w:tcBorders>
          </w:tcPr>
          <w:p>
            <w:pPr>
              <w:jc w:val="center"/>
            </w:pPr>
            <w:r>
              <w:drawing>
                <wp:inline xmlns:a="http://schemas.openxmlformats.org/drawingml/2006/main" xmlns:pic="http://schemas.openxmlformats.org/drawingml/2006/picture">
                  <wp:extent cx="2448000" cy="3459685"/>
                  <wp:docPr id="5" name="Picture 5"/>
                  <wp:cNvGraphicFramePr>
                    <a:graphicFrameLocks noChangeAspect="1"/>
                  </wp:cNvGraphicFramePr>
                  <a:graphic>
                    <a:graphicData uri="http://schemas.openxmlformats.org/drawingml/2006/picture">
                      <pic:pic>
                        <pic:nvPicPr>
                          <pic:cNvPr id="0" name="product_catalogue_for_natural_water.png"/>
                          <pic:cNvPicPr/>
                        </pic:nvPicPr>
                        <pic:blipFill>
                          <a:blip r:embed="rId15"/>
                          <a:stretch>
                            <a:fillRect/>
                          </a:stretch>
                        </pic:blipFill>
                        <pic:spPr>
                          <a:xfrm>
                            <a:off x="0" y="0"/>
                            <a:ext cx="2448000" cy="3459685"/>
                          </a:xfrm>
                          <a:prstGeom prst="rect"/>
                        </pic:spPr>
                      </pic:pic>
                    </a:graphicData>
                  </a:graphic>
                </wp:inline>
              </w:drawing>
            </w:r>
          </w:p>
          <w:p>
            <w:pPr>
              <w:jc w:val="center"/>
            </w:pPr>
            <w:r>
              <w:rPr>
                <w:rFonts w:ascii="Aptos" w:hAnsi="Aptos" w:eastAsia="Aptos"/>
                <w:i/>
                <w:color w:val="4B5563"/>
                <w:sz w:val="17"/>
              </w:rPr>
              <w:t>Drinking water catalogue concept</w:t>
            </w:r>
          </w:p>
        </w:tc>
      </w:tr>
    </w:tbl>
    <w:p>
      <w:pPr>
        <w:spacing w:after="80" w:line="252" w:lineRule="auto"/>
      </w:pPr>
      <w:r>
        <w:rPr>
          <w:rFonts w:ascii="Aptos" w:hAnsi="Aptos" w:eastAsia="Aptos"/>
          <w:i/>
          <w:sz w:val="21"/>
        </w:rPr>
        <w:t>These images are design concepts, not final regulated label artwork. Product photography and label text must be replaced with approved production assets before launch.</w:t>
      </w:r>
    </w:p>
    <w:p>
      <w:pPr>
        <w:pStyle w:val="Heading1"/>
      </w:pPr>
      <w:r>
        <w:t>8. User Experience and Visual Design</w:t>
      </w:r>
    </w:p>
    <w:p>
      <w:pPr>
        <w:pStyle w:val="Heading2"/>
      </w:pPr>
      <w:r>
        <w:t>8.1 Design principles</w:t>
      </w:r>
    </w:p>
    <w:p>
      <w:pPr>
        <w:pStyle w:val="ListBullet"/>
        <w:spacing w:after="40" w:line="252" w:lineRule="auto"/>
      </w:pPr>
      <w:r>
        <w:rPr>
          <w:rFonts w:ascii="Aptos" w:hAnsi="Aptos" w:eastAsia="Aptos"/>
          <w:sz w:val="21"/>
        </w:rPr>
        <w:t>Clean, premium and trustworthy rather than visually crowded.</w:t>
      </w:r>
    </w:p>
    <w:p>
      <w:pPr>
        <w:pStyle w:val="ListBullet"/>
        <w:spacing w:after="40" w:line="252" w:lineRule="auto"/>
      </w:pPr>
      <w:r>
        <w:rPr>
          <w:rFonts w:ascii="Aptos" w:hAnsi="Aptos" w:eastAsia="Aptos"/>
          <w:sz w:val="21"/>
        </w:rPr>
        <w:t>Regional identity without making every screen a mountain poster.</w:t>
      </w:r>
    </w:p>
    <w:p>
      <w:pPr>
        <w:pStyle w:val="ListBullet"/>
        <w:spacing w:after="40" w:line="252" w:lineRule="auto"/>
      </w:pPr>
      <w:r>
        <w:rPr>
          <w:rFonts w:ascii="Aptos" w:hAnsi="Aptos" w:eastAsia="Aptos"/>
          <w:sz w:val="21"/>
        </w:rPr>
        <w:t>Strong product photography and simple information hierarchy.</w:t>
      </w:r>
    </w:p>
    <w:p>
      <w:pPr>
        <w:pStyle w:val="ListBullet"/>
        <w:spacing w:after="40" w:line="252" w:lineRule="auto"/>
      </w:pPr>
      <w:r>
        <w:rPr>
          <w:rFonts w:ascii="Aptos" w:hAnsi="Aptos" w:eastAsia="Aptos"/>
          <w:sz w:val="21"/>
        </w:rPr>
        <w:t>Mobile-first layouts suitable for slower connections.</w:t>
      </w:r>
    </w:p>
    <w:p>
      <w:pPr>
        <w:pStyle w:val="ListBullet"/>
        <w:spacing w:after="40" w:line="252" w:lineRule="auto"/>
      </w:pPr>
      <w:r>
        <w:rPr>
          <w:rFonts w:ascii="Aptos" w:hAnsi="Aptos" w:eastAsia="Aptos"/>
          <w:sz w:val="21"/>
        </w:rPr>
        <w:t>Clear distinction between corporate, product, institutional and legal content.</w:t>
      </w:r>
    </w:p>
    <w:p>
      <w:pPr>
        <w:pStyle w:val="Heading2"/>
      </w:pPr>
      <w:r>
        <w:t>8.2 Colour system</w:t>
      </w:r>
    </w:p>
    <w:tbl>
      <w:tblPr>
        <w:tblW w:type="auto" w:w="0"/>
        <w:jc w:val="center"/>
        <w:tblLayout w:type="fixed"/>
        <w:tblLook w:firstColumn="1" w:firstRow="1" w:lastColumn="0" w:lastRow="0" w:noHBand="0" w:noVBand="1" w:val="04A0"/>
      </w:tblPr>
      <w:tblGrid>
        <w:gridCol w:w="3419"/>
        <w:gridCol w:w="3419"/>
        <w:gridCol w:w="3419"/>
      </w:tblGrid>
      <w:tr>
        <w:trPr>
          <w:tblHeader w:val="true"/>
          <w:cantSplit/>
        </w:trPr>
        <w:tc>
          <w:tcPr>
            <w:tcW w:type="dxa" w:w="1984"/>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264B5D"/>
          </w:tcPr>
          <w:p>
            <w:pPr>
              <w:spacing w:after="0" w:line="240" w:lineRule="auto"/>
              <w:jc w:val="center"/>
            </w:pPr>
            <w:r>
              <w:rPr>
                <w:rFonts w:ascii="Aptos" w:hAnsi="Aptos" w:eastAsia="Aptos"/>
                <w:b/>
                <w:color w:val="FFFFFF"/>
                <w:sz w:val="17"/>
              </w:rPr>
              <w:t>Role</w:t>
            </w:r>
          </w:p>
        </w:tc>
        <w:tc>
          <w:tcPr>
            <w:tcW w:type="dxa" w:w="226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264B5D"/>
          </w:tcPr>
          <w:p>
            <w:pPr>
              <w:spacing w:after="0" w:line="240" w:lineRule="auto"/>
              <w:jc w:val="center"/>
            </w:pPr>
            <w:r>
              <w:rPr>
                <w:rFonts w:ascii="Aptos" w:hAnsi="Aptos" w:eastAsia="Aptos"/>
                <w:b/>
                <w:color w:val="FFFFFF"/>
                <w:sz w:val="17"/>
              </w:rPr>
              <w:t>Colour direction</w:t>
            </w:r>
          </w:p>
        </w:tc>
        <w:tc>
          <w:tcPr>
            <w:tcW w:type="dxa" w:w="4819"/>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264B5D"/>
          </w:tcPr>
          <w:p>
            <w:pPr>
              <w:spacing w:after="0" w:line="240" w:lineRule="auto"/>
              <w:jc w:val="center"/>
            </w:pPr>
            <w:r>
              <w:rPr>
                <w:rFonts w:ascii="Aptos" w:hAnsi="Aptos" w:eastAsia="Aptos"/>
                <w:b/>
                <w:color w:val="FFFFFF"/>
                <w:sz w:val="17"/>
              </w:rPr>
              <w:t>Application</w:t>
            </w:r>
          </w:p>
        </w:tc>
      </w:tr>
      <w:tr>
        <w:trPr>
          <w:cantSplit/>
        </w:trPr>
        <w:tc>
          <w:tcPr>
            <w:tcW w:type="dxa" w:w="1984"/>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7"/>
              </w:rPr>
              <w:t>Primary</w:t>
            </w:r>
          </w:p>
        </w:tc>
        <w:tc>
          <w:tcPr>
            <w:tcW w:type="dxa" w:w="226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7"/>
              </w:rPr>
              <w:t>Dark green</w:t>
            </w:r>
          </w:p>
        </w:tc>
        <w:tc>
          <w:tcPr>
            <w:tcW w:type="dxa" w:w="4819"/>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7"/>
              </w:rPr>
              <w:t>Navigation, headings, footer and trust elements</w:t>
            </w:r>
          </w:p>
        </w:tc>
      </w:tr>
      <w:tr>
        <w:trPr>
          <w:cantSplit/>
        </w:trPr>
        <w:tc>
          <w:tcPr>
            <w:tcW w:type="dxa" w:w="1984"/>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7"/>
              </w:rPr>
              <w:t>Secondary</w:t>
            </w:r>
          </w:p>
        </w:tc>
        <w:tc>
          <w:tcPr>
            <w:tcW w:type="dxa" w:w="226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7"/>
              </w:rPr>
              <w:t>Leaf green</w:t>
            </w:r>
          </w:p>
        </w:tc>
        <w:tc>
          <w:tcPr>
            <w:tcW w:type="dxa" w:w="4819"/>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7"/>
              </w:rPr>
              <w:t>Icons, highlights and natural-product cues</w:t>
            </w:r>
          </w:p>
        </w:tc>
      </w:tr>
      <w:tr>
        <w:trPr>
          <w:cantSplit/>
        </w:trPr>
        <w:tc>
          <w:tcPr>
            <w:tcW w:type="dxa" w:w="1984"/>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7"/>
              </w:rPr>
              <w:t>Accent</w:t>
            </w:r>
          </w:p>
        </w:tc>
        <w:tc>
          <w:tcPr>
            <w:tcW w:type="dxa" w:w="226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7"/>
              </w:rPr>
              <w:t>Orange / amber</w:t>
            </w:r>
          </w:p>
        </w:tc>
        <w:tc>
          <w:tcPr>
            <w:tcW w:type="dxa" w:w="4819"/>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7"/>
              </w:rPr>
              <w:t>Calls to action and fruit-product accents</w:t>
            </w:r>
          </w:p>
        </w:tc>
      </w:tr>
      <w:tr>
        <w:trPr>
          <w:cantSplit/>
        </w:trPr>
        <w:tc>
          <w:tcPr>
            <w:tcW w:type="dxa" w:w="1984"/>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7"/>
              </w:rPr>
              <w:t>Neutral</w:t>
            </w:r>
          </w:p>
        </w:tc>
        <w:tc>
          <w:tcPr>
            <w:tcW w:type="dxa" w:w="226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7"/>
              </w:rPr>
              <w:t>Warm white / cream</w:t>
            </w:r>
          </w:p>
        </w:tc>
        <w:tc>
          <w:tcPr>
            <w:tcW w:type="dxa" w:w="4819"/>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7"/>
              </w:rPr>
              <w:t>Backgrounds and content surfaces</w:t>
            </w:r>
          </w:p>
        </w:tc>
      </w:tr>
      <w:tr>
        <w:trPr>
          <w:cantSplit/>
        </w:trPr>
        <w:tc>
          <w:tcPr>
            <w:tcW w:type="dxa" w:w="1984"/>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7"/>
              </w:rPr>
              <w:t>Water line</w:t>
            </w:r>
          </w:p>
        </w:tc>
        <w:tc>
          <w:tcPr>
            <w:tcW w:type="dxa" w:w="226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7"/>
              </w:rPr>
              <w:t>Blue</w:t>
            </w:r>
          </w:p>
        </w:tc>
        <w:tc>
          <w:tcPr>
            <w:tcW w:type="dxa" w:w="4819"/>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7"/>
              </w:rPr>
              <w:t>Water product pages and labels</w:t>
            </w:r>
          </w:p>
        </w:tc>
      </w:tr>
      <w:tr>
        <w:trPr>
          <w:cantSplit/>
        </w:trPr>
        <w:tc>
          <w:tcPr>
            <w:tcW w:type="dxa" w:w="1984"/>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7"/>
              </w:rPr>
              <w:t>Tomato line</w:t>
            </w:r>
          </w:p>
        </w:tc>
        <w:tc>
          <w:tcPr>
            <w:tcW w:type="dxa" w:w="226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7"/>
              </w:rPr>
              <w:t>Red</w:t>
            </w:r>
          </w:p>
        </w:tc>
        <w:tc>
          <w:tcPr>
            <w:tcW w:type="dxa" w:w="4819"/>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7"/>
              </w:rPr>
              <w:t>Tomato-specific accents, used sparingly</w:t>
            </w:r>
          </w:p>
        </w:tc>
      </w:tr>
    </w:tbl>
    <w:p>
      <w:pPr>
        <w:pStyle w:val="Heading2"/>
      </w:pPr>
      <w:r>
        <w:t>8.3 Typography and media</w:t>
      </w:r>
    </w:p>
    <w:p>
      <w:pPr>
        <w:pStyle w:val="ListBullet"/>
        <w:spacing w:after="40" w:line="252" w:lineRule="auto"/>
      </w:pPr>
      <w:r>
        <w:rPr>
          <w:rFonts w:ascii="Aptos" w:hAnsi="Aptos" w:eastAsia="Aptos"/>
          <w:sz w:val="21"/>
        </w:rPr>
        <w:t>Use a readable sans-serif for body text and an optional restrained serif/display typeface for headings.</w:t>
      </w:r>
    </w:p>
    <w:p>
      <w:pPr>
        <w:pStyle w:val="ListBullet"/>
        <w:spacing w:after="40" w:line="252" w:lineRule="auto"/>
      </w:pPr>
      <w:r>
        <w:rPr>
          <w:rFonts w:ascii="Aptos" w:hAnsi="Aptos" w:eastAsia="Aptos"/>
          <w:sz w:val="21"/>
        </w:rPr>
        <w:t>Do not use text baked into images for essential information.</w:t>
      </w:r>
    </w:p>
    <w:p>
      <w:pPr>
        <w:pStyle w:val="ListBullet"/>
        <w:spacing w:after="40" w:line="252" w:lineRule="auto"/>
      </w:pPr>
      <w:r>
        <w:rPr>
          <w:rFonts w:ascii="Aptos" w:hAnsi="Aptos" w:eastAsia="Aptos"/>
          <w:sz w:val="21"/>
        </w:rPr>
        <w:t>Provide responsive WebP/AVIF derivatives and retain full-resolution originals.</w:t>
      </w:r>
    </w:p>
    <w:p>
      <w:pPr>
        <w:pStyle w:val="ListBullet"/>
        <w:spacing w:after="40" w:line="252" w:lineRule="auto"/>
      </w:pPr>
      <w:r>
        <w:rPr>
          <w:rFonts w:ascii="Aptos" w:hAnsi="Aptos" w:eastAsia="Aptos"/>
          <w:sz w:val="21"/>
        </w:rPr>
        <w:t>Photograph products on white background and in regional/lifestyle settings.</w:t>
      </w:r>
    </w:p>
    <w:p>
      <w:pPr>
        <w:pStyle w:val="ListBullet"/>
        <w:spacing w:after="40" w:line="252" w:lineRule="auto"/>
      </w:pPr>
      <w:r>
        <w:rPr>
          <w:rFonts w:ascii="Aptos" w:hAnsi="Aptos" w:eastAsia="Aptos"/>
          <w:sz w:val="21"/>
        </w:rPr>
        <w:t>Include factory, equipment, personnel, raw materials and packaging imagery after the facility is ready.</w:t>
      </w:r>
    </w:p>
    <w:p>
      <w:pPr>
        <w:pStyle w:val="Heading1"/>
      </w:pPr>
      <w:r>
        <w:t>9. Content Management System</w:t>
      </w:r>
    </w:p>
    <w:p>
      <w:pPr>
        <w:pStyle w:val="Heading2"/>
      </w:pPr>
      <w:r>
        <w:t>9.1 Editable content</w:t>
      </w:r>
    </w:p>
    <w:p>
      <w:pPr>
        <w:pStyle w:val="ListBullet"/>
        <w:spacing w:after="40" w:line="252" w:lineRule="auto"/>
      </w:pPr>
      <w:r>
        <w:rPr>
          <w:rFonts w:ascii="Aptos" w:hAnsi="Aptos" w:eastAsia="Aptos"/>
          <w:sz w:val="21"/>
        </w:rPr>
        <w:t>Pages and navigation.</w:t>
      </w:r>
    </w:p>
    <w:p>
      <w:pPr>
        <w:pStyle w:val="ListBullet"/>
        <w:spacing w:after="40" w:line="252" w:lineRule="auto"/>
      </w:pPr>
      <w:r>
        <w:rPr>
          <w:rFonts w:ascii="Aptos" w:hAnsi="Aptos" w:eastAsia="Aptos"/>
          <w:sz w:val="21"/>
        </w:rPr>
        <w:t>Products and product technical data.</w:t>
      </w:r>
    </w:p>
    <w:p>
      <w:pPr>
        <w:pStyle w:val="ListBullet"/>
        <w:spacing w:after="40" w:line="252" w:lineRule="auto"/>
      </w:pPr>
      <w:r>
        <w:rPr>
          <w:rFonts w:ascii="Aptos" w:hAnsi="Aptos" w:eastAsia="Aptos"/>
          <w:sz w:val="21"/>
        </w:rPr>
        <w:t>News, galleries and videos.</w:t>
      </w:r>
    </w:p>
    <w:p>
      <w:pPr>
        <w:pStyle w:val="ListBullet"/>
        <w:spacing w:after="40" w:line="252" w:lineRule="auto"/>
      </w:pPr>
      <w:r>
        <w:rPr>
          <w:rFonts w:ascii="Aptos" w:hAnsi="Aptos" w:eastAsia="Aptos"/>
          <w:sz w:val="21"/>
        </w:rPr>
        <w:t>President page and official external links.</w:t>
      </w:r>
    </w:p>
    <w:p>
      <w:pPr>
        <w:pStyle w:val="ListBullet"/>
        <w:spacing w:after="40" w:line="252" w:lineRule="auto"/>
      </w:pPr>
      <w:r>
        <w:rPr>
          <w:rFonts w:ascii="Aptos" w:hAnsi="Aptos" w:eastAsia="Aptos"/>
          <w:sz w:val="21"/>
        </w:rPr>
        <w:t>Contact details and maps.</w:t>
      </w:r>
    </w:p>
    <w:p>
      <w:pPr>
        <w:pStyle w:val="ListBullet"/>
        <w:spacing w:after="40" w:line="252" w:lineRule="auto"/>
      </w:pPr>
      <w:r>
        <w:rPr>
          <w:rFonts w:ascii="Aptos" w:hAnsi="Aptos" w:eastAsia="Aptos"/>
          <w:sz w:val="21"/>
        </w:rPr>
        <w:t>Downloads and certificates.</w:t>
      </w:r>
    </w:p>
    <w:p>
      <w:pPr>
        <w:pStyle w:val="ListBullet"/>
        <w:spacing w:after="40" w:line="252" w:lineRule="auto"/>
      </w:pPr>
      <w:r>
        <w:rPr>
          <w:rFonts w:ascii="Aptos" w:hAnsi="Aptos" w:eastAsia="Aptos"/>
          <w:sz w:val="21"/>
        </w:rPr>
        <w:t>SEO metadata and social images.</w:t>
      </w:r>
    </w:p>
    <w:p>
      <w:pPr>
        <w:pStyle w:val="ListBullet"/>
        <w:spacing w:after="40" w:line="252" w:lineRule="auto"/>
      </w:pPr>
      <w:r>
        <w:rPr>
          <w:rFonts w:ascii="Aptos" w:hAnsi="Aptos" w:eastAsia="Aptos"/>
          <w:sz w:val="21"/>
        </w:rPr>
        <w:t>Translations and publication status.</w:t>
      </w:r>
    </w:p>
    <w:p>
      <w:pPr>
        <w:pStyle w:val="Heading2"/>
      </w:pPr>
      <w:r>
        <w:t>9.2 Roles and permissions</w:t>
      </w:r>
    </w:p>
    <w:tbl>
      <w:tblPr>
        <w:tblW w:type="auto" w:w="0"/>
        <w:jc w:val="center"/>
        <w:tblLayout w:type="fixed"/>
        <w:tblLook w:firstColumn="1" w:firstRow="1" w:lastColumn="0" w:lastRow="0" w:noHBand="0" w:noVBand="1" w:val="04A0"/>
      </w:tblPr>
      <w:tblGrid>
        <w:gridCol w:w="3419"/>
        <w:gridCol w:w="3419"/>
        <w:gridCol w:w="3419"/>
      </w:tblGrid>
      <w:tr>
        <w:trPr>
          <w:tblHeader w:val="true"/>
          <w:cantSplit/>
        </w:trPr>
        <w:tc>
          <w:tcPr>
            <w:tcW w:type="dxa" w:w="226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264B5D"/>
          </w:tcPr>
          <w:p>
            <w:pPr>
              <w:spacing w:after="0" w:line="240" w:lineRule="auto"/>
              <w:jc w:val="center"/>
            </w:pPr>
            <w:r>
              <w:rPr>
                <w:rFonts w:ascii="Aptos" w:hAnsi="Aptos" w:eastAsia="Aptos"/>
                <w:b/>
                <w:color w:val="FFFFFF"/>
                <w:sz w:val="16"/>
              </w:rPr>
              <w:t>Role</w:t>
            </w:r>
          </w:p>
        </w:tc>
        <w:tc>
          <w:tcPr>
            <w:tcW w:type="dxa" w:w="3969"/>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264B5D"/>
          </w:tcPr>
          <w:p>
            <w:pPr>
              <w:spacing w:after="0" w:line="240" w:lineRule="auto"/>
              <w:jc w:val="center"/>
            </w:pPr>
            <w:r>
              <w:rPr>
                <w:rFonts w:ascii="Aptos" w:hAnsi="Aptos" w:eastAsia="Aptos"/>
                <w:b/>
                <w:color w:val="FFFFFF"/>
                <w:sz w:val="16"/>
              </w:rPr>
              <w:t>Permissions</w:t>
            </w:r>
          </w:p>
        </w:tc>
        <w:tc>
          <w:tcPr>
            <w:tcW w:type="dxa" w:w="2835"/>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264B5D"/>
          </w:tcPr>
          <w:p>
            <w:pPr>
              <w:spacing w:after="0" w:line="240" w:lineRule="auto"/>
              <w:jc w:val="center"/>
            </w:pPr>
            <w:r>
              <w:rPr>
                <w:rFonts w:ascii="Aptos" w:hAnsi="Aptos" w:eastAsia="Aptos"/>
                <w:b/>
                <w:color w:val="FFFFFF"/>
                <w:sz w:val="16"/>
              </w:rPr>
              <w:t>Restriction</w:t>
            </w:r>
          </w:p>
        </w:tc>
      </w:tr>
      <w:tr>
        <w:trPr>
          <w:cantSplit/>
        </w:trPr>
        <w:tc>
          <w:tcPr>
            <w:tcW w:type="dxa" w:w="226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6"/>
              </w:rPr>
              <w:t>Super Administrator</w:t>
            </w:r>
          </w:p>
        </w:tc>
        <w:tc>
          <w:tcPr>
            <w:tcW w:type="dxa" w:w="3969"/>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6"/>
              </w:rPr>
              <w:t>Full technical and content access</w:t>
            </w:r>
          </w:p>
        </w:tc>
        <w:tc>
          <w:tcPr>
            <w:tcW w:type="dxa" w:w="2835"/>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6"/>
              </w:rPr>
              <w:t>Limited to authorised senior staff</w:t>
            </w:r>
          </w:p>
        </w:tc>
      </w:tr>
      <w:tr>
        <w:trPr>
          <w:cantSplit/>
        </w:trPr>
        <w:tc>
          <w:tcPr>
            <w:tcW w:type="dxa" w:w="226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6"/>
              </w:rPr>
              <w:t>Content Manager</w:t>
            </w:r>
          </w:p>
        </w:tc>
        <w:tc>
          <w:tcPr>
            <w:tcW w:type="dxa" w:w="3969"/>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6"/>
              </w:rPr>
              <w:t>Pages, products, news, media and downloads</w:t>
            </w:r>
          </w:p>
        </w:tc>
        <w:tc>
          <w:tcPr>
            <w:tcW w:type="dxa" w:w="2835"/>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6"/>
              </w:rPr>
              <w:t>Cannot change system/security settings</w:t>
            </w:r>
          </w:p>
        </w:tc>
      </w:tr>
      <w:tr>
        <w:trPr>
          <w:cantSplit/>
        </w:trPr>
        <w:tc>
          <w:tcPr>
            <w:tcW w:type="dxa" w:w="226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6"/>
              </w:rPr>
              <w:t>Translator</w:t>
            </w:r>
          </w:p>
        </w:tc>
        <w:tc>
          <w:tcPr>
            <w:tcW w:type="dxa" w:w="3969"/>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6"/>
              </w:rPr>
              <w:t>Assigned language versions</w:t>
            </w:r>
          </w:p>
        </w:tc>
        <w:tc>
          <w:tcPr>
            <w:tcW w:type="dxa" w:w="2835"/>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6"/>
              </w:rPr>
              <w:t>Cannot publish without approval</w:t>
            </w:r>
          </w:p>
        </w:tc>
      </w:tr>
      <w:tr>
        <w:trPr>
          <w:cantSplit/>
        </w:trPr>
        <w:tc>
          <w:tcPr>
            <w:tcW w:type="dxa" w:w="226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6"/>
              </w:rPr>
              <w:t>Technical / Compliance Reviewer</w:t>
            </w:r>
          </w:p>
        </w:tc>
        <w:tc>
          <w:tcPr>
            <w:tcW w:type="dxa" w:w="3969"/>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6"/>
              </w:rPr>
              <w:t>Product claims, shelf life, ingredients, certificates</w:t>
            </w:r>
          </w:p>
        </w:tc>
        <w:tc>
          <w:tcPr>
            <w:tcW w:type="dxa" w:w="2835"/>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6"/>
              </w:rPr>
              <w:t>No infrastructure access</w:t>
            </w:r>
          </w:p>
        </w:tc>
      </w:tr>
      <w:tr>
        <w:trPr>
          <w:cantSplit/>
        </w:trPr>
        <w:tc>
          <w:tcPr>
            <w:tcW w:type="dxa" w:w="226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6"/>
              </w:rPr>
              <w:t>Media Manager</w:t>
            </w:r>
          </w:p>
        </w:tc>
        <w:tc>
          <w:tcPr>
            <w:tcW w:type="dxa" w:w="3969"/>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6"/>
              </w:rPr>
              <w:t>Images, videos and galleries</w:t>
            </w:r>
          </w:p>
        </w:tc>
        <w:tc>
          <w:tcPr>
            <w:tcW w:type="dxa" w:w="2835"/>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6"/>
              </w:rPr>
              <w:t>Cannot edit legal/product technical data</w:t>
            </w:r>
          </w:p>
        </w:tc>
      </w:tr>
      <w:tr>
        <w:trPr>
          <w:cantSplit/>
        </w:trPr>
        <w:tc>
          <w:tcPr>
            <w:tcW w:type="dxa" w:w="226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6"/>
              </w:rPr>
              <w:t>Contact Manager</w:t>
            </w:r>
          </w:p>
        </w:tc>
        <w:tc>
          <w:tcPr>
            <w:tcW w:type="dxa" w:w="3969"/>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6"/>
              </w:rPr>
              <w:t>View and respond to inquiries</w:t>
            </w:r>
          </w:p>
        </w:tc>
        <w:tc>
          <w:tcPr>
            <w:tcW w:type="dxa" w:w="2835"/>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6"/>
              </w:rPr>
              <w:t>No publishing rights</w:t>
            </w:r>
          </w:p>
        </w:tc>
      </w:tr>
    </w:tbl>
    <w:p>
      <w:pPr>
        <w:pStyle w:val="Heading2"/>
      </w:pPr>
      <w:r>
        <w:t>9.3 Publishing workflow</w:t>
      </w:r>
    </w:p>
    <w:tbl>
      <w:tblPr>
        <w:tblW w:type="auto" w:w="0"/>
        <w:jc w:val="center"/>
        <w:tblLayout w:type="fixed"/>
        <w:tblLook w:firstColumn="1" w:firstRow="1" w:lastColumn="0" w:lastRow="0" w:noHBand="0" w:noVBand="1" w:val="04A0"/>
      </w:tblPr>
      <w:tblGrid>
        <w:gridCol w:w="9524"/>
      </w:tblGrid>
      <w:tr>
        <w:trPr>
          <w:cantSplit/>
        </w:trPr>
        <w:tc>
          <w:tcPr>
            <w:tcW w:type="dxa" w:w="10256"/>
            <w:shd w:fill="FCE9D6"/>
            <w:tcBorders>
              <w:top w:val="single" w:sz="8" w:color="E88828"/>
              <w:left w:val="single" w:sz="8" w:color="E88828"/>
              <w:bottom w:val="single" w:sz="8" w:color="E88828"/>
              <w:right w:val="single" w:sz="8" w:color="E88828"/>
            </w:tcBorders>
            <w:tcMar>
              <w:top w:w="140" w:type="dxa"/>
              <w:start w:w="180" w:type="dxa"/>
              <w:bottom w:w="140" w:type="dxa"/>
              <w:end w:w="180" w:type="dxa"/>
            </w:tcMar>
          </w:tcPr>
          <w:p>
            <w:r>
              <w:rPr>
                <w:rFonts w:ascii="Aptos" w:hAnsi="Aptos" w:eastAsia="Aptos"/>
                <w:b/>
                <w:color w:val="E88828"/>
                <w:sz w:val="21"/>
              </w:rPr>
              <w:t>Required workflow</w:t>
            </w:r>
            <w:r>
              <w:rPr>
                <w:rFonts w:ascii="Aptos" w:hAnsi="Aptos" w:eastAsia="Aptos"/>
                <w:sz w:val="20"/>
              </w:rPr>
              <w:br/>
              <w:t>Draft → Technical Review → Language Review → Management Approval → Published</w:t>
            </w:r>
          </w:p>
        </w:tc>
      </w:tr>
    </w:tbl>
    <w:p>
      <w:pPr>
        <w:spacing w:after="0"/>
      </w:pPr>
    </w:p>
    <w:p>
      <w:pPr>
        <w:pStyle w:val="Heading1"/>
      </w:pPr>
      <w:r>
        <w:t>10. Functional Requirements</w:t>
      </w:r>
    </w:p>
    <w:tbl>
      <w:tblPr>
        <w:tblW w:type="auto" w:w="0"/>
        <w:jc w:val="center"/>
        <w:tblLayout w:type="fixed"/>
        <w:tblLook w:firstColumn="1" w:firstRow="1" w:lastColumn="0" w:lastRow="0" w:noHBand="0" w:noVBand="1" w:val="04A0"/>
      </w:tblPr>
      <w:tblGrid>
        <w:gridCol w:w="2564"/>
        <w:gridCol w:w="2564"/>
        <w:gridCol w:w="2564"/>
        <w:gridCol w:w="2564"/>
      </w:tblGrid>
      <w:tr>
        <w:trPr>
          <w:tblHeader w:val="true"/>
          <w:cantSplit/>
        </w:trPr>
        <w:tc>
          <w:tcPr>
            <w:tcW w:type="dxa" w:w="850"/>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264B5D"/>
          </w:tcPr>
          <w:p>
            <w:pPr>
              <w:spacing w:after="0" w:line="240" w:lineRule="auto"/>
              <w:jc w:val="center"/>
            </w:pPr>
            <w:r>
              <w:rPr>
                <w:rFonts w:ascii="Aptos" w:hAnsi="Aptos" w:eastAsia="Aptos"/>
                <w:b/>
                <w:color w:val="FFFFFF"/>
                <w:sz w:val="15"/>
              </w:rPr>
              <w:t>ID</w:t>
            </w:r>
          </w:p>
        </w:tc>
        <w:tc>
          <w:tcPr>
            <w:tcW w:type="dxa" w:w="4309"/>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264B5D"/>
          </w:tcPr>
          <w:p>
            <w:pPr>
              <w:spacing w:after="0" w:line="240" w:lineRule="auto"/>
              <w:jc w:val="center"/>
            </w:pPr>
            <w:r>
              <w:rPr>
                <w:rFonts w:ascii="Aptos" w:hAnsi="Aptos" w:eastAsia="Aptos"/>
                <w:b/>
                <w:color w:val="FFFFFF"/>
                <w:sz w:val="15"/>
              </w:rPr>
              <w:t>Requirement</w:t>
            </w:r>
          </w:p>
        </w:tc>
        <w:tc>
          <w:tcPr>
            <w:tcW w:type="dxa" w:w="1020"/>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264B5D"/>
          </w:tcPr>
          <w:p>
            <w:pPr>
              <w:spacing w:after="0" w:line="240" w:lineRule="auto"/>
              <w:jc w:val="center"/>
            </w:pPr>
            <w:r>
              <w:rPr>
                <w:rFonts w:ascii="Aptos" w:hAnsi="Aptos" w:eastAsia="Aptos"/>
                <w:b/>
                <w:color w:val="FFFFFF"/>
                <w:sz w:val="15"/>
              </w:rPr>
              <w:t>Priority</w:t>
            </w:r>
          </w:p>
        </w:tc>
        <w:tc>
          <w:tcPr>
            <w:tcW w:type="dxa" w:w="289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264B5D"/>
          </w:tcPr>
          <w:p>
            <w:pPr>
              <w:spacing w:after="0" w:line="240" w:lineRule="auto"/>
              <w:jc w:val="center"/>
            </w:pPr>
            <w:r>
              <w:rPr>
                <w:rFonts w:ascii="Aptos" w:hAnsi="Aptos" w:eastAsia="Aptos"/>
                <w:b/>
                <w:color w:val="FFFFFF"/>
                <w:sz w:val="15"/>
              </w:rPr>
              <w:t>Acceptance evidence</w:t>
            </w:r>
          </w:p>
        </w:tc>
      </w:tr>
      <w:tr>
        <w:trPr>
          <w:cantSplit/>
        </w:trPr>
        <w:tc>
          <w:tcPr>
            <w:tcW w:type="dxa" w:w="850"/>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5"/>
              </w:rPr>
              <w:t>FR-001</w:t>
            </w:r>
          </w:p>
        </w:tc>
        <w:tc>
          <w:tcPr>
            <w:tcW w:type="dxa" w:w="4309"/>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5"/>
              </w:rPr>
              <w:t>The site shall provide Tajik, Russian and English versions.</w:t>
            </w:r>
          </w:p>
        </w:tc>
        <w:tc>
          <w:tcPr>
            <w:tcW w:type="dxa" w:w="1020"/>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5"/>
              </w:rPr>
              <w:t>Must</w:t>
            </w:r>
          </w:p>
        </w:tc>
        <w:tc>
          <w:tcPr>
            <w:tcW w:type="dxa" w:w="289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5"/>
              </w:rPr>
              <w:t>Equivalent pages can be opened in all three languages.</w:t>
            </w:r>
          </w:p>
        </w:tc>
      </w:tr>
      <w:tr>
        <w:trPr>
          <w:cantSplit/>
        </w:trPr>
        <w:tc>
          <w:tcPr>
            <w:tcW w:type="dxa" w:w="850"/>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5"/>
              </w:rPr>
              <w:t>FR-002</w:t>
            </w:r>
          </w:p>
        </w:tc>
        <w:tc>
          <w:tcPr>
            <w:tcW w:type="dxa" w:w="4309"/>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5"/>
              </w:rPr>
              <w:t>The CMS shall support separate translation status and review dates.</w:t>
            </w:r>
          </w:p>
        </w:tc>
        <w:tc>
          <w:tcPr>
            <w:tcW w:type="dxa" w:w="1020"/>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5"/>
              </w:rPr>
              <w:t>Must</w:t>
            </w:r>
          </w:p>
        </w:tc>
        <w:tc>
          <w:tcPr>
            <w:tcW w:type="dxa" w:w="289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5"/>
              </w:rPr>
              <w:t>Editors can manage each language independently.</w:t>
            </w:r>
          </w:p>
        </w:tc>
      </w:tr>
      <w:tr>
        <w:trPr>
          <w:cantSplit/>
        </w:trPr>
        <w:tc>
          <w:tcPr>
            <w:tcW w:type="dxa" w:w="850"/>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5"/>
              </w:rPr>
              <w:t>FR-003</w:t>
            </w:r>
          </w:p>
        </w:tc>
        <w:tc>
          <w:tcPr>
            <w:tcW w:type="dxa" w:w="4309"/>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5"/>
              </w:rPr>
              <w:t>The product catalogue shall support categories and filters.</w:t>
            </w:r>
          </w:p>
        </w:tc>
        <w:tc>
          <w:tcPr>
            <w:tcW w:type="dxa" w:w="1020"/>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5"/>
              </w:rPr>
              <w:t>Must</w:t>
            </w:r>
          </w:p>
        </w:tc>
        <w:tc>
          <w:tcPr>
            <w:tcW w:type="dxa" w:w="289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5"/>
              </w:rPr>
              <w:t>Users can display product groups without reloading the full site.</w:t>
            </w:r>
          </w:p>
        </w:tc>
      </w:tr>
      <w:tr>
        <w:trPr>
          <w:cantSplit/>
        </w:trPr>
        <w:tc>
          <w:tcPr>
            <w:tcW w:type="dxa" w:w="850"/>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5"/>
              </w:rPr>
              <w:t>FR-004</w:t>
            </w:r>
          </w:p>
        </w:tc>
        <w:tc>
          <w:tcPr>
            <w:tcW w:type="dxa" w:w="4309"/>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5"/>
              </w:rPr>
              <w:t>Each product shall have a structured detail page.</w:t>
            </w:r>
          </w:p>
        </w:tc>
        <w:tc>
          <w:tcPr>
            <w:tcW w:type="dxa" w:w="1020"/>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5"/>
              </w:rPr>
              <w:t>Must</w:t>
            </w:r>
          </w:p>
        </w:tc>
        <w:tc>
          <w:tcPr>
            <w:tcW w:type="dxa" w:w="289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5"/>
              </w:rPr>
              <w:t>Required fields are rendered from CMS data.</w:t>
            </w:r>
          </w:p>
        </w:tc>
      </w:tr>
      <w:tr>
        <w:trPr>
          <w:cantSplit/>
        </w:trPr>
        <w:tc>
          <w:tcPr>
            <w:tcW w:type="dxa" w:w="850"/>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5"/>
              </w:rPr>
              <w:t>FR-005</w:t>
            </w:r>
          </w:p>
        </w:tc>
        <w:tc>
          <w:tcPr>
            <w:tcW w:type="dxa" w:w="4309"/>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5"/>
              </w:rPr>
              <w:t>The site shall include a President page sourced from official resources.</w:t>
            </w:r>
          </w:p>
        </w:tc>
        <w:tc>
          <w:tcPr>
            <w:tcW w:type="dxa" w:w="1020"/>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5"/>
              </w:rPr>
              <w:t>Must</w:t>
            </w:r>
          </w:p>
        </w:tc>
        <w:tc>
          <w:tcPr>
            <w:tcW w:type="dxa" w:w="289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5"/>
              </w:rPr>
              <w:t>Page contains source note and official external link.</w:t>
            </w:r>
          </w:p>
        </w:tc>
      </w:tr>
      <w:tr>
        <w:trPr>
          <w:cantSplit/>
        </w:trPr>
        <w:tc>
          <w:tcPr>
            <w:tcW w:type="dxa" w:w="850"/>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5"/>
              </w:rPr>
              <w:t>FR-006</w:t>
            </w:r>
          </w:p>
        </w:tc>
        <w:tc>
          <w:tcPr>
            <w:tcW w:type="dxa" w:w="4309"/>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5"/>
              </w:rPr>
              <w:t>Contact and distributor forms shall send notifications and save submissions.</w:t>
            </w:r>
          </w:p>
        </w:tc>
        <w:tc>
          <w:tcPr>
            <w:tcW w:type="dxa" w:w="1020"/>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5"/>
              </w:rPr>
              <w:t>Must</w:t>
            </w:r>
          </w:p>
        </w:tc>
        <w:tc>
          <w:tcPr>
            <w:tcW w:type="dxa" w:w="289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5"/>
              </w:rPr>
              <w:t>Submission appears in CMS and email notification is received.</w:t>
            </w:r>
          </w:p>
        </w:tc>
      </w:tr>
      <w:tr>
        <w:trPr>
          <w:cantSplit/>
        </w:trPr>
        <w:tc>
          <w:tcPr>
            <w:tcW w:type="dxa" w:w="850"/>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5"/>
              </w:rPr>
              <w:t>FR-007</w:t>
            </w:r>
          </w:p>
        </w:tc>
        <w:tc>
          <w:tcPr>
            <w:tcW w:type="dxa" w:w="4309"/>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5"/>
              </w:rPr>
              <w:t>Forms shall implement validation, consent and anti-spam protection.</w:t>
            </w:r>
          </w:p>
        </w:tc>
        <w:tc>
          <w:tcPr>
            <w:tcW w:type="dxa" w:w="1020"/>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5"/>
              </w:rPr>
              <w:t>Must</w:t>
            </w:r>
          </w:p>
        </w:tc>
        <w:tc>
          <w:tcPr>
            <w:tcW w:type="dxa" w:w="289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5"/>
              </w:rPr>
              <w:t>Invalid/spam submissions are rejected appropriately.</w:t>
            </w:r>
          </w:p>
        </w:tc>
      </w:tr>
      <w:tr>
        <w:trPr>
          <w:cantSplit/>
        </w:trPr>
        <w:tc>
          <w:tcPr>
            <w:tcW w:type="dxa" w:w="850"/>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5"/>
              </w:rPr>
              <w:t>FR-008</w:t>
            </w:r>
          </w:p>
        </w:tc>
        <w:tc>
          <w:tcPr>
            <w:tcW w:type="dxa" w:w="4309"/>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5"/>
              </w:rPr>
              <w:t>Downloads shall display language, file type, version, date and size.</w:t>
            </w:r>
          </w:p>
        </w:tc>
        <w:tc>
          <w:tcPr>
            <w:tcW w:type="dxa" w:w="1020"/>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5"/>
              </w:rPr>
              <w:t>Should</w:t>
            </w:r>
          </w:p>
        </w:tc>
        <w:tc>
          <w:tcPr>
            <w:tcW w:type="dxa" w:w="289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5"/>
              </w:rPr>
              <w:t>Document list shows the required metadata.</w:t>
            </w:r>
          </w:p>
        </w:tc>
      </w:tr>
      <w:tr>
        <w:trPr>
          <w:cantSplit/>
        </w:trPr>
        <w:tc>
          <w:tcPr>
            <w:tcW w:type="dxa" w:w="850"/>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5"/>
              </w:rPr>
              <w:t>FR-009</w:t>
            </w:r>
          </w:p>
        </w:tc>
        <w:tc>
          <w:tcPr>
            <w:tcW w:type="dxa" w:w="4309"/>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5"/>
              </w:rPr>
              <w:t>News posts shall support galleries, video and attachments.</w:t>
            </w:r>
          </w:p>
        </w:tc>
        <w:tc>
          <w:tcPr>
            <w:tcW w:type="dxa" w:w="1020"/>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5"/>
              </w:rPr>
              <w:t>Should</w:t>
            </w:r>
          </w:p>
        </w:tc>
        <w:tc>
          <w:tcPr>
            <w:tcW w:type="dxa" w:w="289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5"/>
              </w:rPr>
              <w:t>Content manager publishes a test multimedia article.</w:t>
            </w:r>
          </w:p>
        </w:tc>
      </w:tr>
      <w:tr>
        <w:trPr>
          <w:cantSplit/>
        </w:trPr>
        <w:tc>
          <w:tcPr>
            <w:tcW w:type="dxa" w:w="850"/>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5"/>
              </w:rPr>
              <w:t>FR-010</w:t>
            </w:r>
          </w:p>
        </w:tc>
        <w:tc>
          <w:tcPr>
            <w:tcW w:type="dxa" w:w="4309"/>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5"/>
              </w:rPr>
              <w:t>The CMS shall provide role-based access and audit history.</w:t>
            </w:r>
          </w:p>
        </w:tc>
        <w:tc>
          <w:tcPr>
            <w:tcW w:type="dxa" w:w="1020"/>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5"/>
              </w:rPr>
              <w:t>Must</w:t>
            </w:r>
          </w:p>
        </w:tc>
        <w:tc>
          <w:tcPr>
            <w:tcW w:type="dxa" w:w="289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5"/>
              </w:rPr>
              <w:t>User permissions and change logs are demonstrated.</w:t>
            </w:r>
          </w:p>
        </w:tc>
      </w:tr>
      <w:tr>
        <w:trPr>
          <w:cantSplit/>
        </w:trPr>
        <w:tc>
          <w:tcPr>
            <w:tcW w:type="dxa" w:w="850"/>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5"/>
              </w:rPr>
              <w:t>FR-011</w:t>
            </w:r>
          </w:p>
        </w:tc>
        <w:tc>
          <w:tcPr>
            <w:tcW w:type="dxa" w:w="4309"/>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5"/>
              </w:rPr>
              <w:t>The site shall provide site search.</w:t>
            </w:r>
          </w:p>
        </w:tc>
        <w:tc>
          <w:tcPr>
            <w:tcW w:type="dxa" w:w="1020"/>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5"/>
              </w:rPr>
              <w:t>Should</w:t>
            </w:r>
          </w:p>
        </w:tc>
        <w:tc>
          <w:tcPr>
            <w:tcW w:type="dxa" w:w="289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5"/>
              </w:rPr>
              <w:t>Search returns pages, products, news and downloads.</w:t>
            </w:r>
          </w:p>
        </w:tc>
      </w:tr>
      <w:tr>
        <w:trPr>
          <w:cantSplit/>
        </w:trPr>
        <w:tc>
          <w:tcPr>
            <w:tcW w:type="dxa" w:w="850"/>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5"/>
              </w:rPr>
              <w:t>FR-012</w:t>
            </w:r>
          </w:p>
        </w:tc>
        <w:tc>
          <w:tcPr>
            <w:tcW w:type="dxa" w:w="4309"/>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5"/>
              </w:rPr>
              <w:t>Telephone, email, WhatsApp and map links shall be trackable events.</w:t>
            </w:r>
          </w:p>
        </w:tc>
        <w:tc>
          <w:tcPr>
            <w:tcW w:type="dxa" w:w="1020"/>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5"/>
              </w:rPr>
              <w:t>Should</w:t>
            </w:r>
          </w:p>
        </w:tc>
        <w:tc>
          <w:tcPr>
            <w:tcW w:type="dxa" w:w="289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5"/>
              </w:rPr>
              <w:t>Analytics test confirms event capture.</w:t>
            </w:r>
          </w:p>
        </w:tc>
      </w:tr>
    </w:tbl>
    <w:p>
      <w:pPr>
        <w:pStyle w:val="Heading1"/>
      </w:pPr>
      <w:r>
        <w:t>11. Non-Functional Requirements</w:t>
      </w:r>
    </w:p>
    <w:tbl>
      <w:tblPr>
        <w:tblW w:type="auto" w:w="0"/>
        <w:jc w:val="center"/>
        <w:tblLayout w:type="fixed"/>
        <w:tblLook w:firstColumn="1" w:firstRow="1" w:lastColumn="0" w:lastRow="0" w:noHBand="0" w:noVBand="1" w:val="04A0"/>
      </w:tblPr>
      <w:tblGrid>
        <w:gridCol w:w="2564"/>
        <w:gridCol w:w="2564"/>
        <w:gridCol w:w="2564"/>
        <w:gridCol w:w="2564"/>
      </w:tblGrid>
      <w:tr>
        <w:trPr>
          <w:tblHeader w:val="true"/>
          <w:cantSplit/>
        </w:trPr>
        <w:tc>
          <w:tcPr>
            <w:tcW w:type="dxa" w:w="850"/>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264B5D"/>
          </w:tcPr>
          <w:p>
            <w:pPr>
              <w:spacing w:after="0" w:line="240" w:lineRule="auto"/>
              <w:jc w:val="center"/>
            </w:pPr>
            <w:r>
              <w:rPr>
                <w:rFonts w:ascii="Aptos" w:hAnsi="Aptos" w:eastAsia="Aptos"/>
                <w:b/>
                <w:color w:val="FFFFFF"/>
                <w:sz w:val="15"/>
              </w:rPr>
              <w:t>ID</w:t>
            </w:r>
          </w:p>
        </w:tc>
        <w:tc>
          <w:tcPr>
            <w:tcW w:type="dxa" w:w="1417"/>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264B5D"/>
          </w:tcPr>
          <w:p>
            <w:pPr>
              <w:spacing w:after="0" w:line="240" w:lineRule="auto"/>
              <w:jc w:val="center"/>
            </w:pPr>
            <w:r>
              <w:rPr>
                <w:rFonts w:ascii="Aptos" w:hAnsi="Aptos" w:eastAsia="Aptos"/>
                <w:b/>
                <w:color w:val="FFFFFF"/>
                <w:sz w:val="15"/>
              </w:rPr>
              <w:t>Area</w:t>
            </w:r>
          </w:p>
        </w:tc>
        <w:tc>
          <w:tcPr>
            <w:tcW w:type="dxa" w:w="4195"/>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264B5D"/>
          </w:tcPr>
          <w:p>
            <w:pPr>
              <w:spacing w:after="0" w:line="240" w:lineRule="auto"/>
              <w:jc w:val="center"/>
            </w:pPr>
            <w:r>
              <w:rPr>
                <w:rFonts w:ascii="Aptos" w:hAnsi="Aptos" w:eastAsia="Aptos"/>
                <w:b/>
                <w:color w:val="FFFFFF"/>
                <w:sz w:val="15"/>
              </w:rPr>
              <w:t>Requirement</w:t>
            </w:r>
          </w:p>
        </w:tc>
        <w:tc>
          <w:tcPr>
            <w:tcW w:type="dxa" w:w="260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264B5D"/>
          </w:tcPr>
          <w:p>
            <w:pPr>
              <w:spacing w:after="0" w:line="240" w:lineRule="auto"/>
              <w:jc w:val="center"/>
            </w:pPr>
            <w:r>
              <w:rPr>
                <w:rFonts w:ascii="Aptos" w:hAnsi="Aptos" w:eastAsia="Aptos"/>
                <w:b/>
                <w:color w:val="FFFFFF"/>
                <w:sz w:val="15"/>
              </w:rPr>
              <w:t>Target</w:t>
            </w:r>
          </w:p>
        </w:tc>
      </w:tr>
      <w:tr>
        <w:trPr>
          <w:cantSplit/>
        </w:trPr>
        <w:tc>
          <w:tcPr>
            <w:tcW w:type="dxa" w:w="850"/>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5"/>
              </w:rPr>
              <w:t>NFR-001</w:t>
            </w:r>
          </w:p>
        </w:tc>
        <w:tc>
          <w:tcPr>
            <w:tcW w:type="dxa" w:w="1417"/>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5"/>
              </w:rPr>
              <w:t>Responsive design</w:t>
            </w:r>
          </w:p>
        </w:tc>
        <w:tc>
          <w:tcPr>
            <w:tcW w:type="dxa" w:w="4195"/>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5"/>
              </w:rPr>
              <w:t>All public pages shall work at common mobile, tablet and desktop widths.</w:t>
            </w:r>
          </w:p>
        </w:tc>
        <w:tc>
          <w:tcPr>
            <w:tcW w:type="dxa" w:w="260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5"/>
              </w:rPr>
              <w:t>No horizontal scrolling; no clipped content</w:t>
            </w:r>
          </w:p>
        </w:tc>
      </w:tr>
      <w:tr>
        <w:trPr>
          <w:cantSplit/>
        </w:trPr>
        <w:tc>
          <w:tcPr>
            <w:tcW w:type="dxa" w:w="850"/>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5"/>
              </w:rPr>
              <w:t>NFR-002</w:t>
            </w:r>
          </w:p>
        </w:tc>
        <w:tc>
          <w:tcPr>
            <w:tcW w:type="dxa" w:w="1417"/>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5"/>
              </w:rPr>
              <w:t>Browser support</w:t>
            </w:r>
          </w:p>
        </w:tc>
        <w:tc>
          <w:tcPr>
            <w:tcW w:type="dxa" w:w="4195"/>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5"/>
              </w:rPr>
              <w:t>Current major versions of Chrome, Edge, Firefox and Safari.</w:t>
            </w:r>
          </w:p>
        </w:tc>
        <w:tc>
          <w:tcPr>
            <w:tcW w:type="dxa" w:w="260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5"/>
              </w:rPr>
              <w:t>Functional parity for public features</w:t>
            </w:r>
          </w:p>
        </w:tc>
      </w:tr>
      <w:tr>
        <w:trPr>
          <w:cantSplit/>
        </w:trPr>
        <w:tc>
          <w:tcPr>
            <w:tcW w:type="dxa" w:w="850"/>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5"/>
              </w:rPr>
              <w:t>NFR-003</w:t>
            </w:r>
          </w:p>
        </w:tc>
        <w:tc>
          <w:tcPr>
            <w:tcW w:type="dxa" w:w="1417"/>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5"/>
              </w:rPr>
              <w:t>Availability</w:t>
            </w:r>
          </w:p>
        </w:tc>
        <w:tc>
          <w:tcPr>
            <w:tcW w:type="dxa" w:w="4195"/>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5"/>
              </w:rPr>
              <w:t>Production site shall use monitored hosting and automated recovery procedures.</w:t>
            </w:r>
          </w:p>
        </w:tc>
        <w:tc>
          <w:tcPr>
            <w:tcW w:type="dxa" w:w="260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5"/>
              </w:rPr>
              <w:t>Target 99.5% monthly availability excluding approved maintenance</w:t>
            </w:r>
          </w:p>
        </w:tc>
      </w:tr>
      <w:tr>
        <w:trPr>
          <w:cantSplit/>
        </w:trPr>
        <w:tc>
          <w:tcPr>
            <w:tcW w:type="dxa" w:w="850"/>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5"/>
              </w:rPr>
              <w:t>NFR-004</w:t>
            </w:r>
          </w:p>
        </w:tc>
        <w:tc>
          <w:tcPr>
            <w:tcW w:type="dxa" w:w="1417"/>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5"/>
              </w:rPr>
              <w:t>Backups</w:t>
            </w:r>
          </w:p>
        </w:tc>
        <w:tc>
          <w:tcPr>
            <w:tcW w:type="dxa" w:w="4195"/>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5"/>
              </w:rPr>
              <w:t>Automated database and media backups with tested restoration.</w:t>
            </w:r>
          </w:p>
        </w:tc>
        <w:tc>
          <w:tcPr>
            <w:tcW w:type="dxa" w:w="260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5"/>
              </w:rPr>
              <w:t>Daily backups; documented restore test</w:t>
            </w:r>
          </w:p>
        </w:tc>
      </w:tr>
      <w:tr>
        <w:trPr>
          <w:cantSplit/>
        </w:trPr>
        <w:tc>
          <w:tcPr>
            <w:tcW w:type="dxa" w:w="850"/>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5"/>
              </w:rPr>
              <w:t>NFR-005</w:t>
            </w:r>
          </w:p>
        </w:tc>
        <w:tc>
          <w:tcPr>
            <w:tcW w:type="dxa" w:w="1417"/>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5"/>
              </w:rPr>
              <w:t>Maintainability</w:t>
            </w:r>
          </w:p>
        </w:tc>
        <w:tc>
          <w:tcPr>
            <w:tcW w:type="dxa" w:w="4195"/>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5"/>
              </w:rPr>
              <w:t>Content updates shall not require code changes.</w:t>
            </w:r>
          </w:p>
        </w:tc>
        <w:tc>
          <w:tcPr>
            <w:tcW w:type="dxa" w:w="260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5"/>
              </w:rPr>
              <w:t>Editors can manage pages/products in CMS</w:t>
            </w:r>
          </w:p>
        </w:tc>
      </w:tr>
      <w:tr>
        <w:trPr>
          <w:cantSplit/>
        </w:trPr>
        <w:tc>
          <w:tcPr>
            <w:tcW w:type="dxa" w:w="850"/>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5"/>
              </w:rPr>
              <w:t>NFR-006</w:t>
            </w:r>
          </w:p>
        </w:tc>
        <w:tc>
          <w:tcPr>
            <w:tcW w:type="dxa" w:w="1417"/>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5"/>
              </w:rPr>
              <w:t>Scalability</w:t>
            </w:r>
          </w:p>
        </w:tc>
        <w:tc>
          <w:tcPr>
            <w:tcW w:type="dxa" w:w="4195"/>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5"/>
              </w:rPr>
              <w:t>Architecture shall support new products, languages and pages.</w:t>
            </w:r>
          </w:p>
        </w:tc>
        <w:tc>
          <w:tcPr>
            <w:tcW w:type="dxa" w:w="260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5"/>
              </w:rPr>
              <w:t>No redesign required for normal catalogue growth</w:t>
            </w:r>
          </w:p>
        </w:tc>
      </w:tr>
      <w:tr>
        <w:trPr>
          <w:cantSplit/>
        </w:trPr>
        <w:tc>
          <w:tcPr>
            <w:tcW w:type="dxa" w:w="850"/>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5"/>
              </w:rPr>
              <w:t>NFR-007</w:t>
            </w:r>
          </w:p>
        </w:tc>
        <w:tc>
          <w:tcPr>
            <w:tcW w:type="dxa" w:w="1417"/>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5"/>
              </w:rPr>
              <w:t>Observability</w:t>
            </w:r>
          </w:p>
        </w:tc>
        <w:tc>
          <w:tcPr>
            <w:tcW w:type="dxa" w:w="4195"/>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5"/>
              </w:rPr>
              <w:t>Errors, uptime and failed form deliveries shall be monitored.</w:t>
            </w:r>
          </w:p>
        </w:tc>
        <w:tc>
          <w:tcPr>
            <w:tcW w:type="dxa" w:w="260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5"/>
              </w:rPr>
              <w:t>Alerts to designated administrators</w:t>
            </w:r>
          </w:p>
        </w:tc>
      </w:tr>
      <w:tr>
        <w:trPr>
          <w:cantSplit/>
        </w:trPr>
        <w:tc>
          <w:tcPr>
            <w:tcW w:type="dxa" w:w="850"/>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5"/>
              </w:rPr>
              <w:t>NFR-008</w:t>
            </w:r>
          </w:p>
        </w:tc>
        <w:tc>
          <w:tcPr>
            <w:tcW w:type="dxa" w:w="1417"/>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5"/>
              </w:rPr>
              <w:t>Ownership</w:t>
            </w:r>
          </w:p>
        </w:tc>
        <w:tc>
          <w:tcPr>
            <w:tcW w:type="dxa" w:w="4195"/>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5"/>
              </w:rPr>
              <w:t>QOIM shall receive source code, credentials and documentation.</w:t>
            </w:r>
          </w:p>
        </w:tc>
        <w:tc>
          <w:tcPr>
            <w:tcW w:type="dxa" w:w="260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5"/>
              </w:rPr>
              <w:t>Handover checklist signed</w:t>
            </w:r>
          </w:p>
        </w:tc>
      </w:tr>
    </w:tbl>
    <w:p>
      <w:pPr>
        <w:pStyle w:val="Heading1"/>
      </w:pPr>
      <w:r>
        <w:t>12. SEO and Structured Data</w:t>
      </w:r>
    </w:p>
    <w:p>
      <w:pPr>
        <w:pStyle w:val="ListBullet"/>
        <w:spacing w:after="40" w:line="252" w:lineRule="auto"/>
      </w:pPr>
      <w:r>
        <w:rPr>
          <w:rFonts w:ascii="Aptos" w:hAnsi="Aptos" w:eastAsia="Aptos"/>
          <w:sz w:val="21"/>
        </w:rPr>
        <w:t>Unique title and description for every indexable page.</w:t>
      </w:r>
    </w:p>
    <w:p>
      <w:pPr>
        <w:pStyle w:val="ListBullet"/>
        <w:spacing w:after="40" w:line="252" w:lineRule="auto"/>
      </w:pPr>
      <w:r>
        <w:rPr>
          <w:rFonts w:ascii="Aptos" w:hAnsi="Aptos" w:eastAsia="Aptos"/>
          <w:sz w:val="21"/>
        </w:rPr>
        <w:t>Readable multilingual URLs and canonical URLs.</w:t>
      </w:r>
    </w:p>
    <w:p>
      <w:pPr>
        <w:pStyle w:val="ListBullet"/>
        <w:spacing w:after="40" w:line="252" w:lineRule="auto"/>
      </w:pPr>
      <w:r>
        <w:rPr>
          <w:rFonts w:ascii="Aptos" w:hAnsi="Aptos" w:eastAsia="Aptos"/>
          <w:sz w:val="21"/>
        </w:rPr>
        <w:t>XML sitemap and robots.txt.</w:t>
      </w:r>
    </w:p>
    <w:p>
      <w:pPr>
        <w:pStyle w:val="ListBullet"/>
        <w:spacing w:after="40" w:line="252" w:lineRule="auto"/>
      </w:pPr>
      <w:r>
        <w:rPr>
          <w:rFonts w:ascii="Aptos" w:hAnsi="Aptos" w:eastAsia="Aptos"/>
          <w:sz w:val="21"/>
        </w:rPr>
        <w:t>hreflang links between equivalent language pages.</w:t>
      </w:r>
    </w:p>
    <w:p>
      <w:pPr>
        <w:pStyle w:val="ListBullet"/>
        <w:spacing w:after="40" w:line="252" w:lineRule="auto"/>
      </w:pPr>
      <w:r>
        <w:rPr>
          <w:rFonts w:ascii="Aptos" w:hAnsi="Aptos" w:eastAsia="Aptos"/>
          <w:sz w:val="21"/>
        </w:rPr>
        <w:t>Open Graph and social sharing metadata.</w:t>
      </w:r>
    </w:p>
    <w:p>
      <w:pPr>
        <w:pStyle w:val="ListBullet"/>
        <w:spacing w:after="40" w:line="252" w:lineRule="auto"/>
      </w:pPr>
      <w:r>
        <w:rPr>
          <w:rFonts w:ascii="Aptos" w:hAnsi="Aptos" w:eastAsia="Aptos"/>
          <w:sz w:val="21"/>
        </w:rPr>
        <w:t>Breadcrumb navigation.</w:t>
      </w:r>
    </w:p>
    <w:p>
      <w:pPr>
        <w:pStyle w:val="ListBullet"/>
        <w:spacing w:after="40" w:line="252" w:lineRule="auto"/>
      </w:pPr>
      <w:r>
        <w:rPr>
          <w:rFonts w:ascii="Aptos" w:hAnsi="Aptos" w:eastAsia="Aptos"/>
          <w:sz w:val="21"/>
        </w:rPr>
        <w:t>301 redirects when a URL changes.</w:t>
      </w:r>
    </w:p>
    <w:p>
      <w:pPr>
        <w:pStyle w:val="ListBullet"/>
        <w:spacing w:after="40" w:line="252" w:lineRule="auto"/>
      </w:pPr>
      <w:r>
        <w:rPr>
          <w:rFonts w:ascii="Aptos" w:hAnsi="Aptos" w:eastAsia="Aptos"/>
          <w:sz w:val="21"/>
        </w:rPr>
        <w:t>Alt text and descriptive filenames for images.</w:t>
      </w:r>
    </w:p>
    <w:p>
      <w:pPr>
        <w:pStyle w:val="ListBullet"/>
        <w:spacing w:after="40" w:line="252" w:lineRule="auto"/>
      </w:pPr>
      <w:r>
        <w:rPr>
          <w:rFonts w:ascii="Aptos" w:hAnsi="Aptos" w:eastAsia="Aptos"/>
          <w:sz w:val="21"/>
        </w:rPr>
        <w:t>Structured data using Organization for QOIM, Brand for Samari Kuhsor, Product for products, BreadcrumbList for navigation and Article for news. Schema.org defines these standard types and properties. [5]</w:t>
      </w:r>
    </w:p>
    <w:p>
      <w:pPr>
        <w:pStyle w:val="Heading1"/>
      </w:pPr>
      <w:r>
        <w:t>13. Performance, Accessibility and Security</w:t>
      </w:r>
    </w:p>
    <w:p>
      <w:pPr>
        <w:pStyle w:val="Heading2"/>
      </w:pPr>
      <w:r>
        <w:t>13.1 Performance</w:t>
      </w:r>
    </w:p>
    <w:p>
      <w:pPr>
        <w:spacing w:after="80" w:line="252" w:lineRule="auto"/>
      </w:pPr>
      <w:r>
        <w:rPr>
          <w:rFonts w:ascii="Aptos" w:hAnsi="Aptos" w:eastAsia="Aptos"/>
          <w:i w:val="0"/>
          <w:sz w:val="21"/>
        </w:rPr>
        <w:t>The development team shall target the “good” Core Web Vitals thresholds: Largest Contentful Paint no more than 2.5 seconds, Interaction to Next Paint no more than 200 milliseconds and Cumulative Layout Shift no more than 0.1, measured at the 75th percentile where field data is available. [3]</w:t>
      </w:r>
    </w:p>
    <w:p>
      <w:pPr>
        <w:pStyle w:val="ListBullet"/>
        <w:spacing w:after="40" w:line="252" w:lineRule="auto"/>
      </w:pPr>
      <w:r>
        <w:rPr>
          <w:rFonts w:ascii="Aptos" w:hAnsi="Aptos" w:eastAsia="Aptos"/>
          <w:sz w:val="21"/>
        </w:rPr>
        <w:t>Responsive images and modern formats.</w:t>
      </w:r>
    </w:p>
    <w:p>
      <w:pPr>
        <w:pStyle w:val="ListBullet"/>
        <w:spacing w:after="40" w:line="252" w:lineRule="auto"/>
      </w:pPr>
      <w:r>
        <w:rPr>
          <w:rFonts w:ascii="Aptos" w:hAnsi="Aptos" w:eastAsia="Aptos"/>
          <w:sz w:val="21"/>
        </w:rPr>
        <w:t>Lazy loading below the first screen.</w:t>
      </w:r>
    </w:p>
    <w:p>
      <w:pPr>
        <w:pStyle w:val="ListBullet"/>
        <w:spacing w:after="40" w:line="252" w:lineRule="auto"/>
      </w:pPr>
      <w:r>
        <w:rPr>
          <w:rFonts w:ascii="Aptos" w:hAnsi="Aptos" w:eastAsia="Aptos"/>
          <w:sz w:val="21"/>
        </w:rPr>
        <w:t>No autoplay video with sound.</w:t>
      </w:r>
    </w:p>
    <w:p>
      <w:pPr>
        <w:pStyle w:val="ListBullet"/>
        <w:spacing w:after="40" w:line="252" w:lineRule="auto"/>
      </w:pPr>
      <w:r>
        <w:rPr>
          <w:rFonts w:ascii="Aptos" w:hAnsi="Aptos" w:eastAsia="Aptos"/>
          <w:sz w:val="21"/>
        </w:rPr>
        <w:t>Caching, compressed assets and minimal third-party scripts.</w:t>
      </w:r>
    </w:p>
    <w:p>
      <w:pPr>
        <w:pStyle w:val="ListBullet"/>
        <w:spacing w:after="40" w:line="252" w:lineRule="auto"/>
      </w:pPr>
      <w:r>
        <w:rPr>
          <w:rFonts w:ascii="Aptos" w:hAnsi="Aptos" w:eastAsia="Aptos"/>
          <w:sz w:val="21"/>
        </w:rPr>
        <w:t>Server-side rendering or static generation for public content.</w:t>
      </w:r>
    </w:p>
    <w:p>
      <w:pPr>
        <w:pStyle w:val="ListBullet"/>
        <w:spacing w:after="40" w:line="252" w:lineRule="auto"/>
      </w:pPr>
      <w:r>
        <w:rPr>
          <w:rFonts w:ascii="Aptos" w:hAnsi="Aptos" w:eastAsia="Aptos"/>
          <w:sz w:val="21"/>
        </w:rPr>
        <w:t>Initial homepage transfer target of approximately 2 MB or less, subject to design approval.</w:t>
      </w:r>
    </w:p>
    <w:p>
      <w:pPr>
        <w:pStyle w:val="Heading2"/>
      </w:pPr>
      <w:r>
        <w:t>13.2 Accessibility</w:t>
      </w:r>
    </w:p>
    <w:p>
      <w:pPr>
        <w:spacing w:after="80" w:line="252" w:lineRule="auto"/>
      </w:pPr>
      <w:r>
        <w:rPr>
          <w:rFonts w:ascii="Aptos" w:hAnsi="Aptos" w:eastAsia="Aptos"/>
          <w:i w:val="0"/>
          <w:sz w:val="21"/>
        </w:rPr>
        <w:t>Target WCAG 2.2 Level AA. WCAG 2.2 is the current W3C Recommendation used in this specification. [2]</w:t>
      </w:r>
    </w:p>
    <w:p>
      <w:pPr>
        <w:pStyle w:val="ListBullet"/>
        <w:spacing w:after="40" w:line="252" w:lineRule="auto"/>
      </w:pPr>
      <w:r>
        <w:rPr>
          <w:rFonts w:ascii="Aptos" w:hAnsi="Aptos" w:eastAsia="Aptos"/>
          <w:sz w:val="21"/>
        </w:rPr>
        <w:t>Keyboard-accessible navigation and visible focus.</w:t>
      </w:r>
    </w:p>
    <w:p>
      <w:pPr>
        <w:pStyle w:val="ListBullet"/>
        <w:spacing w:after="40" w:line="252" w:lineRule="auto"/>
      </w:pPr>
      <w:r>
        <w:rPr>
          <w:rFonts w:ascii="Aptos" w:hAnsi="Aptos" w:eastAsia="Aptos"/>
          <w:sz w:val="21"/>
        </w:rPr>
        <w:t>Sufficient colour contrast.</w:t>
      </w:r>
    </w:p>
    <w:p>
      <w:pPr>
        <w:pStyle w:val="ListBullet"/>
        <w:spacing w:after="40" w:line="252" w:lineRule="auto"/>
      </w:pPr>
      <w:r>
        <w:rPr>
          <w:rFonts w:ascii="Aptos" w:hAnsi="Aptos" w:eastAsia="Aptos"/>
          <w:sz w:val="21"/>
        </w:rPr>
        <w:t>Text alternatives for meaningful images.</w:t>
      </w:r>
    </w:p>
    <w:p>
      <w:pPr>
        <w:pStyle w:val="ListBullet"/>
        <w:spacing w:after="40" w:line="252" w:lineRule="auto"/>
      </w:pPr>
      <w:r>
        <w:rPr>
          <w:rFonts w:ascii="Aptos" w:hAnsi="Aptos" w:eastAsia="Aptos"/>
          <w:sz w:val="21"/>
        </w:rPr>
        <w:t>Labels and clear errors for every form field.</w:t>
      </w:r>
    </w:p>
    <w:p>
      <w:pPr>
        <w:pStyle w:val="ListBullet"/>
        <w:spacing w:after="40" w:line="252" w:lineRule="auto"/>
      </w:pPr>
      <w:r>
        <w:rPr>
          <w:rFonts w:ascii="Aptos" w:hAnsi="Aptos" w:eastAsia="Aptos"/>
          <w:sz w:val="21"/>
        </w:rPr>
        <w:t>Captions/transcripts for important video content.</w:t>
      </w:r>
    </w:p>
    <w:p>
      <w:pPr>
        <w:pStyle w:val="ListBullet"/>
        <w:spacing w:after="40" w:line="252" w:lineRule="auto"/>
      </w:pPr>
      <w:r>
        <w:rPr>
          <w:rFonts w:ascii="Aptos" w:hAnsi="Aptos" w:eastAsia="Aptos"/>
          <w:sz w:val="21"/>
        </w:rPr>
        <w:t>Semantic headings and landmarks.</w:t>
      </w:r>
    </w:p>
    <w:p>
      <w:pPr>
        <w:pStyle w:val="ListBullet"/>
        <w:spacing w:after="40" w:line="252" w:lineRule="auto"/>
      </w:pPr>
      <w:r>
        <w:rPr>
          <w:rFonts w:ascii="Aptos" w:hAnsi="Aptos" w:eastAsia="Aptos"/>
          <w:sz w:val="21"/>
        </w:rPr>
        <w:t>No information conveyed by colour alone.</w:t>
      </w:r>
    </w:p>
    <w:p>
      <w:pPr>
        <w:pStyle w:val="ListBullet"/>
        <w:spacing w:after="40" w:line="252" w:lineRule="auto"/>
      </w:pPr>
      <w:r>
        <w:rPr>
          <w:rFonts w:ascii="Aptos" w:hAnsi="Aptos" w:eastAsia="Aptos"/>
          <w:sz w:val="21"/>
        </w:rPr>
        <w:t>Zoom and text resizing without loss of content.</w:t>
      </w:r>
    </w:p>
    <w:p>
      <w:pPr>
        <w:pStyle w:val="Heading2"/>
      </w:pPr>
      <w:r>
        <w:t>13.3 Security</w:t>
      </w:r>
    </w:p>
    <w:p>
      <w:pPr>
        <w:spacing w:after="80" w:line="252" w:lineRule="auto"/>
      </w:pPr>
      <w:r>
        <w:rPr>
          <w:rFonts w:ascii="Aptos" w:hAnsi="Aptos" w:eastAsia="Aptos"/>
          <w:i w:val="0"/>
          <w:sz w:val="21"/>
        </w:rPr>
        <w:t>Security verification should be mapped to the OWASP Application Security Verification Standard, which provides a basis for testing web application technical security controls and secure-development requirements. [4]</w:t>
      </w:r>
    </w:p>
    <w:p>
      <w:pPr>
        <w:pStyle w:val="ListBullet"/>
        <w:spacing w:after="40" w:line="252" w:lineRule="auto"/>
      </w:pPr>
      <w:r>
        <w:rPr>
          <w:rFonts w:ascii="Aptos" w:hAnsi="Aptos" w:eastAsia="Aptos"/>
          <w:sz w:val="21"/>
        </w:rPr>
        <w:t>HTTPS on all environments exposed to users.</w:t>
      </w:r>
    </w:p>
    <w:p>
      <w:pPr>
        <w:pStyle w:val="ListBullet"/>
        <w:spacing w:after="40" w:line="252" w:lineRule="auto"/>
      </w:pPr>
      <w:r>
        <w:rPr>
          <w:rFonts w:ascii="Aptos" w:hAnsi="Aptos" w:eastAsia="Aptos"/>
          <w:sz w:val="21"/>
        </w:rPr>
        <w:t>Multi-factor authentication for administrators.</w:t>
      </w:r>
    </w:p>
    <w:p>
      <w:pPr>
        <w:pStyle w:val="ListBullet"/>
        <w:spacing w:after="40" w:line="252" w:lineRule="auto"/>
      </w:pPr>
      <w:r>
        <w:rPr>
          <w:rFonts w:ascii="Aptos" w:hAnsi="Aptos" w:eastAsia="Aptos"/>
          <w:sz w:val="21"/>
        </w:rPr>
        <w:t>Role-based access control and strong password policy.</w:t>
      </w:r>
    </w:p>
    <w:p>
      <w:pPr>
        <w:pStyle w:val="ListBullet"/>
        <w:spacing w:after="40" w:line="252" w:lineRule="auto"/>
      </w:pPr>
      <w:r>
        <w:rPr>
          <w:rFonts w:ascii="Aptos" w:hAnsi="Aptos" w:eastAsia="Aptos"/>
          <w:sz w:val="21"/>
        </w:rPr>
        <w:t>Rate limiting and brute-force protection.</w:t>
      </w:r>
    </w:p>
    <w:p>
      <w:pPr>
        <w:pStyle w:val="ListBullet"/>
        <w:spacing w:after="40" w:line="252" w:lineRule="auto"/>
      </w:pPr>
      <w:r>
        <w:rPr>
          <w:rFonts w:ascii="Aptos" w:hAnsi="Aptos" w:eastAsia="Aptos"/>
          <w:sz w:val="21"/>
        </w:rPr>
        <w:t>Input validation, output encoding, CSRF protection and secure sessions.</w:t>
      </w:r>
    </w:p>
    <w:p>
      <w:pPr>
        <w:pStyle w:val="ListBullet"/>
        <w:spacing w:after="40" w:line="252" w:lineRule="auto"/>
      </w:pPr>
      <w:r>
        <w:rPr>
          <w:rFonts w:ascii="Aptos" w:hAnsi="Aptos" w:eastAsia="Aptos"/>
          <w:sz w:val="21"/>
        </w:rPr>
        <w:t>Restricted file formats, size limits and malware scanning.</w:t>
      </w:r>
    </w:p>
    <w:p>
      <w:pPr>
        <w:pStyle w:val="ListBullet"/>
        <w:spacing w:after="40" w:line="252" w:lineRule="auto"/>
      </w:pPr>
      <w:r>
        <w:rPr>
          <w:rFonts w:ascii="Aptos" w:hAnsi="Aptos" w:eastAsia="Aptos"/>
          <w:sz w:val="21"/>
        </w:rPr>
        <w:t>Content Security Policy and secure HTTP headers.</w:t>
      </w:r>
    </w:p>
    <w:p>
      <w:pPr>
        <w:pStyle w:val="ListBullet"/>
        <w:spacing w:after="40" w:line="252" w:lineRule="auto"/>
      </w:pPr>
      <w:r>
        <w:rPr>
          <w:rFonts w:ascii="Aptos" w:hAnsi="Aptos" w:eastAsia="Aptos"/>
          <w:sz w:val="21"/>
        </w:rPr>
        <w:t>Dependency updates and vulnerability scanning.</w:t>
      </w:r>
    </w:p>
    <w:p>
      <w:pPr>
        <w:pStyle w:val="ListBullet"/>
        <w:spacing w:after="40" w:line="252" w:lineRule="auto"/>
      </w:pPr>
      <w:r>
        <w:rPr>
          <w:rFonts w:ascii="Aptos" w:hAnsi="Aptos" w:eastAsia="Aptos"/>
          <w:sz w:val="21"/>
        </w:rPr>
        <w:t>Audit logs and separate development, staging and production environments.</w:t>
      </w:r>
    </w:p>
    <w:p>
      <w:pPr>
        <w:pStyle w:val="Heading2"/>
      </w:pPr>
      <w:r>
        <w:t>13.4 Privacy</w:t>
      </w:r>
    </w:p>
    <w:p>
      <w:pPr>
        <w:pStyle w:val="ListBullet"/>
        <w:spacing w:after="40" w:line="252" w:lineRule="auto"/>
      </w:pPr>
      <w:r>
        <w:rPr>
          <w:rFonts w:ascii="Aptos" w:hAnsi="Aptos" w:eastAsia="Aptos"/>
          <w:sz w:val="21"/>
        </w:rPr>
        <w:t>Privacy policy and cookie policy.</w:t>
      </w:r>
    </w:p>
    <w:p>
      <w:pPr>
        <w:pStyle w:val="ListBullet"/>
        <w:spacing w:after="40" w:line="252" w:lineRule="auto"/>
      </w:pPr>
      <w:r>
        <w:rPr>
          <w:rFonts w:ascii="Aptos" w:hAnsi="Aptos" w:eastAsia="Aptos"/>
          <w:sz w:val="21"/>
        </w:rPr>
        <w:t>Consent checkbox on forms.</w:t>
      </w:r>
    </w:p>
    <w:p>
      <w:pPr>
        <w:pStyle w:val="ListBullet"/>
        <w:spacing w:after="40" w:line="252" w:lineRule="auto"/>
      </w:pPr>
      <w:r>
        <w:rPr>
          <w:rFonts w:ascii="Aptos" w:hAnsi="Aptos" w:eastAsia="Aptos"/>
          <w:sz w:val="21"/>
        </w:rPr>
        <w:t>Defined retention period for inquiries.</w:t>
      </w:r>
    </w:p>
    <w:p>
      <w:pPr>
        <w:pStyle w:val="ListBullet"/>
        <w:spacing w:after="40" w:line="252" w:lineRule="auto"/>
      </w:pPr>
      <w:r>
        <w:rPr>
          <w:rFonts w:ascii="Aptos" w:hAnsi="Aptos" w:eastAsia="Aptos"/>
          <w:sz w:val="21"/>
        </w:rPr>
        <w:t>Restricted access to personal data.</w:t>
      </w:r>
    </w:p>
    <w:p>
      <w:pPr>
        <w:pStyle w:val="ListBullet"/>
        <w:spacing w:after="40" w:line="252" w:lineRule="auto"/>
      </w:pPr>
      <w:r>
        <w:rPr>
          <w:rFonts w:ascii="Aptos" w:hAnsi="Aptos" w:eastAsia="Aptos"/>
          <w:sz w:val="21"/>
        </w:rPr>
        <w:t>Process for correction and deletion requests.</w:t>
      </w:r>
    </w:p>
    <w:p>
      <w:pPr>
        <w:pStyle w:val="ListBullet"/>
        <w:spacing w:after="40" w:line="252" w:lineRule="auto"/>
      </w:pPr>
      <w:r>
        <w:rPr>
          <w:rFonts w:ascii="Aptos" w:hAnsi="Aptos" w:eastAsia="Aptos"/>
          <w:sz w:val="21"/>
        </w:rPr>
        <w:t>No non-essential tracking before consent where consent is required.</w:t>
      </w:r>
    </w:p>
    <w:p>
      <w:pPr>
        <w:pStyle w:val="ListBullet"/>
        <w:spacing w:after="40" w:line="252" w:lineRule="auto"/>
      </w:pPr>
      <w:r>
        <w:rPr>
          <w:rFonts w:ascii="Aptos" w:hAnsi="Aptos" w:eastAsia="Aptos"/>
          <w:sz w:val="21"/>
        </w:rPr>
        <w:t>Collect only data necessary for the stated inquiry.</w:t>
      </w:r>
    </w:p>
    <w:p>
      <w:pPr>
        <w:pStyle w:val="Heading1"/>
      </w:pPr>
      <w:r>
        <w:t>14. Technical Architecture</w:t>
      </w:r>
    </w:p>
    <w:p>
      <w:pPr>
        <w:spacing w:after="80" w:line="252" w:lineRule="auto"/>
      </w:pPr>
      <w:r>
        <w:rPr>
          <w:rFonts w:ascii="Aptos" w:hAnsi="Aptos" w:eastAsia="Aptos"/>
          <w:i w:val="0"/>
          <w:sz w:val="21"/>
        </w:rPr>
        <w:t>The final platform should be selected according to the team’s maintenance capacity, not only its development preference. A technically elegant headless architecture is a poor choice if QOIM cannot maintain it after handover.</w:t>
      </w:r>
    </w:p>
    <w:tbl>
      <w:tblPr>
        <w:tblW w:type="auto" w:w="0"/>
        <w:jc w:val="center"/>
        <w:tblLayout w:type="fixed"/>
        <w:tblLook w:firstColumn="1" w:firstRow="1" w:lastColumn="0" w:lastRow="0" w:noHBand="0" w:noVBand="1" w:val="04A0"/>
      </w:tblPr>
      <w:tblGrid>
        <w:gridCol w:w="2564"/>
        <w:gridCol w:w="2564"/>
        <w:gridCol w:w="2564"/>
        <w:gridCol w:w="2564"/>
      </w:tblGrid>
      <w:tr>
        <w:trPr>
          <w:tblHeader w:val="true"/>
          <w:cantSplit/>
        </w:trPr>
        <w:tc>
          <w:tcPr>
            <w:tcW w:type="dxa" w:w="1417"/>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264B5D"/>
          </w:tcPr>
          <w:p>
            <w:pPr>
              <w:spacing w:after="0" w:line="240" w:lineRule="auto"/>
              <w:jc w:val="center"/>
            </w:pPr>
            <w:r>
              <w:rPr>
                <w:rFonts w:ascii="Aptos" w:hAnsi="Aptos" w:eastAsia="Aptos"/>
                <w:b/>
                <w:color w:val="FFFFFF"/>
                <w:sz w:val="16"/>
              </w:rPr>
              <w:t>Option</w:t>
            </w:r>
          </w:p>
        </w:tc>
        <w:tc>
          <w:tcPr>
            <w:tcW w:type="dxa" w:w="2835"/>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264B5D"/>
          </w:tcPr>
          <w:p>
            <w:pPr>
              <w:spacing w:after="0" w:line="240" w:lineRule="auto"/>
              <w:jc w:val="center"/>
            </w:pPr>
            <w:r>
              <w:rPr>
                <w:rFonts w:ascii="Aptos" w:hAnsi="Aptos" w:eastAsia="Aptos"/>
                <w:b/>
                <w:color w:val="FFFFFF"/>
                <w:sz w:val="16"/>
              </w:rPr>
              <w:t>Components</w:t>
            </w:r>
          </w:p>
        </w:tc>
        <w:tc>
          <w:tcPr>
            <w:tcW w:type="dxa" w:w="238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264B5D"/>
          </w:tcPr>
          <w:p>
            <w:pPr>
              <w:spacing w:after="0" w:line="240" w:lineRule="auto"/>
              <w:jc w:val="center"/>
            </w:pPr>
            <w:r>
              <w:rPr>
                <w:rFonts w:ascii="Aptos" w:hAnsi="Aptos" w:eastAsia="Aptos"/>
                <w:b/>
                <w:color w:val="FFFFFF"/>
                <w:sz w:val="16"/>
              </w:rPr>
              <w:t>Advantages</w:t>
            </w:r>
          </w:p>
        </w:tc>
        <w:tc>
          <w:tcPr>
            <w:tcW w:type="dxa" w:w="243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264B5D"/>
          </w:tcPr>
          <w:p>
            <w:pPr>
              <w:spacing w:after="0" w:line="240" w:lineRule="auto"/>
              <w:jc w:val="center"/>
            </w:pPr>
            <w:r>
              <w:rPr>
                <w:rFonts w:ascii="Aptos" w:hAnsi="Aptos" w:eastAsia="Aptos"/>
                <w:b/>
                <w:color w:val="FFFFFF"/>
                <w:sz w:val="16"/>
              </w:rPr>
              <w:t>Risks / conditions</w:t>
            </w:r>
          </w:p>
        </w:tc>
      </w:tr>
      <w:tr>
        <w:trPr>
          <w:cantSplit/>
        </w:trPr>
        <w:tc>
          <w:tcPr>
            <w:tcW w:type="dxa" w:w="1417"/>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6"/>
              </w:rPr>
              <w:t>A. Headless</w:t>
            </w:r>
          </w:p>
        </w:tc>
        <w:tc>
          <w:tcPr>
            <w:tcW w:type="dxa" w:w="2835"/>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6"/>
              </w:rPr>
              <w:t>Next.js or Nuxt; Strapi or Directus; PostgreSQL; object storage/CDN</w:t>
            </w:r>
          </w:p>
        </w:tc>
        <w:tc>
          <w:tcPr>
            <w:tcW w:type="dxa" w:w="238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6"/>
              </w:rPr>
              <w:t>High performance, structured content, clean separation</w:t>
            </w:r>
          </w:p>
        </w:tc>
        <w:tc>
          <w:tcPr>
            <w:tcW w:type="dxa" w:w="243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6"/>
              </w:rPr>
              <w:t>Requires stronger DevOps and developer maintenance</w:t>
            </w:r>
          </w:p>
        </w:tc>
      </w:tr>
      <w:tr>
        <w:trPr>
          <w:cantSplit/>
        </w:trPr>
        <w:tc>
          <w:tcPr>
            <w:tcW w:type="dxa" w:w="1417"/>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6"/>
              </w:rPr>
              <w:t>B. Managed WordPress</w:t>
            </w:r>
          </w:p>
        </w:tc>
        <w:tc>
          <w:tcPr>
            <w:tcW w:type="dxa" w:w="2835"/>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6"/>
              </w:rPr>
              <w:t>Custom theme; multilingual plugin; limited vetted plugins; managed hosting</w:t>
            </w:r>
          </w:p>
        </w:tc>
        <w:tc>
          <w:tcPr>
            <w:tcW w:type="dxa" w:w="238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6"/>
              </w:rPr>
              <w:t>Lower operational complexity and familiar editing</w:t>
            </w:r>
          </w:p>
        </w:tc>
        <w:tc>
          <w:tcPr>
            <w:tcW w:type="dxa" w:w="243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6"/>
              </w:rPr>
              <w:t>Plugin discipline and security maintenance are essential</w:t>
            </w:r>
          </w:p>
        </w:tc>
      </w:tr>
    </w:tbl>
    <w:tbl>
      <w:tblPr>
        <w:tblW w:type="auto" w:w="0"/>
        <w:jc w:val="center"/>
        <w:tblLayout w:type="fixed"/>
        <w:tblLook w:firstColumn="1" w:firstRow="1" w:lastColumn="0" w:lastRow="0" w:noHBand="0" w:noVBand="1" w:val="04A0"/>
      </w:tblPr>
      <w:tblGrid>
        <w:gridCol w:w="9524"/>
      </w:tblGrid>
      <w:tr>
        <w:trPr>
          <w:cantSplit/>
        </w:trPr>
        <w:tc>
          <w:tcPr>
            <w:tcW w:type="dxa" w:w="10256"/>
            <w:shd w:fill="E5F0F5"/>
            <w:tcBorders>
              <w:top w:val="single" w:sz="8" w:color="264B5D"/>
              <w:left w:val="single" w:sz="8" w:color="264B5D"/>
              <w:bottom w:val="single" w:sz="8" w:color="264B5D"/>
              <w:right w:val="single" w:sz="8" w:color="264B5D"/>
            </w:tcBorders>
            <w:tcMar>
              <w:top w:w="140" w:type="dxa"/>
              <w:start w:w="180" w:type="dxa"/>
              <w:bottom w:w="140" w:type="dxa"/>
              <w:end w:w="180" w:type="dxa"/>
            </w:tcMar>
          </w:tcPr>
          <w:p>
            <w:r>
              <w:rPr>
                <w:rFonts w:ascii="Aptos" w:hAnsi="Aptos" w:eastAsia="Aptos"/>
                <w:b/>
                <w:color w:val="264B5D"/>
                <w:sz w:val="21"/>
              </w:rPr>
              <w:t>Selection rule</w:t>
            </w:r>
            <w:r>
              <w:rPr>
                <w:rFonts w:ascii="Aptos" w:hAnsi="Aptos" w:eastAsia="Aptos"/>
                <w:sz w:val="20"/>
              </w:rPr>
              <w:br/>
              <w:t>Use the headless option only if the development team will provide documented deployment, monitoring, backups and long-term maintenance. Otherwise, a carefully controlled custom WordPress implementation may be the lower-risk business choice.</w:t>
            </w:r>
          </w:p>
        </w:tc>
      </w:tr>
    </w:tbl>
    <w:p>
      <w:pPr>
        <w:spacing w:after="0"/>
      </w:pPr>
    </w:p>
    <w:p>
      <w:pPr>
        <w:pStyle w:val="Heading2"/>
      </w:pPr>
      <w:r>
        <w:t>14.1 Environments and infrastructure</w:t>
      </w:r>
    </w:p>
    <w:p>
      <w:pPr>
        <w:pStyle w:val="ListBullet"/>
        <w:spacing w:after="40" w:line="252" w:lineRule="auto"/>
      </w:pPr>
      <w:r>
        <w:rPr>
          <w:rFonts w:ascii="Aptos" w:hAnsi="Aptos" w:eastAsia="Aptos"/>
          <w:sz w:val="21"/>
        </w:rPr>
        <w:t>Separate development, staging and production environments.</w:t>
      </w:r>
    </w:p>
    <w:p>
      <w:pPr>
        <w:pStyle w:val="ListBullet"/>
        <w:spacing w:after="40" w:line="252" w:lineRule="auto"/>
      </w:pPr>
      <w:r>
        <w:rPr>
          <w:rFonts w:ascii="Aptos" w:hAnsi="Aptos" w:eastAsia="Aptos"/>
          <w:sz w:val="21"/>
        </w:rPr>
        <w:t>Domain and DNS controlled by QOIM, not solely by the contractor.</w:t>
      </w:r>
    </w:p>
    <w:p>
      <w:pPr>
        <w:pStyle w:val="ListBullet"/>
        <w:spacing w:after="40" w:line="252" w:lineRule="auto"/>
      </w:pPr>
      <w:r>
        <w:rPr>
          <w:rFonts w:ascii="Aptos" w:hAnsi="Aptos" w:eastAsia="Aptos"/>
          <w:sz w:val="21"/>
        </w:rPr>
        <w:t>CDN and web application firewall where appropriate.</w:t>
      </w:r>
    </w:p>
    <w:p>
      <w:pPr>
        <w:pStyle w:val="ListBullet"/>
        <w:spacing w:after="40" w:line="252" w:lineRule="auto"/>
      </w:pPr>
      <w:r>
        <w:rPr>
          <w:rFonts w:ascii="Aptos" w:hAnsi="Aptos" w:eastAsia="Aptos"/>
          <w:sz w:val="21"/>
        </w:rPr>
        <w:t>Authenticated SMTP or transactional email service.</w:t>
      </w:r>
    </w:p>
    <w:p>
      <w:pPr>
        <w:pStyle w:val="ListBullet"/>
        <w:spacing w:after="40" w:line="252" w:lineRule="auto"/>
      </w:pPr>
      <w:r>
        <w:rPr>
          <w:rFonts w:ascii="Aptos" w:hAnsi="Aptos" w:eastAsia="Aptos"/>
          <w:sz w:val="21"/>
        </w:rPr>
        <w:t>Object/media storage with backups.</w:t>
      </w:r>
    </w:p>
    <w:p>
      <w:pPr>
        <w:pStyle w:val="ListBullet"/>
        <w:spacing w:after="40" w:line="252" w:lineRule="auto"/>
      </w:pPr>
      <w:r>
        <w:rPr>
          <w:rFonts w:ascii="Aptos" w:hAnsi="Aptos" w:eastAsia="Aptos"/>
          <w:sz w:val="21"/>
        </w:rPr>
        <w:t>Documented deployment and rollback procedure.</w:t>
      </w:r>
    </w:p>
    <w:p>
      <w:pPr>
        <w:pStyle w:val="Heading1"/>
      </w:pPr>
      <w:r>
        <w:t>15. Analytics and Reporting</w:t>
      </w:r>
    </w:p>
    <w:tbl>
      <w:tblPr>
        <w:tblW w:type="auto" w:w="0"/>
        <w:jc w:val="center"/>
        <w:tblLayout w:type="fixed"/>
        <w:tblLook w:firstColumn="1" w:firstRow="1" w:lastColumn="0" w:lastRow="0" w:noHBand="0" w:noVBand="1" w:val="04A0"/>
      </w:tblPr>
      <w:tblGrid>
        <w:gridCol w:w="3419"/>
        <w:gridCol w:w="3419"/>
        <w:gridCol w:w="3419"/>
      </w:tblGrid>
      <w:tr>
        <w:trPr>
          <w:tblHeader w:val="true"/>
          <w:cantSplit/>
        </w:trPr>
        <w:tc>
          <w:tcPr>
            <w:tcW w:type="dxa" w:w="226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264B5D"/>
          </w:tcPr>
          <w:p>
            <w:pPr>
              <w:spacing w:after="0" w:line="240" w:lineRule="auto"/>
              <w:jc w:val="center"/>
            </w:pPr>
            <w:r>
              <w:rPr>
                <w:rFonts w:ascii="Aptos" w:hAnsi="Aptos" w:eastAsia="Aptos"/>
                <w:b/>
                <w:color w:val="FFFFFF"/>
                <w:sz w:val="17"/>
              </w:rPr>
              <w:t>Event</w:t>
            </w:r>
          </w:p>
        </w:tc>
        <w:tc>
          <w:tcPr>
            <w:tcW w:type="dxa" w:w="3175"/>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264B5D"/>
          </w:tcPr>
          <w:p>
            <w:pPr>
              <w:spacing w:after="0" w:line="240" w:lineRule="auto"/>
              <w:jc w:val="center"/>
            </w:pPr>
            <w:r>
              <w:rPr>
                <w:rFonts w:ascii="Aptos" w:hAnsi="Aptos" w:eastAsia="Aptos"/>
                <w:b/>
                <w:color w:val="FFFFFF"/>
                <w:sz w:val="17"/>
              </w:rPr>
              <w:t>Purpose</w:t>
            </w:r>
          </w:p>
        </w:tc>
        <w:tc>
          <w:tcPr>
            <w:tcW w:type="dxa" w:w="362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264B5D"/>
          </w:tcPr>
          <w:p>
            <w:pPr>
              <w:spacing w:after="0" w:line="240" w:lineRule="auto"/>
              <w:jc w:val="center"/>
            </w:pPr>
            <w:r>
              <w:rPr>
                <w:rFonts w:ascii="Aptos" w:hAnsi="Aptos" w:eastAsia="Aptos"/>
                <w:b/>
                <w:color w:val="FFFFFF"/>
                <w:sz w:val="17"/>
              </w:rPr>
              <w:t>Minimum data</w:t>
            </w:r>
          </w:p>
        </w:tc>
      </w:tr>
      <w:tr>
        <w:trPr>
          <w:cantSplit/>
        </w:trPr>
        <w:tc>
          <w:tcPr>
            <w:tcW w:type="dxa" w:w="226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7"/>
              </w:rPr>
              <w:t>Product view</w:t>
            </w:r>
          </w:p>
        </w:tc>
        <w:tc>
          <w:tcPr>
            <w:tcW w:type="dxa" w:w="3175"/>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7"/>
              </w:rPr>
              <w:t>Measure product interest</w:t>
            </w:r>
          </w:p>
        </w:tc>
        <w:tc>
          <w:tcPr>
            <w:tcW w:type="dxa" w:w="362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7"/>
              </w:rPr>
              <w:t>Product ID, name, language</w:t>
            </w:r>
          </w:p>
        </w:tc>
      </w:tr>
      <w:tr>
        <w:trPr>
          <w:cantSplit/>
        </w:trPr>
        <w:tc>
          <w:tcPr>
            <w:tcW w:type="dxa" w:w="226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7"/>
              </w:rPr>
              <w:t>Catalogue download</w:t>
            </w:r>
          </w:p>
        </w:tc>
        <w:tc>
          <w:tcPr>
            <w:tcW w:type="dxa" w:w="3175"/>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7"/>
              </w:rPr>
              <w:t>Measure commercial engagement</w:t>
            </w:r>
          </w:p>
        </w:tc>
        <w:tc>
          <w:tcPr>
            <w:tcW w:type="dxa" w:w="362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7"/>
              </w:rPr>
              <w:t>File, language, page source</w:t>
            </w:r>
          </w:p>
        </w:tc>
      </w:tr>
      <w:tr>
        <w:trPr>
          <w:cantSplit/>
        </w:trPr>
        <w:tc>
          <w:tcPr>
            <w:tcW w:type="dxa" w:w="226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7"/>
              </w:rPr>
              <w:t>Contact submission</w:t>
            </w:r>
          </w:p>
        </w:tc>
        <w:tc>
          <w:tcPr>
            <w:tcW w:type="dxa" w:w="3175"/>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7"/>
              </w:rPr>
              <w:t>Measure lead generation</w:t>
            </w:r>
          </w:p>
        </w:tc>
        <w:tc>
          <w:tcPr>
            <w:tcW w:type="dxa" w:w="362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7"/>
              </w:rPr>
              <w:t>Inquiry type and language; no message text in analytics</w:t>
            </w:r>
          </w:p>
        </w:tc>
      </w:tr>
      <w:tr>
        <w:trPr>
          <w:cantSplit/>
        </w:trPr>
        <w:tc>
          <w:tcPr>
            <w:tcW w:type="dxa" w:w="226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7"/>
              </w:rPr>
              <w:t>Distributor inquiry</w:t>
            </w:r>
          </w:p>
        </w:tc>
        <w:tc>
          <w:tcPr>
            <w:tcW w:type="dxa" w:w="3175"/>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7"/>
              </w:rPr>
              <w:t>Measure B2B conversion</w:t>
            </w:r>
          </w:p>
        </w:tc>
        <w:tc>
          <w:tcPr>
            <w:tcW w:type="dxa" w:w="362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7"/>
              </w:rPr>
              <w:t>Country, product interest</w:t>
            </w:r>
          </w:p>
        </w:tc>
      </w:tr>
      <w:tr>
        <w:trPr>
          <w:cantSplit/>
        </w:trPr>
        <w:tc>
          <w:tcPr>
            <w:tcW w:type="dxa" w:w="226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7"/>
              </w:rPr>
              <w:t>Phone / WhatsApp / email click</w:t>
            </w:r>
          </w:p>
        </w:tc>
        <w:tc>
          <w:tcPr>
            <w:tcW w:type="dxa" w:w="3175"/>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7"/>
              </w:rPr>
              <w:t>Measure contact intent</w:t>
            </w:r>
          </w:p>
        </w:tc>
        <w:tc>
          <w:tcPr>
            <w:tcW w:type="dxa" w:w="362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7"/>
              </w:rPr>
              <w:t>Page and channel</w:t>
            </w:r>
          </w:p>
        </w:tc>
      </w:tr>
      <w:tr>
        <w:trPr>
          <w:cantSplit/>
        </w:trPr>
        <w:tc>
          <w:tcPr>
            <w:tcW w:type="dxa" w:w="226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7"/>
              </w:rPr>
              <w:t>Map click</w:t>
            </w:r>
          </w:p>
        </w:tc>
        <w:tc>
          <w:tcPr>
            <w:tcW w:type="dxa" w:w="3175"/>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7"/>
              </w:rPr>
              <w:t>Measure visit/location interest</w:t>
            </w:r>
          </w:p>
        </w:tc>
        <w:tc>
          <w:tcPr>
            <w:tcW w:type="dxa" w:w="362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7"/>
              </w:rPr>
              <w:t>Page and language</w:t>
            </w:r>
          </w:p>
        </w:tc>
      </w:tr>
      <w:tr>
        <w:trPr>
          <w:cantSplit/>
        </w:trPr>
        <w:tc>
          <w:tcPr>
            <w:tcW w:type="dxa" w:w="226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7"/>
              </w:rPr>
              <w:t>Language switch</w:t>
            </w:r>
          </w:p>
        </w:tc>
        <w:tc>
          <w:tcPr>
            <w:tcW w:type="dxa" w:w="3175"/>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7"/>
              </w:rPr>
              <w:t>Understand language demand</w:t>
            </w:r>
          </w:p>
        </w:tc>
        <w:tc>
          <w:tcPr>
            <w:tcW w:type="dxa" w:w="362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7"/>
              </w:rPr>
              <w:t>From/to language and page</w:t>
            </w:r>
          </w:p>
        </w:tc>
      </w:tr>
      <w:tr>
        <w:trPr>
          <w:cantSplit/>
        </w:trPr>
        <w:tc>
          <w:tcPr>
            <w:tcW w:type="dxa" w:w="226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7"/>
              </w:rPr>
              <w:t>Video play</w:t>
            </w:r>
          </w:p>
        </w:tc>
        <w:tc>
          <w:tcPr>
            <w:tcW w:type="dxa" w:w="3175"/>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7"/>
              </w:rPr>
              <w:t>Measure media engagement</w:t>
            </w:r>
          </w:p>
        </w:tc>
        <w:tc>
          <w:tcPr>
            <w:tcW w:type="dxa" w:w="362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7"/>
              </w:rPr>
              <w:t>Video ID and page</w:t>
            </w:r>
          </w:p>
        </w:tc>
      </w:tr>
    </w:tbl>
    <w:p>
      <w:pPr>
        <w:pStyle w:val="Heading1"/>
      </w:pPr>
      <w:r>
        <w:t>16. Content Governance and Publishing Workflow</w:t>
      </w:r>
    </w:p>
    <w:p>
      <w:pPr>
        <w:spacing w:after="80" w:line="252" w:lineRule="auto"/>
      </w:pPr>
      <w:r>
        <w:rPr>
          <w:rFonts w:ascii="Aptos" w:hAnsi="Aptos" w:eastAsia="Aptos"/>
          <w:i w:val="0"/>
          <w:sz w:val="21"/>
        </w:rPr>
        <w:t>Product information is regulated operational content, not ordinary marketing copy. Claims must be approved before publication and reviewed when recipes, packaging, certificates or shelf-life evidence change.</w:t>
      </w:r>
    </w:p>
    <w:tbl>
      <w:tblPr>
        <w:tblW w:type="auto" w:w="0"/>
        <w:jc w:val="center"/>
        <w:tblLayout w:type="fixed"/>
        <w:tblLook w:firstColumn="1" w:firstRow="1" w:lastColumn="0" w:lastRow="0" w:noHBand="0" w:noVBand="1" w:val="04A0"/>
      </w:tblPr>
      <w:tblGrid>
        <w:gridCol w:w="3419"/>
        <w:gridCol w:w="3419"/>
        <w:gridCol w:w="3419"/>
      </w:tblGrid>
      <w:tr>
        <w:trPr>
          <w:tblHeader w:val="true"/>
          <w:cantSplit/>
        </w:trPr>
        <w:tc>
          <w:tcPr>
            <w:tcW w:type="dxa" w:w="3515"/>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264B5D"/>
          </w:tcPr>
          <w:p>
            <w:pPr>
              <w:spacing w:after="0" w:line="240" w:lineRule="auto"/>
              <w:jc w:val="center"/>
            </w:pPr>
            <w:r>
              <w:rPr>
                <w:rFonts w:ascii="Aptos" w:hAnsi="Aptos" w:eastAsia="Aptos"/>
                <w:b/>
                <w:color w:val="FFFFFF"/>
                <w:sz w:val="17"/>
              </w:rPr>
              <w:t>Content type</w:t>
            </w:r>
          </w:p>
        </w:tc>
        <w:tc>
          <w:tcPr>
            <w:tcW w:type="dxa" w:w="255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264B5D"/>
          </w:tcPr>
          <w:p>
            <w:pPr>
              <w:spacing w:after="0" w:line="240" w:lineRule="auto"/>
              <w:jc w:val="center"/>
            </w:pPr>
            <w:r>
              <w:rPr>
                <w:rFonts w:ascii="Aptos" w:hAnsi="Aptos" w:eastAsia="Aptos"/>
                <w:b/>
                <w:color w:val="FFFFFF"/>
                <w:sz w:val="17"/>
              </w:rPr>
              <w:t>Owner</w:t>
            </w:r>
          </w:p>
        </w:tc>
        <w:tc>
          <w:tcPr>
            <w:tcW w:type="dxa" w:w="3005"/>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264B5D"/>
          </w:tcPr>
          <w:p>
            <w:pPr>
              <w:spacing w:after="0" w:line="240" w:lineRule="auto"/>
              <w:jc w:val="center"/>
            </w:pPr>
            <w:r>
              <w:rPr>
                <w:rFonts w:ascii="Aptos" w:hAnsi="Aptos" w:eastAsia="Aptos"/>
                <w:b/>
                <w:color w:val="FFFFFF"/>
                <w:sz w:val="17"/>
              </w:rPr>
              <w:t>Required approver</w:t>
            </w:r>
          </w:p>
        </w:tc>
      </w:tr>
      <w:tr>
        <w:trPr>
          <w:cantSplit/>
        </w:trPr>
        <w:tc>
          <w:tcPr>
            <w:tcW w:type="dxa" w:w="3515"/>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7"/>
              </w:rPr>
              <w:t>Corporate identity and history</w:t>
            </w:r>
          </w:p>
        </w:tc>
        <w:tc>
          <w:tcPr>
            <w:tcW w:type="dxa" w:w="255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7"/>
              </w:rPr>
              <w:t>Management / communications</w:t>
            </w:r>
          </w:p>
        </w:tc>
        <w:tc>
          <w:tcPr>
            <w:tcW w:type="dxa" w:w="3005"/>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7"/>
              </w:rPr>
              <w:t>Director</w:t>
            </w:r>
          </w:p>
        </w:tc>
      </w:tr>
      <w:tr>
        <w:trPr>
          <w:cantSplit/>
        </w:trPr>
        <w:tc>
          <w:tcPr>
            <w:tcW w:type="dxa" w:w="3515"/>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7"/>
              </w:rPr>
              <w:t>Product composition, shelf life and storage</w:t>
            </w:r>
          </w:p>
        </w:tc>
        <w:tc>
          <w:tcPr>
            <w:tcW w:type="dxa" w:w="255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7"/>
              </w:rPr>
              <w:t>Technologist</w:t>
            </w:r>
          </w:p>
        </w:tc>
        <w:tc>
          <w:tcPr>
            <w:tcW w:type="dxa" w:w="3005"/>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7"/>
              </w:rPr>
              <w:t>Compliance reviewer / management</w:t>
            </w:r>
          </w:p>
        </w:tc>
      </w:tr>
      <w:tr>
        <w:trPr>
          <w:cantSplit/>
        </w:trPr>
        <w:tc>
          <w:tcPr>
            <w:tcW w:type="dxa" w:w="3515"/>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7"/>
              </w:rPr>
              <w:t>Certificates and laboratory documents</w:t>
            </w:r>
          </w:p>
        </w:tc>
        <w:tc>
          <w:tcPr>
            <w:tcW w:type="dxa" w:w="255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7"/>
              </w:rPr>
              <w:t>Compliance / quality</w:t>
            </w:r>
          </w:p>
        </w:tc>
        <w:tc>
          <w:tcPr>
            <w:tcW w:type="dxa" w:w="3005"/>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7"/>
              </w:rPr>
              <w:t>Director</w:t>
            </w:r>
          </w:p>
        </w:tc>
      </w:tr>
      <w:tr>
        <w:trPr>
          <w:cantSplit/>
        </w:trPr>
        <w:tc>
          <w:tcPr>
            <w:tcW w:type="dxa" w:w="3515"/>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7"/>
              </w:rPr>
              <w:t>President page</w:t>
            </w:r>
          </w:p>
        </w:tc>
        <w:tc>
          <w:tcPr>
            <w:tcW w:type="dxa" w:w="255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7"/>
              </w:rPr>
              <w:t>Communications</w:t>
            </w:r>
          </w:p>
        </w:tc>
        <w:tc>
          <w:tcPr>
            <w:tcW w:type="dxa" w:w="3005"/>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7"/>
              </w:rPr>
              <w:t>Director; source re-check before publication</w:t>
            </w:r>
          </w:p>
        </w:tc>
      </w:tr>
      <w:tr>
        <w:trPr>
          <w:cantSplit/>
        </w:trPr>
        <w:tc>
          <w:tcPr>
            <w:tcW w:type="dxa" w:w="3515"/>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7"/>
              </w:rPr>
              <w:t>News and media</w:t>
            </w:r>
          </w:p>
        </w:tc>
        <w:tc>
          <w:tcPr>
            <w:tcW w:type="dxa" w:w="255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7"/>
              </w:rPr>
              <w:t>Communications</w:t>
            </w:r>
          </w:p>
        </w:tc>
        <w:tc>
          <w:tcPr>
            <w:tcW w:type="dxa" w:w="3005"/>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7"/>
              </w:rPr>
              <w:t>Authorised manager</w:t>
            </w:r>
          </w:p>
        </w:tc>
      </w:tr>
      <w:tr>
        <w:trPr>
          <w:cantSplit/>
        </w:trPr>
        <w:tc>
          <w:tcPr>
            <w:tcW w:type="dxa" w:w="3515"/>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7"/>
              </w:rPr>
              <w:t>Legal policies</w:t>
            </w:r>
          </w:p>
        </w:tc>
        <w:tc>
          <w:tcPr>
            <w:tcW w:type="dxa" w:w="255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7"/>
              </w:rPr>
              <w:t>Management</w:t>
            </w:r>
          </w:p>
        </w:tc>
        <w:tc>
          <w:tcPr>
            <w:tcW w:type="dxa" w:w="3005"/>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7"/>
              </w:rPr>
              <w:t>Legal review where available</w:t>
            </w:r>
          </w:p>
        </w:tc>
      </w:tr>
    </w:tbl>
    <w:p>
      <w:pPr>
        <w:pStyle w:val="Heading1"/>
      </w:pPr>
      <w:r>
        <w:t>17. Testing, Deployment and Operations</w:t>
      </w:r>
    </w:p>
    <w:p>
      <w:pPr>
        <w:pStyle w:val="Heading2"/>
      </w:pPr>
      <w:r>
        <w:t>17.1 Required testing</w:t>
      </w:r>
    </w:p>
    <w:p>
      <w:pPr>
        <w:pStyle w:val="ListBullet"/>
        <w:spacing w:after="40" w:line="252" w:lineRule="auto"/>
      </w:pPr>
      <w:r>
        <w:rPr>
          <w:rFonts w:ascii="Aptos" w:hAnsi="Aptos" w:eastAsia="Aptos"/>
          <w:sz w:val="21"/>
        </w:rPr>
        <w:t>Functional testing of all links, forms, filters, downloads and language switching.</w:t>
      </w:r>
    </w:p>
    <w:p>
      <w:pPr>
        <w:pStyle w:val="ListBullet"/>
        <w:spacing w:after="40" w:line="252" w:lineRule="auto"/>
      </w:pPr>
      <w:r>
        <w:rPr>
          <w:rFonts w:ascii="Aptos" w:hAnsi="Aptos" w:eastAsia="Aptos"/>
          <w:sz w:val="21"/>
        </w:rPr>
        <w:t>Responsive testing on representative mobile, tablet and desktop sizes.</w:t>
      </w:r>
    </w:p>
    <w:p>
      <w:pPr>
        <w:pStyle w:val="ListBullet"/>
        <w:spacing w:after="40" w:line="252" w:lineRule="auto"/>
      </w:pPr>
      <w:r>
        <w:rPr>
          <w:rFonts w:ascii="Aptos" w:hAnsi="Aptos" w:eastAsia="Aptos"/>
          <w:sz w:val="21"/>
        </w:rPr>
        <w:t>Cross-browser testing.</w:t>
      </w:r>
    </w:p>
    <w:p>
      <w:pPr>
        <w:pStyle w:val="ListBullet"/>
        <w:spacing w:after="40" w:line="252" w:lineRule="auto"/>
      </w:pPr>
      <w:r>
        <w:rPr>
          <w:rFonts w:ascii="Aptos" w:hAnsi="Aptos" w:eastAsia="Aptos"/>
          <w:sz w:val="21"/>
        </w:rPr>
        <w:t>Accessibility review combining automated and manual keyboard/screen-reader checks.</w:t>
      </w:r>
    </w:p>
    <w:p>
      <w:pPr>
        <w:pStyle w:val="ListBullet"/>
        <w:spacing w:after="40" w:line="252" w:lineRule="auto"/>
      </w:pPr>
      <w:r>
        <w:rPr>
          <w:rFonts w:ascii="Aptos" w:hAnsi="Aptos" w:eastAsia="Aptos"/>
          <w:sz w:val="21"/>
        </w:rPr>
        <w:t>Performance testing and image/network optimisation.</w:t>
      </w:r>
    </w:p>
    <w:p>
      <w:pPr>
        <w:pStyle w:val="ListBullet"/>
        <w:spacing w:after="40" w:line="252" w:lineRule="auto"/>
      </w:pPr>
      <w:r>
        <w:rPr>
          <w:rFonts w:ascii="Aptos" w:hAnsi="Aptos" w:eastAsia="Aptos"/>
          <w:sz w:val="21"/>
        </w:rPr>
        <w:t>Security testing, dependency scan and configuration review.</w:t>
      </w:r>
    </w:p>
    <w:p>
      <w:pPr>
        <w:pStyle w:val="ListBullet"/>
        <w:spacing w:after="40" w:line="252" w:lineRule="auto"/>
      </w:pPr>
      <w:r>
        <w:rPr>
          <w:rFonts w:ascii="Aptos" w:hAnsi="Aptos" w:eastAsia="Aptos"/>
          <w:sz w:val="21"/>
        </w:rPr>
        <w:t>Content and translation review by QOIM.</w:t>
      </w:r>
    </w:p>
    <w:p>
      <w:pPr>
        <w:pStyle w:val="ListBullet"/>
        <w:spacing w:after="40" w:line="252" w:lineRule="auto"/>
      </w:pPr>
      <w:r>
        <w:rPr>
          <w:rFonts w:ascii="Aptos" w:hAnsi="Aptos" w:eastAsia="Aptos"/>
          <w:sz w:val="21"/>
        </w:rPr>
        <w:t>Backup and restoration test.</w:t>
      </w:r>
    </w:p>
    <w:p>
      <w:pPr>
        <w:pStyle w:val="ListBullet"/>
        <w:spacing w:after="40" w:line="252" w:lineRule="auto"/>
      </w:pPr>
      <w:r>
        <w:rPr>
          <w:rFonts w:ascii="Aptos" w:hAnsi="Aptos" w:eastAsia="Aptos"/>
          <w:sz w:val="21"/>
        </w:rPr>
        <w:t>Email deliverability test for all forms.</w:t>
      </w:r>
    </w:p>
    <w:p>
      <w:pPr>
        <w:pStyle w:val="Heading2"/>
      </w:pPr>
      <w:r>
        <w:t>17.2 Launch procedure</w:t>
      </w:r>
    </w:p>
    <w:p>
      <w:pPr>
        <w:pStyle w:val="ListNumber"/>
        <w:spacing w:after="40" w:line="252" w:lineRule="auto"/>
      </w:pPr>
      <w:r>
        <w:rPr>
          <w:rFonts w:ascii="Aptos" w:hAnsi="Aptos" w:eastAsia="Aptos"/>
          <w:sz w:val="21"/>
        </w:rPr>
        <w:t>Content freeze and final approval.</w:t>
      </w:r>
    </w:p>
    <w:p>
      <w:pPr>
        <w:pStyle w:val="ListNumber"/>
        <w:spacing w:after="40" w:line="252" w:lineRule="auto"/>
      </w:pPr>
      <w:r>
        <w:rPr>
          <w:rFonts w:ascii="Aptos" w:hAnsi="Aptos" w:eastAsia="Aptos"/>
          <w:sz w:val="21"/>
        </w:rPr>
        <w:t>Full staging backup.</w:t>
      </w:r>
    </w:p>
    <w:p>
      <w:pPr>
        <w:pStyle w:val="ListNumber"/>
        <w:spacing w:after="40" w:line="252" w:lineRule="auto"/>
      </w:pPr>
      <w:r>
        <w:rPr>
          <w:rFonts w:ascii="Aptos" w:hAnsi="Aptos" w:eastAsia="Aptos"/>
          <w:sz w:val="21"/>
        </w:rPr>
        <w:t>DNS and SSL validation.</w:t>
      </w:r>
    </w:p>
    <w:p>
      <w:pPr>
        <w:pStyle w:val="ListNumber"/>
        <w:spacing w:after="40" w:line="252" w:lineRule="auto"/>
      </w:pPr>
      <w:r>
        <w:rPr>
          <w:rFonts w:ascii="Aptos" w:hAnsi="Aptos" w:eastAsia="Aptos"/>
          <w:sz w:val="21"/>
        </w:rPr>
        <w:t>Production deployment and smoke test.</w:t>
      </w:r>
    </w:p>
    <w:p>
      <w:pPr>
        <w:pStyle w:val="ListNumber"/>
        <w:spacing w:after="40" w:line="252" w:lineRule="auto"/>
      </w:pPr>
      <w:r>
        <w:rPr>
          <w:rFonts w:ascii="Aptos" w:hAnsi="Aptos" w:eastAsia="Aptos"/>
          <w:sz w:val="21"/>
        </w:rPr>
        <w:t>Search engine indexing controls removed only after approval.</w:t>
      </w:r>
    </w:p>
    <w:p>
      <w:pPr>
        <w:pStyle w:val="ListNumber"/>
        <w:spacing w:after="40" w:line="252" w:lineRule="auto"/>
      </w:pPr>
      <w:r>
        <w:rPr>
          <w:rFonts w:ascii="Aptos" w:hAnsi="Aptos" w:eastAsia="Aptos"/>
          <w:sz w:val="21"/>
        </w:rPr>
        <w:t>Analytics verification.</w:t>
      </w:r>
    </w:p>
    <w:p>
      <w:pPr>
        <w:pStyle w:val="ListNumber"/>
        <w:spacing w:after="40" w:line="252" w:lineRule="auto"/>
      </w:pPr>
      <w:r>
        <w:rPr>
          <w:rFonts w:ascii="Aptos" w:hAnsi="Aptos" w:eastAsia="Aptos"/>
          <w:sz w:val="21"/>
        </w:rPr>
        <w:t>Post-launch monitoring for forms, errors and uptime.</w:t>
      </w:r>
    </w:p>
    <w:p>
      <w:pPr>
        <w:pStyle w:val="ListNumber"/>
        <w:spacing w:after="40" w:line="252" w:lineRule="auto"/>
      </w:pPr>
      <w:r>
        <w:rPr>
          <w:rFonts w:ascii="Aptos" w:hAnsi="Aptos" w:eastAsia="Aptos"/>
          <w:sz w:val="21"/>
        </w:rPr>
        <w:t>Rollback plan retained for the launch window.</w:t>
      </w:r>
    </w:p>
    <w:p>
      <w:pPr>
        <w:pStyle w:val="Heading2"/>
      </w:pPr>
      <w:r>
        <w:t>17.3 Maintenance</w:t>
      </w:r>
    </w:p>
    <w:p>
      <w:pPr>
        <w:pStyle w:val="ListBullet"/>
        <w:spacing w:after="40" w:line="252" w:lineRule="auto"/>
      </w:pPr>
      <w:r>
        <w:rPr>
          <w:rFonts w:ascii="Aptos" w:hAnsi="Aptos" w:eastAsia="Aptos"/>
          <w:sz w:val="21"/>
        </w:rPr>
        <w:t>Monthly dependency/CMS updates and security review.</w:t>
      </w:r>
    </w:p>
    <w:p>
      <w:pPr>
        <w:pStyle w:val="ListBullet"/>
        <w:spacing w:after="40" w:line="252" w:lineRule="auto"/>
      </w:pPr>
      <w:r>
        <w:rPr>
          <w:rFonts w:ascii="Aptos" w:hAnsi="Aptos" w:eastAsia="Aptos"/>
          <w:sz w:val="21"/>
        </w:rPr>
        <w:t>Daily automated backups and periodic restore tests.</w:t>
      </w:r>
    </w:p>
    <w:p>
      <w:pPr>
        <w:pStyle w:val="ListBullet"/>
        <w:spacing w:after="40" w:line="252" w:lineRule="auto"/>
      </w:pPr>
      <w:r>
        <w:rPr>
          <w:rFonts w:ascii="Aptos" w:hAnsi="Aptos" w:eastAsia="Aptos"/>
          <w:sz w:val="21"/>
        </w:rPr>
        <w:t>Quarterly accessibility and broken-link checks.</w:t>
      </w:r>
    </w:p>
    <w:p>
      <w:pPr>
        <w:pStyle w:val="ListBullet"/>
        <w:spacing w:after="40" w:line="252" w:lineRule="auto"/>
      </w:pPr>
      <w:r>
        <w:rPr>
          <w:rFonts w:ascii="Aptos" w:hAnsi="Aptos" w:eastAsia="Aptos"/>
          <w:sz w:val="21"/>
        </w:rPr>
        <w:t>Monitoring of uptime, forms and email delivery.</w:t>
      </w:r>
    </w:p>
    <w:p>
      <w:pPr>
        <w:pStyle w:val="ListBullet"/>
        <w:spacing w:after="40" w:line="252" w:lineRule="auto"/>
      </w:pPr>
      <w:r>
        <w:rPr>
          <w:rFonts w:ascii="Aptos" w:hAnsi="Aptos" w:eastAsia="Aptos"/>
          <w:sz w:val="21"/>
        </w:rPr>
        <w:t>Content review reminders for product and President information.</w:t>
      </w:r>
    </w:p>
    <w:p>
      <w:pPr>
        <w:pStyle w:val="Heading1"/>
      </w:pPr>
      <w:r>
        <w:t>18. Implementation Schedule</w:t>
      </w:r>
    </w:p>
    <w:tbl>
      <w:tblPr>
        <w:tblW w:type="auto" w:w="0"/>
        <w:jc w:val="center"/>
        <w:tblLayout w:type="fixed"/>
        <w:tblLook w:firstColumn="1" w:firstRow="1" w:lastColumn="0" w:lastRow="0" w:noHBand="0" w:noVBand="1" w:val="04A0"/>
      </w:tblPr>
      <w:tblGrid>
        <w:gridCol w:w="3419"/>
        <w:gridCol w:w="3419"/>
        <w:gridCol w:w="3419"/>
      </w:tblGrid>
      <w:tr>
        <w:trPr>
          <w:tblHeader w:val="true"/>
          <w:cantSplit/>
        </w:trPr>
        <w:tc>
          <w:tcPr>
            <w:tcW w:type="dxa" w:w="209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264B5D"/>
          </w:tcPr>
          <w:p>
            <w:pPr>
              <w:spacing w:after="0" w:line="240" w:lineRule="auto"/>
              <w:jc w:val="center"/>
            </w:pPr>
            <w:r>
              <w:rPr>
                <w:rFonts w:ascii="Aptos" w:hAnsi="Aptos" w:eastAsia="Aptos"/>
                <w:b/>
                <w:color w:val="FFFFFF"/>
                <w:sz w:val="17"/>
              </w:rPr>
              <w:t>Period</w:t>
            </w:r>
          </w:p>
        </w:tc>
        <w:tc>
          <w:tcPr>
            <w:tcW w:type="dxa" w:w="3515"/>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264B5D"/>
          </w:tcPr>
          <w:p>
            <w:pPr>
              <w:spacing w:after="0" w:line="240" w:lineRule="auto"/>
              <w:jc w:val="center"/>
            </w:pPr>
            <w:r>
              <w:rPr>
                <w:rFonts w:ascii="Aptos" w:hAnsi="Aptos" w:eastAsia="Aptos"/>
                <w:b/>
                <w:color w:val="FFFFFF"/>
                <w:sz w:val="17"/>
              </w:rPr>
              <w:t>Workstream</w:t>
            </w:r>
          </w:p>
        </w:tc>
        <w:tc>
          <w:tcPr>
            <w:tcW w:type="dxa" w:w="345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264B5D"/>
          </w:tcPr>
          <w:p>
            <w:pPr>
              <w:spacing w:after="0" w:line="240" w:lineRule="auto"/>
              <w:jc w:val="center"/>
            </w:pPr>
            <w:r>
              <w:rPr>
                <w:rFonts w:ascii="Aptos" w:hAnsi="Aptos" w:eastAsia="Aptos"/>
                <w:b/>
                <w:color w:val="FFFFFF"/>
                <w:sz w:val="17"/>
              </w:rPr>
              <w:t>Exit criterion</w:t>
            </w:r>
          </w:p>
        </w:tc>
      </w:tr>
      <w:tr>
        <w:trPr>
          <w:cantSplit/>
        </w:trPr>
        <w:tc>
          <w:tcPr>
            <w:tcW w:type="dxa" w:w="209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7"/>
              </w:rPr>
              <w:t>29 June–3 July 2026</w:t>
            </w:r>
          </w:p>
        </w:tc>
        <w:tc>
          <w:tcPr>
            <w:tcW w:type="dxa" w:w="3515"/>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7"/>
              </w:rPr>
              <w:t>Requirements confirmation, sitemap and content inventory</w:t>
            </w:r>
          </w:p>
        </w:tc>
        <w:tc>
          <w:tcPr>
            <w:tcW w:type="dxa" w:w="345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7"/>
              </w:rPr>
              <w:t>Signed scope and outstanding-input list</w:t>
            </w:r>
          </w:p>
        </w:tc>
      </w:tr>
      <w:tr>
        <w:trPr>
          <w:cantSplit/>
        </w:trPr>
        <w:tc>
          <w:tcPr>
            <w:tcW w:type="dxa" w:w="209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7"/>
              </w:rPr>
              <w:t>6–17 July</w:t>
            </w:r>
          </w:p>
        </w:tc>
        <w:tc>
          <w:tcPr>
            <w:tcW w:type="dxa" w:w="3515"/>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7"/>
              </w:rPr>
              <w:t>Wireframes and visual design</w:t>
            </w:r>
          </w:p>
        </w:tc>
        <w:tc>
          <w:tcPr>
            <w:tcW w:type="dxa" w:w="345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7"/>
              </w:rPr>
              <w:t>Approved desktop and mobile design system</w:t>
            </w:r>
          </w:p>
        </w:tc>
      </w:tr>
      <w:tr>
        <w:trPr>
          <w:cantSplit/>
        </w:trPr>
        <w:tc>
          <w:tcPr>
            <w:tcW w:type="dxa" w:w="209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7"/>
              </w:rPr>
              <w:t>13 July–7 August</w:t>
            </w:r>
          </w:p>
        </w:tc>
        <w:tc>
          <w:tcPr>
            <w:tcW w:type="dxa" w:w="3515"/>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7"/>
              </w:rPr>
              <w:t>Frontend, CMS and backend development</w:t>
            </w:r>
          </w:p>
        </w:tc>
        <w:tc>
          <w:tcPr>
            <w:tcW w:type="dxa" w:w="345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7"/>
              </w:rPr>
              <w:t>Core modules functional on staging</w:t>
            </w:r>
          </w:p>
        </w:tc>
      </w:tr>
      <w:tr>
        <w:trPr>
          <w:cantSplit/>
        </w:trPr>
        <w:tc>
          <w:tcPr>
            <w:tcW w:type="dxa" w:w="209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7"/>
              </w:rPr>
              <w:t>20 July–14 August</w:t>
            </w:r>
          </w:p>
        </w:tc>
        <w:tc>
          <w:tcPr>
            <w:tcW w:type="dxa" w:w="3515"/>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7"/>
              </w:rPr>
              <w:t>Content writing, translation and photography</w:t>
            </w:r>
          </w:p>
        </w:tc>
        <w:tc>
          <w:tcPr>
            <w:tcW w:type="dxa" w:w="345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7"/>
              </w:rPr>
              <w:t>Approved draft content in three languages</w:t>
            </w:r>
          </w:p>
        </w:tc>
      </w:tr>
      <w:tr>
        <w:trPr>
          <w:cantSplit/>
        </w:trPr>
        <w:tc>
          <w:tcPr>
            <w:tcW w:type="dxa" w:w="209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7"/>
              </w:rPr>
              <w:t>10–21 August</w:t>
            </w:r>
          </w:p>
        </w:tc>
        <w:tc>
          <w:tcPr>
            <w:tcW w:type="dxa" w:w="3515"/>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7"/>
              </w:rPr>
              <w:t>Product data entry and integrations</w:t>
            </w:r>
          </w:p>
        </w:tc>
        <w:tc>
          <w:tcPr>
            <w:tcW w:type="dxa" w:w="345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7"/>
              </w:rPr>
              <w:t>Products, forms, downloads and analytics configured</w:t>
            </w:r>
          </w:p>
        </w:tc>
      </w:tr>
      <w:tr>
        <w:trPr>
          <w:cantSplit/>
        </w:trPr>
        <w:tc>
          <w:tcPr>
            <w:tcW w:type="dxa" w:w="209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7"/>
              </w:rPr>
              <w:t>17–28 August</w:t>
            </w:r>
          </w:p>
        </w:tc>
        <w:tc>
          <w:tcPr>
            <w:tcW w:type="dxa" w:w="3515"/>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7"/>
              </w:rPr>
              <w:t>QA, security, performance and mobile testing</w:t>
            </w:r>
          </w:p>
        </w:tc>
        <w:tc>
          <w:tcPr>
            <w:tcW w:type="dxa" w:w="345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7"/>
              </w:rPr>
              <w:t>Critical defects closed</w:t>
            </w:r>
          </w:p>
        </w:tc>
      </w:tr>
      <w:tr>
        <w:trPr>
          <w:cantSplit/>
        </w:trPr>
        <w:tc>
          <w:tcPr>
            <w:tcW w:type="dxa" w:w="209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7"/>
              </w:rPr>
              <w:t>24–31 August</w:t>
            </w:r>
          </w:p>
        </w:tc>
        <w:tc>
          <w:tcPr>
            <w:tcW w:type="dxa" w:w="3515"/>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7"/>
              </w:rPr>
              <w:t>QOIM review and corrections</w:t>
            </w:r>
          </w:p>
        </w:tc>
        <w:tc>
          <w:tcPr>
            <w:tcW w:type="dxa" w:w="345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7"/>
              </w:rPr>
              <w:t>Formal pre-launch approval</w:t>
            </w:r>
          </w:p>
        </w:tc>
      </w:tr>
      <w:tr>
        <w:trPr>
          <w:cantSplit/>
        </w:trPr>
        <w:tc>
          <w:tcPr>
            <w:tcW w:type="dxa" w:w="209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7"/>
              </w:rPr>
              <w:t>1–4 September</w:t>
            </w:r>
          </w:p>
        </w:tc>
        <w:tc>
          <w:tcPr>
            <w:tcW w:type="dxa" w:w="3515"/>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7"/>
              </w:rPr>
              <w:t>Soft launch</w:t>
            </w:r>
          </w:p>
        </w:tc>
        <w:tc>
          <w:tcPr>
            <w:tcW w:type="dxa" w:w="345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7"/>
              </w:rPr>
              <w:t>Production environment stable and monitored</w:t>
            </w:r>
          </w:p>
        </w:tc>
      </w:tr>
      <w:tr>
        <w:trPr>
          <w:cantSplit/>
        </w:trPr>
        <w:tc>
          <w:tcPr>
            <w:tcW w:type="dxa" w:w="209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7"/>
              </w:rPr>
              <w:t>5–8 September</w:t>
            </w:r>
          </w:p>
        </w:tc>
        <w:tc>
          <w:tcPr>
            <w:tcW w:type="dxa" w:w="3515"/>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7"/>
              </w:rPr>
              <w:t>Final launch preparation</w:t>
            </w:r>
          </w:p>
        </w:tc>
        <w:tc>
          <w:tcPr>
            <w:tcW w:type="dxa" w:w="345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7"/>
              </w:rPr>
              <w:t>Launch checklist complete</w:t>
            </w:r>
          </w:p>
        </w:tc>
      </w:tr>
      <w:tr>
        <w:trPr>
          <w:cantSplit/>
        </w:trPr>
        <w:tc>
          <w:tcPr>
            <w:tcW w:type="dxa" w:w="209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7"/>
              </w:rPr>
              <w:t>9 September</w:t>
            </w:r>
          </w:p>
        </w:tc>
        <w:tc>
          <w:tcPr>
            <w:tcW w:type="dxa" w:w="3515"/>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7"/>
              </w:rPr>
              <w:t>Public launch</w:t>
            </w:r>
          </w:p>
        </w:tc>
        <w:tc>
          <w:tcPr>
            <w:tcW w:type="dxa" w:w="345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7"/>
              </w:rPr>
              <w:t>Website publicly available</w:t>
            </w:r>
          </w:p>
        </w:tc>
      </w:tr>
    </w:tbl>
    <w:tbl>
      <w:tblPr>
        <w:tblW w:type="auto" w:w="0"/>
        <w:jc w:val="center"/>
        <w:tblLayout w:type="fixed"/>
        <w:tblLook w:firstColumn="1" w:firstRow="1" w:lastColumn="0" w:lastRow="0" w:noHBand="0" w:noVBand="1" w:val="04A0"/>
      </w:tblPr>
      <w:tblGrid>
        <w:gridCol w:w="9524"/>
      </w:tblGrid>
      <w:tr>
        <w:trPr>
          <w:cantSplit/>
        </w:trPr>
        <w:tc>
          <w:tcPr>
            <w:tcW w:type="dxa" w:w="10256"/>
            <w:shd w:fill="FBE5E5"/>
            <w:tcBorders>
              <w:top w:val="single" w:sz="8" w:color="C53B3B"/>
              <w:left w:val="single" w:sz="8" w:color="C53B3B"/>
              <w:bottom w:val="single" w:sz="8" w:color="C53B3B"/>
              <w:right w:val="single" w:sz="8" w:color="C53B3B"/>
            </w:tcBorders>
            <w:tcMar>
              <w:top w:w="140" w:type="dxa"/>
              <w:start w:w="180" w:type="dxa"/>
              <w:bottom w:w="140" w:type="dxa"/>
              <w:end w:w="180" w:type="dxa"/>
            </w:tcMar>
          </w:tcPr>
          <w:p>
            <w:r>
              <w:rPr>
                <w:rFonts w:ascii="Aptos" w:hAnsi="Aptos" w:eastAsia="Aptos"/>
                <w:b/>
                <w:color w:val="C53B3B"/>
                <w:sz w:val="21"/>
              </w:rPr>
              <w:t>Schedule dependency</w:t>
            </w:r>
            <w:r>
              <w:rPr>
                <w:rFonts w:ascii="Aptos" w:hAnsi="Aptos" w:eastAsia="Aptos"/>
                <w:sz w:val="20"/>
              </w:rPr>
              <w:br/>
              <w:t>This timeline is feasible only if QOIM supplies approved legal details, contact information, product text, translations, photographs and the final President-page content on time.</w:t>
            </w:r>
          </w:p>
        </w:tc>
      </w:tr>
    </w:tbl>
    <w:p>
      <w:pPr>
        <w:spacing w:after="0"/>
      </w:pPr>
    </w:p>
    <w:p>
      <w:pPr>
        <w:pStyle w:val="Heading1"/>
      </w:pPr>
      <w:r>
        <w:t>19. Deliverables and Acceptance Criteria</w:t>
      </w:r>
    </w:p>
    <w:p>
      <w:pPr>
        <w:pStyle w:val="Heading2"/>
      </w:pPr>
      <w:r>
        <w:t>19.1 Contractor deliverables</w:t>
      </w:r>
    </w:p>
    <w:p>
      <w:pPr>
        <w:spacing w:after="40" w:line="252" w:lineRule="auto"/>
      </w:pPr>
      <w:r>
        <w:rPr>
          <w:rFonts w:ascii="Aptos" w:hAnsi="Aptos" w:eastAsia="Aptos"/>
          <w:i w:val="0"/>
          <w:sz w:val="21"/>
        </w:rPr>
        <w:t>1. Requirements and final sitemap.</w:t>
      </w:r>
    </w:p>
    <w:p>
      <w:pPr>
        <w:spacing w:after="40" w:line="252" w:lineRule="auto"/>
      </w:pPr>
      <w:r>
        <w:rPr>
          <w:rFonts w:ascii="Aptos" w:hAnsi="Aptos" w:eastAsia="Aptos"/>
          <w:i w:val="0"/>
          <w:sz w:val="21"/>
        </w:rPr>
        <w:t>2. Wireframes and desktop/mobile UI designs.</w:t>
      </w:r>
    </w:p>
    <w:p>
      <w:pPr>
        <w:spacing w:after="40" w:line="252" w:lineRule="auto"/>
      </w:pPr>
      <w:r>
        <w:rPr>
          <w:rFonts w:ascii="Aptos" w:hAnsi="Aptos" w:eastAsia="Aptos"/>
          <w:i w:val="0"/>
          <w:sz w:val="21"/>
        </w:rPr>
        <w:t>3. Design system and reusable components.</w:t>
      </w:r>
    </w:p>
    <w:p>
      <w:pPr>
        <w:spacing w:after="40" w:line="252" w:lineRule="auto"/>
      </w:pPr>
      <w:r>
        <w:rPr>
          <w:rFonts w:ascii="Aptos" w:hAnsi="Aptos" w:eastAsia="Aptos"/>
          <w:i w:val="0"/>
          <w:sz w:val="21"/>
        </w:rPr>
        <w:t>4. Responsive multilingual website and CMS.</w:t>
      </w:r>
    </w:p>
    <w:p>
      <w:pPr>
        <w:spacing w:after="40" w:line="252" w:lineRule="auto"/>
      </w:pPr>
      <w:r>
        <w:rPr>
          <w:rFonts w:ascii="Aptos" w:hAnsi="Aptos" w:eastAsia="Aptos"/>
          <w:i w:val="0"/>
          <w:sz w:val="21"/>
        </w:rPr>
        <w:t>5. Product catalogue, President page, news/media and downloads.</w:t>
      </w:r>
    </w:p>
    <w:p>
      <w:pPr>
        <w:spacing w:after="40" w:line="252" w:lineRule="auto"/>
      </w:pPr>
      <w:r>
        <w:rPr>
          <w:rFonts w:ascii="Aptos" w:hAnsi="Aptos" w:eastAsia="Aptos"/>
          <w:i w:val="0"/>
          <w:sz w:val="21"/>
        </w:rPr>
        <w:t>6. Contact and distributor forms.</w:t>
      </w:r>
    </w:p>
    <w:p>
      <w:pPr>
        <w:spacing w:after="40" w:line="252" w:lineRule="auto"/>
      </w:pPr>
      <w:r>
        <w:rPr>
          <w:rFonts w:ascii="Aptos" w:hAnsi="Aptos" w:eastAsia="Aptos"/>
          <w:i w:val="0"/>
          <w:sz w:val="21"/>
        </w:rPr>
        <w:t>7. SEO, analytics, accessibility and security configuration.</w:t>
      </w:r>
    </w:p>
    <w:p>
      <w:pPr>
        <w:spacing w:after="40" w:line="252" w:lineRule="auto"/>
      </w:pPr>
      <w:r>
        <w:rPr>
          <w:rFonts w:ascii="Aptos" w:hAnsi="Aptos" w:eastAsia="Aptos"/>
          <w:i w:val="0"/>
          <w:sz w:val="21"/>
        </w:rPr>
        <w:t>8. Staging and production deployment.</w:t>
      </w:r>
    </w:p>
    <w:p>
      <w:pPr>
        <w:spacing w:after="40" w:line="252" w:lineRule="auto"/>
      </w:pPr>
      <w:r>
        <w:rPr>
          <w:rFonts w:ascii="Aptos" w:hAnsi="Aptos" w:eastAsia="Aptos"/>
          <w:i w:val="0"/>
          <w:sz w:val="21"/>
        </w:rPr>
        <w:t>9. Source code and repository access.</w:t>
      </w:r>
    </w:p>
    <w:p>
      <w:pPr>
        <w:spacing w:after="40" w:line="252" w:lineRule="auto"/>
      </w:pPr>
      <w:r>
        <w:rPr>
          <w:rFonts w:ascii="Aptos" w:hAnsi="Aptos" w:eastAsia="Aptos"/>
          <w:i w:val="0"/>
          <w:sz w:val="21"/>
        </w:rPr>
        <w:t>10. Administrator training.</w:t>
      </w:r>
    </w:p>
    <w:p>
      <w:pPr>
        <w:spacing w:after="40" w:line="252" w:lineRule="auto"/>
      </w:pPr>
      <w:r>
        <w:rPr>
          <w:rFonts w:ascii="Aptos" w:hAnsi="Aptos" w:eastAsia="Aptos"/>
          <w:i w:val="0"/>
          <w:sz w:val="21"/>
        </w:rPr>
        <w:t>11. Technical, deployment, backup and recovery documentation.</w:t>
      </w:r>
    </w:p>
    <w:p>
      <w:pPr>
        <w:spacing w:after="40" w:line="252" w:lineRule="auto"/>
      </w:pPr>
      <w:r>
        <w:rPr>
          <w:rFonts w:ascii="Aptos" w:hAnsi="Aptos" w:eastAsia="Aptos"/>
          <w:i w:val="0"/>
          <w:sz w:val="21"/>
        </w:rPr>
        <w:t>12. Warranty and maintenance terms.</w:t>
      </w:r>
    </w:p>
    <w:p>
      <w:pPr>
        <w:pStyle w:val="Heading2"/>
      </w:pPr>
      <w:r>
        <w:t>19.2 Acceptance criteria</w:t>
      </w:r>
    </w:p>
    <w:tbl>
      <w:tblPr>
        <w:tblW w:type="auto" w:w="0"/>
        <w:jc w:val="center"/>
        <w:tblLayout w:type="fixed"/>
        <w:tblLook w:firstColumn="1" w:firstRow="1" w:lastColumn="0" w:lastRow="0" w:noHBand="0" w:noVBand="1" w:val="04A0"/>
      </w:tblPr>
      <w:tblGrid>
        <w:gridCol w:w="3419"/>
        <w:gridCol w:w="3419"/>
        <w:gridCol w:w="3419"/>
      </w:tblGrid>
      <w:tr>
        <w:trPr>
          <w:tblHeader w:val="true"/>
          <w:cantSplit/>
        </w:trPr>
        <w:tc>
          <w:tcPr>
            <w:tcW w:type="dxa" w:w="187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264B5D"/>
          </w:tcPr>
          <w:p>
            <w:pPr>
              <w:spacing w:after="0" w:line="240" w:lineRule="auto"/>
              <w:jc w:val="center"/>
            </w:pPr>
            <w:r>
              <w:rPr>
                <w:rFonts w:ascii="Aptos" w:hAnsi="Aptos" w:eastAsia="Aptos"/>
                <w:b/>
                <w:color w:val="FFFFFF"/>
                <w:sz w:val="16"/>
              </w:rPr>
              <w:t>Area</w:t>
            </w:r>
          </w:p>
        </w:tc>
        <w:tc>
          <w:tcPr>
            <w:tcW w:type="dxa" w:w="4819"/>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264B5D"/>
          </w:tcPr>
          <w:p>
            <w:pPr>
              <w:spacing w:after="0" w:line="240" w:lineRule="auto"/>
              <w:jc w:val="center"/>
            </w:pPr>
            <w:r>
              <w:rPr>
                <w:rFonts w:ascii="Aptos" w:hAnsi="Aptos" w:eastAsia="Aptos"/>
                <w:b/>
                <w:color w:val="FFFFFF"/>
                <w:sz w:val="16"/>
              </w:rPr>
              <w:t>Acceptance requirement</w:t>
            </w:r>
          </w:p>
        </w:tc>
        <w:tc>
          <w:tcPr>
            <w:tcW w:type="dxa" w:w="238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264B5D"/>
          </w:tcPr>
          <w:p>
            <w:pPr>
              <w:spacing w:after="0" w:line="240" w:lineRule="auto"/>
              <w:jc w:val="center"/>
            </w:pPr>
            <w:r>
              <w:rPr>
                <w:rFonts w:ascii="Aptos" w:hAnsi="Aptos" w:eastAsia="Aptos"/>
                <w:b/>
                <w:color w:val="FFFFFF"/>
                <w:sz w:val="16"/>
              </w:rPr>
              <w:t>Evidence</w:t>
            </w:r>
          </w:p>
        </w:tc>
      </w:tr>
      <w:tr>
        <w:trPr>
          <w:cantSplit/>
        </w:trPr>
        <w:tc>
          <w:tcPr>
            <w:tcW w:type="dxa" w:w="187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6"/>
              </w:rPr>
              <w:t>Content</w:t>
            </w:r>
          </w:p>
        </w:tc>
        <w:tc>
          <w:tcPr>
            <w:tcW w:type="dxa" w:w="4819"/>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6"/>
              </w:rPr>
              <w:t>All approved pages and products available in three languages</w:t>
            </w:r>
          </w:p>
        </w:tc>
        <w:tc>
          <w:tcPr>
            <w:tcW w:type="dxa" w:w="238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6"/>
              </w:rPr>
              <w:t>Signed content checklist</w:t>
            </w:r>
          </w:p>
        </w:tc>
      </w:tr>
      <w:tr>
        <w:trPr>
          <w:cantSplit/>
        </w:trPr>
        <w:tc>
          <w:tcPr>
            <w:tcW w:type="dxa" w:w="187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6"/>
              </w:rPr>
              <w:t>Responsive design</w:t>
            </w:r>
          </w:p>
        </w:tc>
        <w:tc>
          <w:tcPr>
            <w:tcW w:type="dxa" w:w="4819"/>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6"/>
              </w:rPr>
              <w:t>No clipping or unusable controls on target viewports</w:t>
            </w:r>
          </w:p>
        </w:tc>
        <w:tc>
          <w:tcPr>
            <w:tcW w:type="dxa" w:w="238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6"/>
              </w:rPr>
              <w:t>Device/browser QA report</w:t>
            </w:r>
          </w:p>
        </w:tc>
      </w:tr>
      <w:tr>
        <w:trPr>
          <w:cantSplit/>
        </w:trPr>
        <w:tc>
          <w:tcPr>
            <w:tcW w:type="dxa" w:w="187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6"/>
              </w:rPr>
              <w:t>CMS</w:t>
            </w:r>
          </w:p>
        </w:tc>
        <w:tc>
          <w:tcPr>
            <w:tcW w:type="dxa" w:w="4819"/>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6"/>
              </w:rPr>
              <w:t>Authorised users can edit and publish without developer assistance</w:t>
            </w:r>
          </w:p>
        </w:tc>
        <w:tc>
          <w:tcPr>
            <w:tcW w:type="dxa" w:w="238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6"/>
              </w:rPr>
              <w:t>Client demonstration</w:t>
            </w:r>
          </w:p>
        </w:tc>
      </w:tr>
      <w:tr>
        <w:trPr>
          <w:cantSplit/>
        </w:trPr>
        <w:tc>
          <w:tcPr>
            <w:tcW w:type="dxa" w:w="187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6"/>
              </w:rPr>
              <w:t>Forms</w:t>
            </w:r>
          </w:p>
        </w:tc>
        <w:tc>
          <w:tcPr>
            <w:tcW w:type="dxa" w:w="4819"/>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6"/>
              </w:rPr>
              <w:t>Notifications, storage, validation and anti-spam work</w:t>
            </w:r>
          </w:p>
        </w:tc>
        <w:tc>
          <w:tcPr>
            <w:tcW w:type="dxa" w:w="238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6"/>
              </w:rPr>
              <w:t>Test submissions</w:t>
            </w:r>
          </w:p>
        </w:tc>
      </w:tr>
      <w:tr>
        <w:trPr>
          <w:cantSplit/>
        </w:trPr>
        <w:tc>
          <w:tcPr>
            <w:tcW w:type="dxa" w:w="187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6"/>
              </w:rPr>
              <w:t>President page</w:t>
            </w:r>
          </w:p>
        </w:tc>
        <w:tc>
          <w:tcPr>
            <w:tcW w:type="dxa" w:w="4819"/>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6"/>
              </w:rPr>
              <w:t>Official sources, disclaimer and external link included</w:t>
            </w:r>
          </w:p>
        </w:tc>
        <w:tc>
          <w:tcPr>
            <w:tcW w:type="dxa" w:w="238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6"/>
              </w:rPr>
              <w:t>Content approval</w:t>
            </w:r>
          </w:p>
        </w:tc>
      </w:tr>
      <w:tr>
        <w:trPr>
          <w:cantSplit/>
        </w:trPr>
        <w:tc>
          <w:tcPr>
            <w:tcW w:type="dxa" w:w="187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6"/>
              </w:rPr>
              <w:t>Performance</w:t>
            </w:r>
          </w:p>
        </w:tc>
        <w:tc>
          <w:tcPr>
            <w:tcW w:type="dxa" w:w="4819"/>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6"/>
              </w:rPr>
              <w:t>Targets substantially met or exceptions documented</w:t>
            </w:r>
          </w:p>
        </w:tc>
        <w:tc>
          <w:tcPr>
            <w:tcW w:type="dxa" w:w="238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6"/>
              </w:rPr>
              <w:t>Lighthouse and field-readiness report</w:t>
            </w:r>
          </w:p>
        </w:tc>
      </w:tr>
      <w:tr>
        <w:trPr>
          <w:cantSplit/>
        </w:trPr>
        <w:tc>
          <w:tcPr>
            <w:tcW w:type="dxa" w:w="187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6"/>
              </w:rPr>
              <w:t>Accessibility</w:t>
            </w:r>
          </w:p>
        </w:tc>
        <w:tc>
          <w:tcPr>
            <w:tcW w:type="dxa" w:w="4819"/>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6"/>
              </w:rPr>
              <w:t>WCAG 2.2 AA issues addressed or documented</w:t>
            </w:r>
          </w:p>
        </w:tc>
        <w:tc>
          <w:tcPr>
            <w:tcW w:type="dxa" w:w="238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6"/>
              </w:rPr>
              <w:t>Accessibility checklist/report</w:t>
            </w:r>
          </w:p>
        </w:tc>
      </w:tr>
      <w:tr>
        <w:trPr>
          <w:cantSplit/>
        </w:trPr>
        <w:tc>
          <w:tcPr>
            <w:tcW w:type="dxa" w:w="187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6"/>
              </w:rPr>
              <w:t>Security</w:t>
            </w:r>
          </w:p>
        </w:tc>
        <w:tc>
          <w:tcPr>
            <w:tcW w:type="dxa" w:w="4819"/>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6"/>
              </w:rPr>
              <w:t>Critical/high findings closed; secure configuration applied</w:t>
            </w:r>
          </w:p>
        </w:tc>
        <w:tc>
          <w:tcPr>
            <w:tcW w:type="dxa" w:w="238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6"/>
              </w:rPr>
              <w:t>Security test summary</w:t>
            </w:r>
          </w:p>
        </w:tc>
      </w:tr>
      <w:tr>
        <w:trPr>
          <w:cantSplit/>
        </w:trPr>
        <w:tc>
          <w:tcPr>
            <w:tcW w:type="dxa" w:w="187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6"/>
              </w:rPr>
              <w:t>Operations</w:t>
            </w:r>
          </w:p>
        </w:tc>
        <w:tc>
          <w:tcPr>
            <w:tcW w:type="dxa" w:w="4819"/>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6"/>
              </w:rPr>
              <w:t>Backups, monitoring and recovery documented and tested</w:t>
            </w:r>
          </w:p>
        </w:tc>
        <w:tc>
          <w:tcPr>
            <w:tcW w:type="dxa" w:w="238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6"/>
              </w:rPr>
              <w:t>Restore test and runbook</w:t>
            </w:r>
          </w:p>
        </w:tc>
      </w:tr>
      <w:tr>
        <w:trPr>
          <w:cantSplit/>
        </w:trPr>
        <w:tc>
          <w:tcPr>
            <w:tcW w:type="dxa" w:w="187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6"/>
              </w:rPr>
              <w:t>Ownership</w:t>
            </w:r>
          </w:p>
        </w:tc>
        <w:tc>
          <w:tcPr>
            <w:tcW w:type="dxa" w:w="4819"/>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6"/>
              </w:rPr>
              <w:t>QOIM receives source, credentials and administrative control</w:t>
            </w:r>
          </w:p>
        </w:tc>
        <w:tc>
          <w:tcPr>
            <w:tcW w:type="dxa" w:w="2381"/>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6"/>
              </w:rPr>
              <w:t>Handover certificate</w:t>
            </w:r>
          </w:p>
        </w:tc>
      </w:tr>
    </w:tbl>
    <w:p>
      <w:pPr>
        <w:pStyle w:val="Heading1"/>
      </w:pPr>
      <w:r>
        <w:t>Appendix A. Required Content Inputs from QOIM</w:t>
      </w:r>
    </w:p>
    <w:tbl>
      <w:tblPr>
        <w:tblW w:type="auto" w:w="0"/>
        <w:jc w:val="center"/>
        <w:tblLayout w:type="fixed"/>
        <w:tblLook w:firstColumn="1" w:firstRow="1" w:lastColumn="0" w:lastRow="0" w:noHBand="0" w:noVBand="1" w:val="04A0"/>
      </w:tblPr>
      <w:tblGrid>
        <w:gridCol w:w="3419"/>
        <w:gridCol w:w="3419"/>
        <w:gridCol w:w="3419"/>
      </w:tblGrid>
      <w:tr>
        <w:trPr>
          <w:tblHeader w:val="true"/>
          <w:cantSplit/>
        </w:trPr>
        <w:tc>
          <w:tcPr>
            <w:tcW w:type="dxa" w:w="4535"/>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264B5D"/>
          </w:tcPr>
          <w:p>
            <w:pPr>
              <w:spacing w:after="0" w:line="240" w:lineRule="auto"/>
              <w:jc w:val="center"/>
            </w:pPr>
            <w:r>
              <w:rPr>
                <w:rFonts w:ascii="Aptos" w:hAnsi="Aptos" w:eastAsia="Aptos"/>
                <w:b/>
                <w:color w:val="FFFFFF"/>
                <w:sz w:val="16"/>
              </w:rPr>
              <w:t>Input</w:t>
            </w:r>
          </w:p>
        </w:tc>
        <w:tc>
          <w:tcPr>
            <w:tcW w:type="dxa" w:w="226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264B5D"/>
          </w:tcPr>
          <w:p>
            <w:pPr>
              <w:spacing w:after="0" w:line="240" w:lineRule="auto"/>
              <w:jc w:val="center"/>
            </w:pPr>
            <w:r>
              <w:rPr>
                <w:rFonts w:ascii="Aptos" w:hAnsi="Aptos" w:eastAsia="Aptos"/>
                <w:b/>
                <w:color w:val="FFFFFF"/>
                <w:sz w:val="16"/>
              </w:rPr>
              <w:t>Status</w:t>
            </w:r>
          </w:p>
        </w:tc>
        <w:tc>
          <w:tcPr>
            <w:tcW w:type="dxa" w:w="226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264B5D"/>
          </w:tcPr>
          <w:p>
            <w:pPr>
              <w:spacing w:after="0" w:line="240" w:lineRule="auto"/>
              <w:jc w:val="center"/>
            </w:pPr>
            <w:r>
              <w:rPr>
                <w:rFonts w:ascii="Aptos" w:hAnsi="Aptos" w:eastAsia="Aptos"/>
                <w:b/>
                <w:color w:val="FFFFFF"/>
                <w:sz w:val="16"/>
              </w:rPr>
              <w:t>Required before</w:t>
            </w:r>
          </w:p>
        </w:tc>
      </w:tr>
      <w:tr>
        <w:trPr>
          <w:cantSplit/>
        </w:trPr>
        <w:tc>
          <w:tcPr>
            <w:tcW w:type="dxa" w:w="4535"/>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6"/>
              </w:rPr>
              <w:t>Registered legal name format and registration details</w:t>
            </w:r>
          </w:p>
        </w:tc>
        <w:tc>
          <w:tcPr>
            <w:tcW w:type="dxa" w:w="226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6"/>
              </w:rPr>
              <w:t>Confirmed: QOIM; remaining details pending</w:t>
            </w:r>
          </w:p>
        </w:tc>
        <w:tc>
          <w:tcPr>
            <w:tcW w:type="dxa" w:w="226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6"/>
              </w:rPr>
              <w:t>Legal pages and launch</w:t>
            </w:r>
          </w:p>
        </w:tc>
      </w:tr>
      <w:tr>
        <w:trPr>
          <w:cantSplit/>
        </w:trPr>
        <w:tc>
          <w:tcPr>
            <w:tcW w:type="dxa" w:w="4535"/>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6"/>
              </w:rPr>
              <w:t>Registered address, TIN and official contacts</w:t>
            </w:r>
          </w:p>
        </w:tc>
        <w:tc>
          <w:tcPr>
            <w:tcW w:type="dxa" w:w="226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6"/>
              </w:rPr>
              <w:t>Pending</w:t>
            </w:r>
          </w:p>
        </w:tc>
        <w:tc>
          <w:tcPr>
            <w:tcW w:type="dxa" w:w="226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6"/>
              </w:rPr>
              <w:t>Contact/footer build</w:t>
            </w:r>
          </w:p>
        </w:tc>
      </w:tr>
      <w:tr>
        <w:trPr>
          <w:cantSplit/>
        </w:trPr>
        <w:tc>
          <w:tcPr>
            <w:tcW w:type="dxa" w:w="4535"/>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6"/>
              </w:rPr>
              <w:t>Approved logo files in vector and web formats</w:t>
            </w:r>
          </w:p>
        </w:tc>
        <w:tc>
          <w:tcPr>
            <w:tcW w:type="dxa" w:w="226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6"/>
              </w:rPr>
              <w:t>Partially available</w:t>
            </w:r>
          </w:p>
        </w:tc>
        <w:tc>
          <w:tcPr>
            <w:tcW w:type="dxa" w:w="226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6"/>
              </w:rPr>
              <w:t>Final visual design</w:t>
            </w:r>
          </w:p>
        </w:tc>
      </w:tr>
      <w:tr>
        <w:trPr>
          <w:cantSplit/>
        </w:trPr>
        <w:tc>
          <w:tcPr>
            <w:tcW w:type="dxa" w:w="4535"/>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6"/>
              </w:rPr>
              <w:t>Approved product names in three languages</w:t>
            </w:r>
          </w:p>
        </w:tc>
        <w:tc>
          <w:tcPr>
            <w:tcW w:type="dxa" w:w="226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6"/>
              </w:rPr>
              <w:t>Pending final compliance review</w:t>
            </w:r>
          </w:p>
        </w:tc>
        <w:tc>
          <w:tcPr>
            <w:tcW w:type="dxa" w:w="226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6"/>
              </w:rPr>
              <w:t>Product content entry</w:t>
            </w:r>
          </w:p>
        </w:tc>
      </w:tr>
      <w:tr>
        <w:trPr>
          <w:cantSplit/>
        </w:trPr>
        <w:tc>
          <w:tcPr>
            <w:tcW w:type="dxa" w:w="4535"/>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6"/>
              </w:rPr>
              <w:t>Ingredients, nutrition, shelf life and storage</w:t>
            </w:r>
          </w:p>
        </w:tc>
        <w:tc>
          <w:tcPr>
            <w:tcW w:type="dxa" w:w="226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6"/>
              </w:rPr>
              <w:t>Pending production/technical approval</w:t>
            </w:r>
          </w:p>
        </w:tc>
        <w:tc>
          <w:tcPr>
            <w:tcW w:type="dxa" w:w="226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6"/>
              </w:rPr>
              <w:t>Product publication</w:t>
            </w:r>
          </w:p>
        </w:tc>
      </w:tr>
      <w:tr>
        <w:trPr>
          <w:cantSplit/>
        </w:trPr>
        <w:tc>
          <w:tcPr>
            <w:tcW w:type="dxa" w:w="4535"/>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6"/>
              </w:rPr>
              <w:t>Final package net quantities and label artwork</w:t>
            </w:r>
          </w:p>
        </w:tc>
        <w:tc>
          <w:tcPr>
            <w:tcW w:type="dxa" w:w="226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6"/>
              </w:rPr>
              <w:t>Pending</w:t>
            </w:r>
          </w:p>
        </w:tc>
        <w:tc>
          <w:tcPr>
            <w:tcW w:type="dxa" w:w="226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6"/>
              </w:rPr>
              <w:t>Product photography and pages</w:t>
            </w:r>
          </w:p>
        </w:tc>
      </w:tr>
      <w:tr>
        <w:trPr>
          <w:cantSplit/>
        </w:trPr>
        <w:tc>
          <w:tcPr>
            <w:tcW w:type="dxa" w:w="4535"/>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6"/>
              </w:rPr>
              <w:t>Official President portrait/content approval</w:t>
            </w:r>
          </w:p>
        </w:tc>
        <w:tc>
          <w:tcPr>
            <w:tcW w:type="dxa" w:w="226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6"/>
              </w:rPr>
              <w:t>Pending official-source selection</w:t>
            </w:r>
          </w:p>
        </w:tc>
        <w:tc>
          <w:tcPr>
            <w:tcW w:type="dxa" w:w="226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6"/>
              </w:rPr>
              <w:t>President page publication</w:t>
            </w:r>
          </w:p>
        </w:tc>
      </w:tr>
      <w:tr>
        <w:trPr>
          <w:cantSplit/>
        </w:trPr>
        <w:tc>
          <w:tcPr>
            <w:tcW w:type="dxa" w:w="4535"/>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6"/>
              </w:rPr>
              <w:t>Factory and staff photography</w:t>
            </w:r>
          </w:p>
        </w:tc>
        <w:tc>
          <w:tcPr>
            <w:tcW w:type="dxa" w:w="226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6"/>
              </w:rPr>
              <w:t>Pending facility readiness</w:t>
            </w:r>
          </w:p>
        </w:tc>
        <w:tc>
          <w:tcPr>
            <w:tcW w:type="dxa" w:w="226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6"/>
              </w:rPr>
              <w:t>Final content</w:t>
            </w:r>
          </w:p>
        </w:tc>
      </w:tr>
      <w:tr>
        <w:trPr>
          <w:cantSplit/>
        </w:trPr>
        <w:tc>
          <w:tcPr>
            <w:tcW w:type="dxa" w:w="4535"/>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6"/>
              </w:rPr>
              <w:t>Certificates and public laboratory documents</w:t>
            </w:r>
          </w:p>
        </w:tc>
        <w:tc>
          <w:tcPr>
            <w:tcW w:type="dxa" w:w="226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6"/>
              </w:rPr>
              <w:t>Pending issuance</w:t>
            </w:r>
          </w:p>
        </w:tc>
        <w:tc>
          <w:tcPr>
            <w:tcW w:type="dxa" w:w="226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6"/>
              </w:rPr>
              <w:t>Downloads/compliance sections</w:t>
            </w:r>
          </w:p>
        </w:tc>
      </w:tr>
      <w:tr>
        <w:trPr>
          <w:cantSplit/>
        </w:trPr>
        <w:tc>
          <w:tcPr>
            <w:tcW w:type="dxa" w:w="4535"/>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6"/>
              </w:rPr>
              <w:t>Telephone, email, WhatsApp, working hours and map pin</w:t>
            </w:r>
          </w:p>
        </w:tc>
        <w:tc>
          <w:tcPr>
            <w:tcW w:type="dxa" w:w="226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6"/>
              </w:rPr>
              <w:t>Pending</w:t>
            </w:r>
          </w:p>
        </w:tc>
        <w:tc>
          <w:tcPr>
            <w:tcW w:type="dxa" w:w="226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6"/>
              </w:rPr>
              <w:t>Contact integration</w:t>
            </w:r>
          </w:p>
        </w:tc>
      </w:tr>
      <w:tr>
        <w:trPr>
          <w:cantSplit/>
        </w:trPr>
        <w:tc>
          <w:tcPr>
            <w:tcW w:type="dxa" w:w="4535"/>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6"/>
              </w:rPr>
              <w:t>Social media accounts</w:t>
            </w:r>
          </w:p>
        </w:tc>
        <w:tc>
          <w:tcPr>
            <w:tcW w:type="dxa" w:w="226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6"/>
              </w:rPr>
              <w:t>Pending</w:t>
            </w:r>
          </w:p>
        </w:tc>
        <w:tc>
          <w:tcPr>
            <w:tcW w:type="dxa" w:w="226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6"/>
              </w:rPr>
              <w:t>Header/footer and sharing</w:t>
            </w:r>
          </w:p>
        </w:tc>
      </w:tr>
      <w:tr>
        <w:trPr>
          <w:cantSplit/>
        </w:trPr>
        <w:tc>
          <w:tcPr>
            <w:tcW w:type="dxa" w:w="4535"/>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6"/>
              </w:rPr>
              <w:t>Domain and hosting ownership decision</w:t>
            </w:r>
          </w:p>
        </w:tc>
        <w:tc>
          <w:tcPr>
            <w:tcW w:type="dxa" w:w="226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6"/>
              </w:rPr>
              <w:t>Pending</w:t>
            </w:r>
          </w:p>
        </w:tc>
        <w:tc>
          <w:tcPr>
            <w:tcW w:type="dxa" w:w="226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6"/>
              </w:rPr>
              <w:t>Deployment</w:t>
            </w:r>
          </w:p>
        </w:tc>
      </w:tr>
    </w:tbl>
    <w:p>
      <w:pPr>
        <w:pStyle w:val="Heading1"/>
      </w:pPr>
      <w:r>
        <w:t>Appendix B. References</w:t>
      </w:r>
    </w:p>
    <w:p>
      <w:pPr>
        <w:spacing w:after="60" w:line="252" w:lineRule="auto"/>
      </w:pPr>
      <w:r>
        <w:rPr>
          <w:rFonts w:ascii="Aptos" w:hAnsi="Aptos" w:eastAsia="Aptos"/>
          <w:b/>
          <w:color w:val="1F5A3A"/>
          <w:sz w:val="19"/>
        </w:rPr>
        <w:t xml:space="preserve">[1] Official website of the President of the Republic of Tajikistan: </w:t>
      </w:r>
      <w:hyperlink r:id="rId16">
        <w:r>
          <w:rPr>
            <w:color w:val="0563C1"/>
            <w:u w:val="single"/>
          </w:rPr>
          <w:t>https://www.president.tj/</w:t>
        </w:r>
      </w:hyperlink>
    </w:p>
    <w:p>
      <w:pPr>
        <w:spacing w:after="60" w:line="252" w:lineRule="auto"/>
      </w:pPr>
      <w:r>
        <w:rPr>
          <w:rFonts w:ascii="Aptos" w:hAnsi="Aptos" w:eastAsia="Aptos"/>
          <w:b/>
          <w:color w:val="1F5A3A"/>
          <w:sz w:val="19"/>
        </w:rPr>
        <w:t xml:space="preserve">[2] W3C, Web Content Accessibility Guidelines (WCAG) 2.2: </w:t>
      </w:r>
      <w:hyperlink r:id="rId17">
        <w:r>
          <w:rPr>
            <w:color w:val="0563C1"/>
            <w:u w:val="single"/>
          </w:rPr>
          <w:t>https://www.w3.org/TR/WCAG22/</w:t>
        </w:r>
      </w:hyperlink>
    </w:p>
    <w:p>
      <w:pPr>
        <w:spacing w:after="60" w:line="252" w:lineRule="auto"/>
      </w:pPr>
      <w:r>
        <w:rPr>
          <w:rFonts w:ascii="Aptos" w:hAnsi="Aptos" w:eastAsia="Aptos"/>
          <w:b/>
          <w:color w:val="1F5A3A"/>
          <w:sz w:val="19"/>
        </w:rPr>
        <w:t xml:space="preserve">[3] web.dev, Web Vitals and Core Web Vitals thresholds: </w:t>
      </w:r>
      <w:hyperlink r:id="rId18">
        <w:r>
          <w:rPr>
            <w:color w:val="0563C1"/>
            <w:u w:val="single"/>
          </w:rPr>
          <w:t>https://web.dev/articles/vitals</w:t>
        </w:r>
      </w:hyperlink>
    </w:p>
    <w:p>
      <w:pPr>
        <w:spacing w:after="60" w:line="252" w:lineRule="auto"/>
      </w:pPr>
      <w:r>
        <w:rPr>
          <w:rFonts w:ascii="Aptos" w:hAnsi="Aptos" w:eastAsia="Aptos"/>
          <w:b/>
          <w:color w:val="1F5A3A"/>
          <w:sz w:val="19"/>
        </w:rPr>
        <w:t xml:space="preserve">[4] OWASP Application Security Verification Standard: </w:t>
      </w:r>
      <w:hyperlink r:id="rId19">
        <w:r>
          <w:rPr>
            <w:color w:val="0563C1"/>
            <w:u w:val="single"/>
          </w:rPr>
          <w:t>https://owasp.org/www-project-application-security-verification-standard/</w:t>
        </w:r>
      </w:hyperlink>
    </w:p>
    <w:p>
      <w:pPr>
        <w:spacing w:after="60" w:line="252" w:lineRule="auto"/>
      </w:pPr>
      <w:r>
        <w:rPr>
          <w:rFonts w:ascii="Aptos" w:hAnsi="Aptos" w:eastAsia="Aptos"/>
          <w:b/>
          <w:color w:val="1F5A3A"/>
          <w:sz w:val="19"/>
        </w:rPr>
        <w:t xml:space="preserve">[5] Schema.org types and vocabulary: </w:t>
      </w:r>
      <w:hyperlink r:id="rId20">
        <w:r>
          <w:rPr>
            <w:color w:val="0563C1"/>
            <w:u w:val="single"/>
          </w:rPr>
          <w:t>https://schema.org/</w:t>
        </w:r>
      </w:hyperlink>
    </w:p>
    <w:p>
      <w:pPr>
        <w:spacing w:after="120" w:line="252" w:lineRule="auto"/>
      </w:pPr>
      <w:r>
        <w:rPr>
          <w:rFonts w:ascii="Aptos" w:hAnsi="Aptos" w:eastAsia="Aptos"/>
          <w:i/>
          <w:sz w:val="21"/>
        </w:rPr>
        <w:t>All time-sensitive official information, particularly the identity and title of the President and any certificates or product claims, must be re-verified immediately before publication.</w:t>
      </w:r>
    </w:p>
    <w:p>
      <w:pPr>
        <w:pStyle w:val="Heading1"/>
      </w:pPr>
      <w:r>
        <w:t>Approval</w:t>
      </w:r>
    </w:p>
    <w:tbl>
      <w:tblPr>
        <w:tblW w:type="auto" w:w="0"/>
        <w:jc w:val="center"/>
        <w:tblLayout w:type="fixed"/>
        <w:tblLook w:firstColumn="1" w:firstRow="1" w:lastColumn="0" w:lastRow="0" w:noHBand="0" w:noVBand="1" w:val="04A0"/>
      </w:tblPr>
      <w:tblGrid>
        <w:gridCol w:w="3419"/>
        <w:gridCol w:w="3419"/>
        <w:gridCol w:w="3419"/>
      </w:tblGrid>
      <w:tr>
        <w:trPr>
          <w:tblHeader w:val="true"/>
          <w:cantSplit/>
        </w:trPr>
        <w:tc>
          <w:tcPr>
            <w:tcW w:type="dxa" w:w="2835"/>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264B5D"/>
          </w:tcPr>
          <w:p>
            <w:pPr>
              <w:spacing w:after="0" w:line="240" w:lineRule="auto"/>
              <w:jc w:val="center"/>
            </w:pPr>
            <w:r>
              <w:rPr>
                <w:rFonts w:ascii="Aptos" w:hAnsi="Aptos" w:eastAsia="Aptos"/>
                <w:b/>
                <w:color w:val="FFFFFF"/>
                <w:sz w:val="18"/>
              </w:rPr>
              <w:t>Role</w:t>
            </w:r>
          </w:p>
        </w:tc>
        <w:tc>
          <w:tcPr>
            <w:tcW w:type="dxa" w:w="3969"/>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264B5D"/>
          </w:tcPr>
          <w:p>
            <w:pPr>
              <w:spacing w:after="0" w:line="240" w:lineRule="auto"/>
              <w:jc w:val="center"/>
            </w:pPr>
            <w:r>
              <w:rPr>
                <w:rFonts w:ascii="Aptos" w:hAnsi="Aptos" w:eastAsia="Aptos"/>
                <w:b/>
                <w:color w:val="FFFFFF"/>
                <w:sz w:val="18"/>
              </w:rPr>
              <w:t>Name / signature</w:t>
            </w:r>
          </w:p>
        </w:tc>
        <w:tc>
          <w:tcPr>
            <w:tcW w:type="dxa" w:w="226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264B5D"/>
          </w:tcPr>
          <w:p>
            <w:pPr>
              <w:spacing w:after="0" w:line="240" w:lineRule="auto"/>
              <w:jc w:val="center"/>
            </w:pPr>
            <w:r>
              <w:rPr>
                <w:rFonts w:ascii="Aptos" w:hAnsi="Aptos" w:eastAsia="Aptos"/>
                <w:b/>
                <w:color w:val="FFFFFF"/>
                <w:sz w:val="18"/>
              </w:rPr>
              <w:t>Date</w:t>
            </w:r>
          </w:p>
        </w:tc>
      </w:tr>
      <w:tr>
        <w:trPr>
          <w:cantSplit/>
        </w:trPr>
        <w:tc>
          <w:tcPr>
            <w:tcW w:type="dxa" w:w="2835"/>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8"/>
              </w:rPr>
              <w:t>QOIM Director</w:t>
            </w:r>
          </w:p>
        </w:tc>
        <w:tc>
          <w:tcPr>
            <w:tcW w:type="dxa" w:w="3969"/>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8"/>
              </w:rPr>
            </w:r>
          </w:p>
        </w:tc>
        <w:tc>
          <w:tcPr>
            <w:tcW w:type="dxa" w:w="226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8"/>
              </w:rPr>
            </w:r>
          </w:p>
        </w:tc>
      </w:tr>
      <w:tr>
        <w:trPr>
          <w:cantSplit/>
        </w:trPr>
        <w:tc>
          <w:tcPr>
            <w:tcW w:type="dxa" w:w="2835"/>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8"/>
              </w:rPr>
              <w:t>Project Lead</w:t>
            </w:r>
          </w:p>
        </w:tc>
        <w:tc>
          <w:tcPr>
            <w:tcW w:type="dxa" w:w="3969"/>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8"/>
              </w:rPr>
            </w:r>
          </w:p>
        </w:tc>
        <w:tc>
          <w:tcPr>
            <w:tcW w:type="dxa" w:w="226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shd w:fill="FFF9EF"/>
          </w:tcPr>
          <w:p>
            <w:pPr>
              <w:spacing w:after="0" w:line="240" w:lineRule="auto"/>
            </w:pPr>
            <w:r>
              <w:rPr>
                <w:rFonts w:ascii="Aptos" w:hAnsi="Aptos" w:eastAsia="Aptos"/>
                <w:sz w:val="18"/>
              </w:rPr>
            </w:r>
          </w:p>
        </w:tc>
      </w:tr>
      <w:tr>
        <w:trPr>
          <w:cantSplit/>
        </w:trPr>
        <w:tc>
          <w:tcPr>
            <w:tcW w:type="dxa" w:w="2835"/>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8"/>
              </w:rPr>
              <w:t>Web Development Contractor</w:t>
            </w:r>
          </w:p>
        </w:tc>
        <w:tc>
          <w:tcPr>
            <w:tcW w:type="dxa" w:w="3969"/>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8"/>
              </w:rPr>
            </w:r>
          </w:p>
        </w:tc>
        <w:tc>
          <w:tcPr>
            <w:tcW w:type="dxa" w:w="2268"/>
            <w:vAlign w:val="center"/>
            <w:tcMar>
              <w:top w:w="80" w:type="dxa"/>
              <w:start w:w="90" w:type="dxa"/>
              <w:bottom w:w="80" w:type="dxa"/>
              <w:end w:w="90" w:type="dxa"/>
            </w:tcMar>
            <w:tcBorders>
              <w:top w:val="single" w:sz="4" w:color="C9CDD1"/>
              <w:left w:val="single" w:sz="4" w:color="C9CDD1"/>
              <w:bottom w:val="single" w:sz="4" w:color="C9CDD1"/>
              <w:right w:val="single" w:sz="4" w:color="C9CDD1"/>
            </w:tcBorders>
          </w:tcPr>
          <w:p>
            <w:pPr>
              <w:spacing w:after="0" w:line="240" w:lineRule="auto"/>
            </w:pPr>
            <w:r>
              <w:rPr>
                <w:rFonts w:ascii="Aptos" w:hAnsi="Aptos" w:eastAsia="Aptos"/>
                <w:sz w:val="18"/>
              </w:rPr>
            </w:r>
          </w:p>
        </w:tc>
      </w:tr>
    </w:tbl>
    <w:sectPr w:rsidR="00FC693F" w:rsidRPr="0006063C" w:rsidSect="00034616">
      <w:headerReference w:type="default" r:id="rId9"/>
      <w:footerReference w:type="default" r:id="rId10"/>
      <w:pgSz w:w="12240" w:h="15840"/>
      <w:pgMar w:top="935" w:right="992" w:bottom="879" w:left="992" w:header="397" w:footer="397"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rFonts w:ascii="Aptos" w:hAnsi="Aptos" w:eastAsia="Aptos"/>
        <w:color w:val="4B5563"/>
        <w:sz w:val="16"/>
      </w:rPr>
      <w:t xml:space="preserve">Confidential working specification  |  Version 1.0  |  </w:t>
    </w:r>
    <w:r>
      <w:fldChar w:fldCharType="begin"/>
      <w:instrText xml:space="preserve"> PAGE </w:instrText>
      <w:fldChar w:fldCharType="end"/>
    </w:r>
  </w:p>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right"/>
    </w:pPr>
    <w:r>
      <w:rPr>
        <w:rFonts w:ascii="Aptos" w:hAnsi="Aptos" w:eastAsia="Aptos"/>
        <w:b/>
        <w:color w:val="1F5A3A"/>
        <w:sz w:val="17"/>
      </w:rPr>
      <w:t>QOIM  |  SAMARI KUHSOR  |  WEBSITE TECHNICAL SPECIFICATION</w:t>
    </w: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80" w:line="252" w:lineRule="auto"/>
    </w:pPr>
    <w:rPr>
      <w:rFonts w:ascii="Aptos" w:hAnsi="Aptos" w:eastAsia="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200" w:after="80"/>
      <w:outlineLvl w:val="0"/>
    </w:pPr>
    <w:rPr>
      <w:rFonts w:asciiTheme="majorHAnsi" w:eastAsiaTheme="majorEastAsia" w:hAnsiTheme="majorHAnsi" w:cstheme="majorBidi" w:ascii="Aptos Display" w:hAnsi="Aptos Display" w:eastAsia="Aptos Display"/>
      <w:b/>
      <w:bCs/>
      <w:color w:val="1F5A3A"/>
      <w:sz w:val="32"/>
      <w:szCs w:val="28"/>
    </w:rPr>
  </w:style>
  <w:style w:type="paragraph" w:styleId="Heading2">
    <w:name w:val="heading 2"/>
    <w:basedOn w:val="Normal"/>
    <w:next w:val="Normal"/>
    <w:link w:val="Heading2Char"/>
    <w:uiPriority w:val="9"/>
    <w:unhideWhenUsed/>
    <w:qFormat/>
    <w:rsid w:val="00FC693F"/>
    <w:pPr>
      <w:keepNext/>
      <w:keepLines/>
      <w:spacing w:before="140" w:after="80"/>
      <w:outlineLvl w:val="1"/>
    </w:pPr>
    <w:rPr>
      <w:rFonts w:asciiTheme="majorHAnsi" w:eastAsiaTheme="majorEastAsia" w:hAnsiTheme="majorHAnsi" w:cstheme="majorBidi" w:ascii="Aptos Display" w:hAnsi="Aptos Display" w:eastAsia="Aptos Display"/>
      <w:b/>
      <w:bCs/>
      <w:color w:val="264B5D"/>
      <w:sz w:val="26"/>
      <w:szCs w:val="26"/>
    </w:rPr>
  </w:style>
  <w:style w:type="paragraph" w:styleId="Heading3">
    <w:name w:val="heading 3"/>
    <w:basedOn w:val="Normal"/>
    <w:next w:val="Normal"/>
    <w:link w:val="Heading3Char"/>
    <w:uiPriority w:val="9"/>
    <w:unhideWhenUsed/>
    <w:qFormat/>
    <w:rsid w:val="00FC693F"/>
    <w:pPr>
      <w:keepNext/>
      <w:keepLines/>
      <w:spacing w:before="140" w:after="80"/>
      <w:outlineLvl w:val="2"/>
    </w:pPr>
    <w:rPr>
      <w:rFonts w:asciiTheme="majorHAnsi" w:eastAsiaTheme="majorEastAsia" w:hAnsiTheme="majorHAnsi" w:cstheme="majorBidi" w:ascii="Aptos Display" w:hAnsi="Aptos Display" w:eastAsia="Aptos Display"/>
      <w:b/>
      <w:bCs/>
      <w:color w:val="E88828"/>
      <w:sz w:val="23"/>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rPr>
      <w:rFonts w:ascii="Aptos" w:hAnsi="Aptos" w:eastAsia="Aptos"/>
      <w:sz w:val="21"/>
    </w:rPr>
  </w:style>
  <w:style w:type="paragraph" w:styleId="ListBullet2">
    <w:name w:val="List Bullet 2"/>
    <w:basedOn w:val="Normal"/>
    <w:uiPriority w:val="99"/>
    <w:unhideWhenUsed/>
    <w:rsid w:val="00326F90"/>
    <w:pPr>
      <w:numPr>
        <w:numId w:val="2"/>
      </w:numPr>
      <w:contextualSpacing/>
    </w:pPr>
    <w:rPr>
      <w:rFonts w:ascii="Aptos" w:hAnsi="Aptos" w:eastAsia="Aptos"/>
      <w:sz w:val="21"/>
    </w:r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rPr>
      <w:rFonts w:ascii="Aptos" w:hAnsi="Aptos" w:eastAsia="Aptos"/>
      <w:sz w:val="21"/>
    </w:r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 Id="rId11" Type="http://schemas.openxmlformats.org/officeDocument/2006/relationships/image" Target="media/image1.png"/><Relationship Id="rId12" Type="http://schemas.openxmlformats.org/officeDocument/2006/relationships/image" Target="media/image2.png"/><Relationship Id="rId13" Type="http://schemas.openxmlformats.org/officeDocument/2006/relationships/image" Target="media/image3.png"/><Relationship Id="rId14" Type="http://schemas.openxmlformats.org/officeDocument/2006/relationships/image" Target="media/image4.png"/><Relationship Id="rId15" Type="http://schemas.openxmlformats.org/officeDocument/2006/relationships/image" Target="media/image5.png"/><Relationship Id="rId16" Type="http://schemas.openxmlformats.org/officeDocument/2006/relationships/hyperlink" Target="https://www.president.tj/" TargetMode="External"/><Relationship Id="rId17" Type="http://schemas.openxmlformats.org/officeDocument/2006/relationships/hyperlink" Target="https://www.w3.org/TR/WCAG22/" TargetMode="External"/><Relationship Id="rId18" Type="http://schemas.openxmlformats.org/officeDocument/2006/relationships/hyperlink" Target="https://web.dev/articles/vitals" TargetMode="External"/><Relationship Id="rId19" Type="http://schemas.openxmlformats.org/officeDocument/2006/relationships/hyperlink" Target="https://owasp.org/www-project-application-security-verification-standard/" TargetMode="External"/><Relationship Id="rId20" Type="http://schemas.openxmlformats.org/officeDocument/2006/relationships/hyperlink" Target="https://schema.org/"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Samari Kuhsor Website Technical Specification</dc:title>
  <dc:subject>Terms of Reference for QOIM corporate and product catalogue website</dc:subject>
  <dc:creator>QOIM</dc:creator>
  <cp:keywords>QOIM, Samari Kuhsor, website, technical specification, product catalogue</cp:keywords>
  <dc:description>generated by python-docx</dc:description>
  <cp:lastModifiedBy/>
  <cp:revision>1</cp:revision>
  <dcterms:created xsi:type="dcterms:W3CDTF">2013-12-23T23:15:00Z</dcterms:created>
  <dcterms:modified xsi:type="dcterms:W3CDTF">2013-12-23T23:15:00Z</dcterms:modified>
  <cp:category/>
</cp:coreProperties>
</file>