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26"/>
        </w:rPr>
        <w:t>GED Marchica Med</w:t>
      </w:r>
    </w:p>
    <w:p>
      <w:pPr>
        <w:jc w:val="center"/>
      </w:pPr>
      <w:r>
        <w:rPr>
          <w:color w:val="666666"/>
          <w:sz w:val="22"/>
        </w:rPr>
        <w:t>Rapport technique de conception — volet backend</w:t>
      </w:r>
    </w:p>
    <w:p/>
    <w:p>
      <w:pPr>
        <w:jc w:val="center"/>
      </w:pPr>
      <w:r>
        <w:rPr>
          <w:b/>
          <w:color w:val="1F3353"/>
          <w:sz w:val="48"/>
        </w:rPr>
        <w:t>Interface 02 — Accueil (tableau de bord)</w:t>
      </w:r>
    </w:p>
    <w:p>
      <w:pPr>
        <w:jc w:val="center"/>
      </w:pPr>
      <w:r>
        <w:rPr>
          <w:i/>
          <w:color w:val="444444"/>
          <w:sz w:val="24"/>
        </w:rPr>
        <w:t>Statistiques, agrégations et décisions de signature prises depuis l'accueil</w:t>
      </w:r>
    </w:p>
    <w:p/>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Application</w:t>
            </w:r>
          </w:p>
        </w:tc>
        <w:tc>
          <w:tcPr>
            <w:tcW w:type="dxa" w:w="4819"/>
          </w:tcPr>
          <w:p>
            <w:r>
              <w:rPr>
                <w:sz w:val="20"/>
              </w:rPr>
              <w:t>GED Marchica Med</w:t>
            </w:r>
          </w:p>
        </w:tc>
      </w:tr>
      <w:tr>
        <w:tc>
          <w:tcPr>
            <w:tcW w:type="dxa" w:w="4819"/>
          </w:tcPr>
          <w:p>
            <w:r>
              <w:rPr>
                <w:b/>
                <w:sz w:val="20"/>
              </w:rPr>
              <w:t>Interface documentée</w:t>
            </w:r>
          </w:p>
        </w:tc>
        <w:tc>
          <w:tcPr>
            <w:tcW w:type="dxa" w:w="4819"/>
          </w:tcPr>
          <w:p>
            <w:r>
              <w:rPr>
                <w:sz w:val="20"/>
              </w:rPr>
              <w:t>02 — Accueil (tableau de bord)</w:t>
            </w:r>
          </w:p>
        </w:tc>
      </w:tr>
      <w:tr>
        <w:tc>
          <w:tcPr>
            <w:tcW w:type="dxa" w:w="4819"/>
          </w:tcPr>
          <w:p>
            <w:r>
              <w:rPr>
                <w:b/>
                <w:sz w:val="20"/>
              </w:rPr>
              <w:t>Volet</w:t>
            </w:r>
          </w:p>
        </w:tc>
        <w:tc>
          <w:tcPr>
            <w:tcW w:type="dxa" w:w="4819"/>
          </w:tcPr>
          <w:p>
            <w:r>
              <w:rPr>
                <w:sz w:val="20"/>
              </w:rPr>
              <w:t>Volet backend — ce que le serveur fait derrière l'écran</w:t>
            </w:r>
          </w:p>
        </w:tc>
      </w:tr>
      <w:tr>
        <w:tc>
          <w:tcPr>
            <w:tcW w:type="dxa" w:w="4819"/>
          </w:tcPr>
          <w:p>
            <w:r>
              <w:rPr>
                <w:b/>
                <w:sz w:val="20"/>
              </w:rPr>
              <w:t>Date d'édition</w:t>
            </w:r>
          </w:p>
        </w:tc>
        <w:tc>
          <w:tcPr>
            <w:tcW w:type="dxa" w:w="4819"/>
          </w:tcPr>
          <w:p>
            <w:r>
              <w:rPr>
                <w:sz w:val="20"/>
              </w:rPr>
              <w:t>13 août 2026</w:t>
            </w:r>
          </w:p>
        </w:tc>
      </w:tr>
    </w:tbl>
    <w:p/>
    <w:p/>
    <w:p/>
    <w:p/>
    <w:p>
      <w:pPr>
        <w:jc w:val="center"/>
      </w:pPr>
      <w:r>
        <w:rPr>
          <w:i/>
          <w:color w:val="666666"/>
          <w:sz w:val="18"/>
        </w:rPr>
        <w:t>Document rédigé à partir de la lecture du code source du backend (Spring Boot 3.4.1 / Java 17) et des migrations de base de données. Aucune valeur, aucun libellé et aucun code de réponse n'y figure sans avoir été relevé dans le code.</w:t>
      </w:r>
    </w:p>
    <w:p>
      <w:r>
        <w:br w:type="page"/>
      </w:r>
    </w:p>
    <w:p>
      <w:pPr>
        <w:pStyle w:val="Heading1"/>
      </w:pPr>
      <w:r>
        <w:t>Sommaire</w:t>
      </w:r>
    </w:p>
    <w:p>
      <w:pPr>
        <w:spacing w:after="60"/>
      </w:pPr>
      <w:r>
        <w:rPr>
          <w:b/>
          <w:sz w:val="21"/>
        </w:rPr>
        <w:t>1. Rôle du serveur pour cette interface</w:t>
      </w:r>
      <w:r>
        <w:rPr>
          <w:color w:val="444444"/>
          <w:sz w:val="19"/>
        </w:rPr>
        <w:t xml:space="preserve">  —  un écran qui n'a pas de données propres : il agrège celles des autres.</w:t>
      </w:r>
    </w:p>
    <w:p>
      <w:pPr>
        <w:spacing w:after="60"/>
      </w:pPr>
      <w:r>
        <w:rPr>
          <w:b/>
          <w:sz w:val="21"/>
        </w:rPr>
        <w:t>2. Les données conservées</w:t>
      </w:r>
      <w:r>
        <w:rPr>
          <w:color w:val="444444"/>
          <w:sz w:val="19"/>
        </w:rPr>
        <w:t xml:space="preserve">  —  ce qui est calculé et ce qui est lu ; pourquoi l'accueil ne possède aucune table.</w:t>
      </w:r>
    </w:p>
    <w:p>
      <w:pPr>
        <w:spacing w:after="60"/>
      </w:pPr>
      <w:r>
        <w:rPr>
          <w:b/>
          <w:sz w:val="21"/>
        </w:rPr>
        <w:t>3. Les relations</w:t>
      </w:r>
      <w:r>
        <w:rPr>
          <w:color w:val="444444"/>
          <w:sz w:val="19"/>
        </w:rPr>
        <w:t xml:space="preserve">  —  les objets interrogés par chaque encart et le chemin qui mène du jeton au chiffre.</w:t>
      </w:r>
    </w:p>
    <w:p>
      <w:pPr>
        <w:spacing w:after="60"/>
      </w:pPr>
      <w:r>
        <w:rPr>
          <w:b/>
          <w:sz w:val="21"/>
        </w:rPr>
        <w:t>4. Les opérations disponibles</w:t>
      </w:r>
      <w:r>
        <w:rPr>
          <w:color w:val="444444"/>
          <w:sz w:val="19"/>
        </w:rPr>
        <w:t xml:space="preserve">  —  les trois points d'entrée de statistiques et les opérations empruntées aux autres modules.</w:t>
      </w:r>
    </w:p>
    <w:p>
      <w:pPr>
        <w:spacing w:after="60"/>
      </w:pPr>
      <w:r>
        <w:rPr>
          <w:b/>
          <w:sz w:val="21"/>
        </w:rPr>
        <w:t>5. Les règles vérifiées côté serveur</w:t>
      </w:r>
      <w:r>
        <w:rPr>
          <w:color w:val="444444"/>
          <w:sz w:val="19"/>
        </w:rPr>
        <w:t xml:space="preserve">  —  onze règles, dont la source unique des compteurs et le bornage de la fenêtre.</w:t>
      </w:r>
    </w:p>
    <w:p>
      <w:pPr>
        <w:spacing w:after="60"/>
      </w:pPr>
      <w:r>
        <w:rPr>
          <w:b/>
          <w:sz w:val="21"/>
        </w:rPr>
        <w:t>6. Les erreurs et les réponses</w:t>
      </w:r>
      <w:r>
        <w:rPr>
          <w:color w:val="444444"/>
          <w:sz w:val="19"/>
        </w:rPr>
        <w:t xml:space="preserve">  —  situation, code, message, et le comportement d'un encart en échec.</w:t>
      </w:r>
    </w:p>
    <w:p>
      <w:pPr>
        <w:spacing w:after="60"/>
      </w:pPr>
      <w:r>
        <w:rPr>
          <w:b/>
          <w:sz w:val="21"/>
        </w:rPr>
        <w:t>7. Ce qui est écrit, et dans quel ordre</w:t>
      </w:r>
      <w:r>
        <w:rPr>
          <w:color w:val="444444"/>
          <w:sz w:val="19"/>
        </w:rPr>
        <w:t xml:space="preserve">  —  la seule séquence d'écriture de l'écran : approuver ou rejeter une étape.</w:t>
      </w:r>
    </w:p>
    <w:p>
      <w:pPr>
        <w:spacing w:after="60"/>
      </w:pPr>
      <w:r>
        <w:rPr>
          <w:b/>
          <w:sz w:val="21"/>
        </w:rPr>
        <w:t>8. Les effets de bord</w:t>
      </w:r>
      <w:r>
        <w:rPr>
          <w:color w:val="444444"/>
          <w:sz w:val="19"/>
        </w:rPr>
        <w:t xml:space="preserve">  —  activation d'un document, réouverture d'une étape, préférences d'affichage.</w:t>
      </w:r>
    </w:p>
    <w:p>
      <w:pPr>
        <w:spacing w:after="60"/>
      </w:pPr>
      <w:r>
        <w:rPr>
          <w:b/>
          <w:sz w:val="21"/>
        </w:rPr>
        <w:t>9. Sécurité et contrôle d'accès</w:t>
      </w:r>
      <w:r>
        <w:rPr>
          <w:color w:val="444444"/>
          <w:sz w:val="19"/>
        </w:rPr>
        <w:t xml:space="preserve">  —  l'identité vient du jeton, y compris pour un simple compteur.</w:t>
      </w:r>
    </w:p>
    <w:p>
      <w:pPr>
        <w:spacing w:after="60"/>
      </w:pPr>
      <w:r>
        <w:rPr>
          <w:b/>
          <w:sz w:val="21"/>
        </w:rPr>
        <w:t>10. Points de vigilance et limites connues</w:t>
      </w:r>
      <w:r>
        <w:rPr>
          <w:color w:val="444444"/>
          <w:sz w:val="19"/>
        </w:rPr>
        <w:t xml:space="preserve">  —  coût des agrégations, fuseau horaire, tris ignorés, absence de mise en cache.</w:t>
      </w:r>
    </w:p>
    <w:p>
      <w:r>
        <w:br w:type="page"/>
      </w:r>
    </w:p>
    <w:p>
      <w:pPr>
        <w:pStyle w:val="Heading1"/>
      </w:pPr>
      <w:r>
        <w:t>1. Rôle du serveur pour cette interface</w:t>
      </w:r>
    </w:p>
    <w:p>
      <w:r>
        <w:rPr>
          <w:b w:val="0"/>
          <w:i w:val="0"/>
        </w:rPr>
        <w:t>L'accueil est le seul écran de l'application qui ne possède aucune donnée. Il ne crée rien, ne stocke rien, et n'a pas de table à son nom. Son rôle est de répondre à trois questions, dans cet ordre : qu'est-ce qui m'attend, où en est le fonds documentaire, où vais-je maintenant. Le serveur y contribue de deux manières distinctes, qu'il faut séparer nettement.</w:t>
      </w:r>
    </w:p>
    <w:p>
      <w:pPr>
        <w:pStyle w:val="Heading2"/>
      </w:pPr>
      <w:r>
        <w:t>1.1. Ce que le serveur fournit</w:t>
      </w:r>
    </w:p>
    <w:p>
      <w:pPr>
        <w:pStyle w:val="ListBullet"/>
        <w:spacing w:after="60"/>
      </w:pPr>
      <w:r>
        <w:rPr>
          <w:b/>
        </w:rPr>
        <w:t>Des agrégats comptés en base.</w:t>
      </w:r>
      <w:r>
        <w:t xml:space="preserve"> Nombre de dossiers vivants, nombre de documents vivants, nombre de groupes vivants, répartition des documents par type, dépôts jour par jour sur une fenêtre. Ces chiffres sont produits par des requêtes de comptage, jamais reconstitués à partir d'une page de résultats.</w:t>
      </w:r>
    </w:p>
    <w:p>
      <w:pPr>
        <w:pStyle w:val="ListBullet"/>
        <w:spacing w:after="60"/>
      </w:pPr>
      <w:r>
        <w:rPr>
          <w:b/>
        </w:rPr>
        <w:t>Une liste actionnable.</w:t>
      </w:r>
      <w:r>
        <w:t xml:space="preserve"> Les étapes de validation qui attendent réellement une décision de la personne connectée, avec de quoi les traiter sur place.</w:t>
      </w:r>
    </w:p>
    <w:p>
      <w:pPr>
        <w:pStyle w:val="ListBullet"/>
        <w:spacing w:after="60"/>
      </w:pPr>
      <w:r>
        <w:rPr>
          <w:b/>
        </w:rPr>
        <w:t>Des extraits de listes existantes.</w:t>
      </w:r>
      <w:r>
        <w:t xml:space="preserve"> Les derniers documents déposés, les derniers espaces créés, l'historique des décisions récentes. Ce ne sont pas des points d'entrée propres à l'accueil : ce sont les mêmes que ceux des écrans correspondants, appelés avec une taille de page réduite.</w:t>
      </w:r>
    </w:p>
    <w:p>
      <w:pPr>
        <w:pStyle w:val="Heading2"/>
      </w:pPr>
      <w:r>
        <w:t>1.2. Ce que le serveur garantit</w:t>
      </w:r>
    </w:p>
    <w:p>
      <w:pPr>
        <w:pStyle w:val="ListBullet"/>
        <w:spacing w:after="60"/>
      </w:pPr>
      <w:r>
        <w:rPr>
          <w:b/>
        </w:rPr>
        <w:t>Une source unique pour les compteurs de signature.</w:t>
      </w:r>
      <w:r>
        <w:t xml:space="preserve"> Le nombre affiché sur la tuile « En attente » et la liste affichée dans l'encart « À valider » sortent de la même méthode. Ils ne peuvent pas diverger, parce qu'il n'existe plus deux définitions concurrentes de « signature en attente ».</w:t>
      </w:r>
    </w:p>
    <w:p>
      <w:pPr>
        <w:pStyle w:val="ListBullet"/>
        <w:spacing w:after="60"/>
      </w:pPr>
      <w:r>
        <w:rPr>
          <w:b/>
        </w:rPr>
        <w:t>Des totaux qui se recoupent.</w:t>
      </w:r>
      <w:r>
        <w:t xml:space="preserve"> La répartition par type compte les documents sans type sous un libellé dédié plutôt que de les écarter : la somme des parts retombe donc exactement sur le total affiché par la tuile « Documents ».</w:t>
      </w:r>
    </w:p>
    <w:p>
      <w:pPr>
        <w:pStyle w:val="ListBullet"/>
        <w:spacing w:after="60"/>
      </w:pPr>
      <w:r>
        <w:rPr>
          <w:b/>
        </w:rPr>
        <w:t>Une courbe sans trou.</w:t>
      </w:r>
      <w:r>
        <w:t xml:space="preserve"> La base ne renvoie que les journées où quelque chose a été déposé ; le serveur complète les journées vides à zéro avant d'envoyer la série.</w:t>
      </w:r>
    </w:p>
    <w:p>
      <w:pPr>
        <w:pStyle w:val="ListBullet"/>
        <w:spacing w:after="60"/>
      </w:pPr>
      <w:r>
        <w:rPr>
          <w:b/>
        </w:rPr>
        <w:t>Une fenêtre bornée.</w:t>
      </w:r>
      <w:r>
        <w:t xml:space="preserve"> Le nombre de jours demandé est ramené entre 7 et 180, quelle que soit la valeur reçue.</w:t>
      </w:r>
    </w:p>
    <w:p>
      <w:pPr>
        <w:pStyle w:val="ListBullet"/>
        <w:spacing w:after="60"/>
      </w:pPr>
      <w:r>
        <w:rPr>
          <w:b/>
        </w:rPr>
        <w:t>Une décision identique à celle prise ailleurs.</w:t>
      </w:r>
      <w:r>
        <w:t xml:space="preserve"> Approuver ou rejeter depuis l'accueil emprunte exactement le même point d'entrée que l'écran « Mes workflow ». Ce n'est pas un raccourci dégradé.</w:t>
      </w:r>
    </w:p>
    <w:p>
      <w:pPr>
        <w:spacing w:before="120" w:after="200"/>
        <w:ind w:left="283"/>
      </w:pPr>
      <w:r>
        <w:rPr>
          <w:b/>
        </w:rPr>
        <w:t xml:space="preserve">Ce que le serveur ne fournit pas — </w:t>
      </w:r>
      <w:r>
        <w:t>il n'existe aucun point d'entrée pour les préférences d'affichage du tableau de bord. Le choix des encarts visibles et leur ordre sont conservés dans le stockage local du navigateur, sous une clé propre à l'identifiant d'employé. Ces préférences ne suivent donc pas l'utilisateur d'un poste à l'autre, et l'interface ne doit pas laisser croire l'inverse.</w:t>
      </w:r>
    </w:p>
    <w:p>
      <w:pPr>
        <w:pStyle w:val="Heading1"/>
      </w:pPr>
      <w:r>
        <w:t>2. Les données conservées</w:t>
      </w:r>
    </w:p>
    <w:p>
      <w:r>
        <w:rPr>
          <w:b w:val="0"/>
          <w:i w:val="0"/>
        </w:rPr>
        <w:t>Aucune. L'accueil ne persiste rien. Le tableau ci-dessous décrit donc, non pas des colonnes, mais les valeurs que le serveur calcule à chaque appel : leur nature, leur source, et ce à quoi elles servent. C'est une distinction importante pour la lecture des performances : chaque affichage de l'accueil déclenche un nouveau calcul.</w:t>
      </w:r>
    </w:p>
    <w:p>
      <w:pPr>
        <w:pStyle w:val="Heading2"/>
      </w:pPr>
      <w:r>
        <w:t>2.1. Les indicateurs de synthèse</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1871"/>
          </w:tcPr>
          <w:p>
            <w:pPr>
              <w:spacing w:after="40"/>
            </w:pPr>
            <w:r/>
            <w:r>
              <w:rPr>
                <w:b/>
                <w:sz w:val="18"/>
              </w:rPr>
              <w:t>Valeur restituée</w:t>
            </w:r>
          </w:p>
        </w:tc>
        <w:tc>
          <w:tcPr>
            <w:tcW w:type="dxa" w:w="1134"/>
          </w:tcPr>
          <w:p>
            <w:pPr>
              <w:spacing w:after="40"/>
            </w:pPr>
            <w:r/>
            <w:r>
              <w:rPr>
                <w:b/>
                <w:sz w:val="18"/>
              </w:rPr>
              <w:t>Nature</w:t>
            </w:r>
          </w:p>
        </w:tc>
        <w:tc>
          <w:tcPr>
            <w:tcW w:type="dxa" w:w="3061"/>
          </w:tcPr>
          <w:p>
            <w:pPr>
              <w:spacing w:after="40"/>
            </w:pPr>
            <w:r/>
            <w:r>
              <w:rPr>
                <w:b/>
                <w:sz w:val="18"/>
              </w:rPr>
              <w:t>Comment elle est produite</w:t>
            </w:r>
          </w:p>
        </w:tc>
        <w:tc>
          <w:tcPr>
            <w:tcW w:type="dxa" w:w="3005"/>
          </w:tcPr>
          <w:p>
            <w:pPr>
              <w:spacing w:after="40"/>
            </w:pPr>
            <w:r/>
            <w:r>
              <w:rPr>
                <w:b/>
                <w:sz w:val="18"/>
              </w:rPr>
              <w:t>Ce qu'elle sert à dire</w:t>
            </w:r>
          </w:p>
        </w:tc>
      </w:tr>
      <w:tr>
        <w:tc>
          <w:tcPr>
            <w:tcW w:type="dxa" w:w="1871"/>
          </w:tcPr>
          <w:p>
            <w:pPr>
              <w:spacing w:after="40"/>
            </w:pPr>
            <w:r/>
            <w:r>
              <w:rPr>
                <w:sz w:val="18"/>
              </w:rPr>
              <w:t>Dossiers actifs</w:t>
            </w:r>
          </w:p>
        </w:tc>
        <w:tc>
          <w:tcPr>
            <w:tcW w:type="dxa" w:w="1134"/>
          </w:tcPr>
          <w:p>
            <w:pPr>
              <w:spacing w:after="40"/>
            </w:pPr>
            <w:r/>
            <w:r>
              <w:rPr>
                <w:sz w:val="18"/>
              </w:rPr>
              <w:t>Entier long</w:t>
            </w:r>
          </w:p>
        </w:tc>
        <w:tc>
          <w:tcPr>
            <w:tcW w:type="dxa" w:w="3061"/>
          </w:tcPr>
          <w:p>
            <w:pPr>
              <w:spacing w:after="40"/>
            </w:pPr>
            <w:r/>
            <w:r>
              <w:rPr>
                <w:sz w:val="18"/>
              </w:rPr>
              <w:t>Comptage des espaces de travail dont le drapeau de corbeille est faux.</w:t>
            </w:r>
          </w:p>
        </w:tc>
        <w:tc>
          <w:tcPr>
            <w:tcW w:type="dxa" w:w="3005"/>
          </w:tcPr>
          <w:p>
            <w:pPr>
              <w:spacing w:after="40"/>
            </w:pPr>
            <w:r/>
            <w:r>
              <w:rPr>
                <w:sz w:val="18"/>
              </w:rPr>
              <w:t>La taille du classement. Attention : le critère est la corbeille, pas le statut — un dossier archivé est compté.</w:t>
            </w:r>
          </w:p>
        </w:tc>
      </w:tr>
      <w:tr>
        <w:tc>
          <w:tcPr>
            <w:tcW w:type="dxa" w:w="1871"/>
          </w:tcPr>
          <w:p>
            <w:pPr>
              <w:spacing w:after="40"/>
            </w:pPr>
            <w:r/>
            <w:r>
              <w:rPr>
                <w:sz w:val="18"/>
              </w:rPr>
              <w:t>Documents</w:t>
            </w:r>
          </w:p>
        </w:tc>
        <w:tc>
          <w:tcPr>
            <w:tcW w:type="dxa" w:w="1134"/>
          </w:tcPr>
          <w:p>
            <w:pPr>
              <w:spacing w:after="40"/>
            </w:pPr>
            <w:r/>
            <w:r>
              <w:rPr>
                <w:sz w:val="18"/>
              </w:rPr>
              <w:t>Entier long</w:t>
            </w:r>
          </w:p>
        </w:tc>
        <w:tc>
          <w:tcPr>
            <w:tcW w:type="dxa" w:w="3061"/>
          </w:tcPr>
          <w:p>
            <w:pPr>
              <w:spacing w:after="40"/>
            </w:pPr>
            <w:r/>
            <w:r>
              <w:rPr>
                <w:sz w:val="18"/>
              </w:rPr>
              <w:t>Comptage des documents dont le drapeau de corbeille est faux.</w:t>
            </w:r>
          </w:p>
        </w:tc>
        <w:tc>
          <w:tcPr>
            <w:tcW w:type="dxa" w:w="3005"/>
          </w:tcPr>
          <w:p>
            <w:pPr>
              <w:spacing w:after="40"/>
            </w:pPr>
            <w:r/>
            <w:r>
              <w:rPr>
                <w:sz w:val="18"/>
              </w:rPr>
              <w:t>Le volume du fonds documentaire.</w:t>
            </w:r>
          </w:p>
        </w:tc>
      </w:tr>
      <w:tr>
        <w:tc>
          <w:tcPr>
            <w:tcW w:type="dxa" w:w="1871"/>
          </w:tcPr>
          <w:p>
            <w:pPr>
              <w:spacing w:after="40"/>
            </w:pPr>
            <w:r/>
            <w:r>
              <w:rPr>
                <w:sz w:val="18"/>
              </w:rPr>
              <w:t>Signatures en attente</w:t>
            </w:r>
          </w:p>
        </w:tc>
        <w:tc>
          <w:tcPr>
            <w:tcW w:type="dxa" w:w="1134"/>
          </w:tcPr>
          <w:p>
            <w:pPr>
              <w:spacing w:after="40"/>
            </w:pPr>
            <w:r/>
            <w:r>
              <w:rPr>
                <w:sz w:val="18"/>
              </w:rPr>
              <w:t>Entier long</w:t>
            </w:r>
          </w:p>
        </w:tc>
        <w:tc>
          <w:tcPr>
            <w:tcW w:type="dxa" w:w="3061"/>
          </w:tcPr>
          <w:p>
            <w:pPr>
              <w:spacing w:after="40"/>
            </w:pPr>
            <w:r/>
            <w:r>
              <w:rPr>
                <w:sz w:val="18"/>
              </w:rPr>
              <w:t>Taille de la liste des étapes réellement traitables par le porteur du jeton.</w:t>
            </w:r>
          </w:p>
        </w:tc>
        <w:tc>
          <w:tcPr>
            <w:tcW w:type="dxa" w:w="3005"/>
          </w:tcPr>
          <w:p>
            <w:pPr>
              <w:spacing w:after="40"/>
            </w:pPr>
            <w:r/>
            <w:r>
              <w:rPr>
                <w:sz w:val="18"/>
              </w:rPr>
              <w:t>Ce qui attend une décision de la personne connectée, et rien d'autre.</w:t>
            </w:r>
          </w:p>
        </w:tc>
      </w:tr>
      <w:tr>
        <w:tc>
          <w:tcPr>
            <w:tcW w:type="dxa" w:w="1871"/>
          </w:tcPr>
          <w:p>
            <w:pPr>
              <w:spacing w:after="40"/>
            </w:pPr>
            <w:r/>
            <w:r>
              <w:rPr>
                <w:sz w:val="18"/>
              </w:rPr>
              <w:t>Groupes d'accès</w:t>
            </w:r>
          </w:p>
        </w:tc>
        <w:tc>
          <w:tcPr>
            <w:tcW w:type="dxa" w:w="1134"/>
          </w:tcPr>
          <w:p>
            <w:pPr>
              <w:spacing w:after="40"/>
            </w:pPr>
            <w:r/>
            <w:r>
              <w:rPr>
                <w:sz w:val="18"/>
              </w:rPr>
              <w:t>Entier long</w:t>
            </w:r>
          </w:p>
        </w:tc>
        <w:tc>
          <w:tcPr>
            <w:tcW w:type="dxa" w:w="3061"/>
          </w:tcPr>
          <w:p>
            <w:pPr>
              <w:spacing w:after="40"/>
            </w:pPr>
            <w:r/>
            <w:r>
              <w:rPr>
                <w:sz w:val="18"/>
              </w:rPr>
              <w:t>Comptage des groupes dont le drapeau de corbeille est faux.</w:t>
            </w:r>
          </w:p>
        </w:tc>
        <w:tc>
          <w:tcPr>
            <w:tcW w:type="dxa" w:w="3005"/>
          </w:tcPr>
          <w:p>
            <w:pPr>
              <w:spacing w:after="40"/>
            </w:pPr>
            <w:r/>
            <w:r>
              <w:rPr>
                <w:sz w:val="18"/>
              </w:rPr>
              <w:t>Le nombre de rattachements organisationnels définis.</w:t>
            </w:r>
          </w:p>
        </w:tc>
      </w:tr>
    </w:tbl>
    <w:p/>
    <w:p>
      <w:pPr>
        <w:pStyle w:val="Heading2"/>
      </w:pPr>
      <w:r>
        <w:t>2.2. La répartition par type</w:t>
      </w:r>
    </w:p>
    <w:p>
      <w:r>
        <w:rPr>
          <w:b w:val="0"/>
          <w:i w:val="0"/>
        </w:rPr>
        <w:t>Une liste de parts, chacune composée d'un libellé et d'un nombre. Elle est produite par une seule requête d'agrégation : jointure externe des documents vivants vers leur type, regroupement sur le libellé du type, tri décroissant sur le nombre. La jointure externe est un choix explicite — un document sans type doit rester compté, sinon la somme des parts ne retomberait pas sur le total. Le libellé vide ou absent est remplacé par « Sans type » au moment de composer la réponse, et non en base.</w:t>
      </w:r>
    </w:p>
    <w:p>
      <w:pPr>
        <w:pStyle w:val="Heading2"/>
      </w:pPr>
      <w:r>
        <w:t>2.3. La courbe des dépôts</w:t>
      </w:r>
    </w:p>
    <w:p>
      <w:r>
        <w:rPr>
          <w:b w:val="0"/>
          <w:i w:val="0"/>
        </w:rPr>
        <w:t>Une liste de points, chacun composé d'une date au format calendaire et d'un nombre. Le serveur ne demande à la base que les dates de création des documents vivants postérieures au début de la fenêtre : il ne rapatrie pas les entités, seulement une colonne d'audit. Le regroupement par journée et le remplissage des journées vides sont faits en mémoire.</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474"/>
          </w:tcPr>
          <w:p>
            <w:pPr>
              <w:spacing w:after="40"/>
            </w:pPr>
            <w:r/>
            <w:r>
              <w:rPr>
                <w:b/>
                <w:sz w:val="18"/>
              </w:rPr>
              <w:t>Paramètre</w:t>
            </w:r>
          </w:p>
        </w:tc>
        <w:tc>
          <w:tcPr>
            <w:tcW w:type="dxa" w:w="1020"/>
          </w:tcPr>
          <w:p>
            <w:pPr>
              <w:spacing w:after="40"/>
            </w:pPr>
            <w:r/>
            <w:r>
              <w:rPr>
                <w:b/>
                <w:sz w:val="18"/>
              </w:rPr>
              <w:t>Nature</w:t>
            </w:r>
          </w:p>
        </w:tc>
        <w:tc>
          <w:tcPr>
            <w:tcW w:type="dxa" w:w="1134"/>
          </w:tcPr>
          <w:p>
            <w:pPr>
              <w:spacing w:after="40"/>
            </w:pPr>
            <w:r/>
            <w:r>
              <w:rPr>
                <w:b/>
                <w:sz w:val="18"/>
              </w:rPr>
              <w:t>Obligatoire</w:t>
            </w:r>
          </w:p>
        </w:tc>
        <w:tc>
          <w:tcPr>
            <w:tcW w:type="dxa" w:w="907"/>
          </w:tcPr>
          <w:p>
            <w:pPr>
              <w:spacing w:after="40"/>
            </w:pPr>
            <w:r/>
            <w:r>
              <w:rPr>
                <w:b/>
                <w:sz w:val="18"/>
              </w:rPr>
              <w:t>Défaut</w:t>
            </w:r>
          </w:p>
        </w:tc>
        <w:tc>
          <w:tcPr>
            <w:tcW w:type="dxa" w:w="4535"/>
          </w:tcPr>
          <w:p>
            <w:pPr>
              <w:spacing w:after="40"/>
            </w:pPr>
            <w:r/>
            <w:r>
              <w:rPr>
                <w:b/>
                <w:sz w:val="18"/>
              </w:rPr>
              <w:t>Bornes appliquées</w:t>
            </w:r>
          </w:p>
        </w:tc>
      </w:tr>
      <w:tr>
        <w:tc>
          <w:tcPr>
            <w:tcW w:type="dxa" w:w="1474"/>
          </w:tcPr>
          <w:p>
            <w:pPr>
              <w:spacing w:after="40"/>
            </w:pPr>
            <w:r/>
            <w:r>
              <w:rPr>
                <w:sz w:val="18"/>
              </w:rPr>
              <w:t>jours</w:t>
            </w:r>
          </w:p>
        </w:tc>
        <w:tc>
          <w:tcPr>
            <w:tcW w:type="dxa" w:w="1020"/>
          </w:tcPr>
          <w:p>
            <w:pPr>
              <w:spacing w:after="40"/>
            </w:pPr>
            <w:r/>
            <w:r>
              <w:rPr>
                <w:sz w:val="18"/>
              </w:rPr>
              <w:t>Entier</w:t>
            </w:r>
          </w:p>
        </w:tc>
        <w:tc>
          <w:tcPr>
            <w:tcW w:type="dxa" w:w="1134"/>
          </w:tcPr>
          <w:p>
            <w:pPr>
              <w:spacing w:after="40"/>
            </w:pPr>
            <w:r/>
            <w:r>
              <w:rPr>
                <w:sz w:val="18"/>
              </w:rPr>
              <w:t>Non</w:t>
            </w:r>
          </w:p>
        </w:tc>
        <w:tc>
          <w:tcPr>
            <w:tcW w:type="dxa" w:w="907"/>
          </w:tcPr>
          <w:p>
            <w:pPr>
              <w:spacing w:after="40"/>
            </w:pPr>
            <w:r/>
            <w:r>
              <w:rPr>
                <w:sz w:val="18"/>
              </w:rPr>
              <w:t>30</w:t>
            </w:r>
          </w:p>
        </w:tc>
        <w:tc>
          <w:tcPr>
            <w:tcW w:type="dxa" w:w="4535"/>
          </w:tcPr>
          <w:p>
            <w:pPr>
              <w:spacing w:after="40"/>
            </w:pPr>
            <w:r/>
            <w:r>
              <w:rPr>
                <w:sz w:val="18"/>
              </w:rPr>
              <w:t>Ramené dans l'intervalle [7 ; 180]. Une valeur inférieure devient 7, une valeur supérieure devient 180. Aucune erreur n'est levée : l'appelant reçoit une réponse utilisable.</w:t>
            </w:r>
          </w:p>
        </w:tc>
      </w:tr>
    </w:tbl>
    <w:p/>
    <w:p>
      <w:pPr>
        <w:pStyle w:val="Heading2"/>
      </w:pPr>
      <w:r>
        <w:t>2.4. Les extraits de listes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1701"/>
          </w:tcPr>
          <w:p>
            <w:pPr>
              <w:spacing w:after="40"/>
            </w:pPr>
            <w:r/>
            <w:r>
              <w:rPr>
                <w:b/>
                <w:sz w:val="18"/>
              </w:rPr>
              <w:t>Encart</w:t>
            </w:r>
          </w:p>
        </w:tc>
        <w:tc>
          <w:tcPr>
            <w:tcW w:type="dxa" w:w="2041"/>
          </w:tcPr>
          <w:p>
            <w:pPr>
              <w:spacing w:after="40"/>
            </w:pPr>
            <w:r/>
            <w:r>
              <w:rPr>
                <w:b/>
                <w:sz w:val="18"/>
              </w:rPr>
              <w:t>Source</w:t>
            </w:r>
          </w:p>
        </w:tc>
        <w:tc>
          <w:tcPr>
            <w:tcW w:type="dxa" w:w="2835"/>
          </w:tcPr>
          <w:p>
            <w:pPr>
              <w:spacing w:after="40"/>
            </w:pPr>
            <w:r/>
            <w:r>
              <w:rPr>
                <w:b/>
                <w:sz w:val="18"/>
              </w:rPr>
              <w:t>Ce qui est demandé</w:t>
            </w:r>
          </w:p>
        </w:tc>
        <w:tc>
          <w:tcPr>
            <w:tcW w:type="dxa" w:w="2494"/>
          </w:tcPr>
          <w:p>
            <w:pPr>
              <w:spacing w:after="40"/>
            </w:pPr>
            <w:r/>
            <w:r>
              <w:rPr>
                <w:b/>
                <w:sz w:val="18"/>
              </w:rPr>
              <w:t>Ce qui revient</w:t>
            </w:r>
          </w:p>
        </w:tc>
      </w:tr>
      <w:tr>
        <w:tc>
          <w:tcPr>
            <w:tcW w:type="dxa" w:w="1701"/>
          </w:tcPr>
          <w:p>
            <w:pPr>
              <w:spacing w:after="40"/>
            </w:pPr>
            <w:r/>
            <w:r>
              <w:rPr>
                <w:sz w:val="18"/>
              </w:rPr>
              <w:t>Documents récents</w:t>
            </w:r>
          </w:p>
        </w:tc>
        <w:tc>
          <w:tcPr>
            <w:tcW w:type="dxa" w:w="2041"/>
          </w:tcPr>
          <w:p>
            <w:pPr>
              <w:spacing w:after="40"/>
            </w:pPr>
            <w:r/>
            <w:r>
              <w:rPr>
                <w:sz w:val="18"/>
              </w:rPr>
              <w:t>Liste paginée des documents</w:t>
            </w:r>
          </w:p>
        </w:tc>
        <w:tc>
          <w:tcPr>
            <w:tcW w:type="dxa" w:w="2835"/>
          </w:tcPr>
          <w:p>
            <w:pPr>
              <w:spacing w:after="40"/>
            </w:pPr>
            <w:r/>
            <w:r>
              <w:rPr>
                <w:sz w:val="18"/>
              </w:rPr>
              <w:t>Page 0, taille 6, tri décroissant sur la date de création.</w:t>
            </w:r>
          </w:p>
        </w:tc>
        <w:tc>
          <w:tcPr>
            <w:tcW w:type="dxa" w:w="2494"/>
          </w:tcPr>
          <w:p>
            <w:pPr>
              <w:spacing w:after="40"/>
            </w:pPr>
            <w:r/>
            <w:r>
              <w:rPr>
                <w:sz w:val="18"/>
              </w:rPr>
              <w:t>Les six derniers dépôts, avec leur chemin de classement et leur taille.</w:t>
            </w:r>
          </w:p>
        </w:tc>
      </w:tr>
      <w:tr>
        <w:tc>
          <w:tcPr>
            <w:tcW w:type="dxa" w:w="1701"/>
          </w:tcPr>
          <w:p>
            <w:pPr>
              <w:spacing w:after="40"/>
            </w:pPr>
            <w:r/>
            <w:r>
              <w:rPr>
                <w:sz w:val="18"/>
              </w:rPr>
              <w:t>Espaces de travail</w:t>
            </w:r>
          </w:p>
        </w:tc>
        <w:tc>
          <w:tcPr>
            <w:tcW w:type="dxa" w:w="2041"/>
          </w:tcPr>
          <w:p>
            <w:pPr>
              <w:spacing w:after="40"/>
            </w:pPr>
            <w:r/>
            <w:r>
              <w:rPr>
                <w:sz w:val="18"/>
              </w:rPr>
              <w:t>Liste paginée des espaces</w:t>
            </w:r>
          </w:p>
        </w:tc>
        <w:tc>
          <w:tcPr>
            <w:tcW w:type="dxa" w:w="2835"/>
          </w:tcPr>
          <w:p>
            <w:pPr>
              <w:spacing w:after="40"/>
            </w:pPr>
            <w:r/>
            <w:r>
              <w:rPr>
                <w:sz w:val="18"/>
              </w:rPr>
              <w:t>Page 0, taille 6, tri décroissant sur la date de création.</w:t>
            </w:r>
          </w:p>
        </w:tc>
        <w:tc>
          <w:tcPr>
            <w:tcW w:type="dxa" w:w="2494"/>
          </w:tcPr>
          <w:p>
            <w:pPr>
              <w:spacing w:after="40"/>
            </w:pPr>
            <w:r/>
            <w:r>
              <w:rPr>
                <w:sz w:val="18"/>
              </w:rPr>
              <w:t>Six espaces, avec leur code, leur nombre de sous-dossiers et leur statut.</w:t>
            </w:r>
          </w:p>
        </w:tc>
      </w:tr>
      <w:tr>
        <w:tc>
          <w:tcPr>
            <w:tcW w:type="dxa" w:w="1701"/>
          </w:tcPr>
          <w:p>
            <w:pPr>
              <w:spacing w:after="40"/>
            </w:pPr>
            <w:r/>
            <w:r>
              <w:rPr>
                <w:sz w:val="18"/>
              </w:rPr>
              <w:t>Mon activité récente</w:t>
            </w:r>
          </w:p>
        </w:tc>
        <w:tc>
          <w:tcPr>
            <w:tcW w:type="dxa" w:w="2041"/>
          </w:tcPr>
          <w:p>
            <w:pPr>
              <w:spacing w:after="40"/>
            </w:pPr>
            <w:r/>
            <w:r>
              <w:rPr>
                <w:sz w:val="18"/>
              </w:rPr>
              <w:t>Historique des signatures du porteur du jeton</w:t>
            </w:r>
          </w:p>
        </w:tc>
        <w:tc>
          <w:tcPr>
            <w:tcW w:type="dxa" w:w="2835"/>
          </w:tcPr>
          <w:p>
            <w:pPr>
              <w:spacing w:after="40"/>
            </w:pPr>
            <w:r/>
            <w:r>
              <w:rPr>
                <w:sz w:val="18"/>
              </w:rPr>
              <w:t>Aucune pagination : la totalité de l'historique est renvoyée, puis découpée côté navigateur.</w:t>
            </w:r>
          </w:p>
        </w:tc>
        <w:tc>
          <w:tcPr>
            <w:tcW w:type="dxa" w:w="2494"/>
          </w:tcPr>
          <w:p>
            <w:pPr>
              <w:spacing w:after="40"/>
            </w:pPr>
            <w:r/>
            <w:r>
              <w:rPr>
                <w:sz w:val="18"/>
              </w:rPr>
              <w:t>Les décisions déjà prises, signées ou refusées, les plus récentes d'abord.</w:t>
            </w:r>
          </w:p>
        </w:tc>
      </w:tr>
      <w:tr>
        <w:tc>
          <w:tcPr>
            <w:tcW w:type="dxa" w:w="1701"/>
          </w:tcPr>
          <w:p>
            <w:pPr>
              <w:spacing w:after="40"/>
            </w:pPr>
            <w:r/>
            <w:r>
              <w:rPr>
                <w:sz w:val="18"/>
              </w:rPr>
              <w:t>À valider</w:t>
            </w:r>
          </w:p>
        </w:tc>
        <w:tc>
          <w:tcPr>
            <w:tcW w:type="dxa" w:w="2041"/>
          </w:tcPr>
          <w:p>
            <w:pPr>
              <w:spacing w:after="40"/>
            </w:pPr>
            <w:r/>
            <w:r>
              <w:rPr>
                <w:sz w:val="18"/>
              </w:rPr>
              <w:t>Étapes en attente du porteur du jeton</w:t>
            </w:r>
          </w:p>
        </w:tc>
        <w:tc>
          <w:tcPr>
            <w:tcW w:type="dxa" w:w="2835"/>
          </w:tcPr>
          <w:p>
            <w:pPr>
              <w:spacing w:after="40"/>
            </w:pPr>
            <w:r/>
            <w:r>
              <w:rPr>
                <w:sz w:val="18"/>
              </w:rPr>
              <w:t>Aucun paramètre : la liste est intégralement filtrée côté serveur.</w:t>
            </w:r>
          </w:p>
        </w:tc>
        <w:tc>
          <w:tcPr>
            <w:tcW w:type="dxa" w:w="2494"/>
          </w:tcPr>
          <w:p>
            <w:pPr>
              <w:spacing w:after="40"/>
            </w:pPr>
            <w:r/>
            <w:r>
              <w:rPr>
                <w:sz w:val="18"/>
              </w:rPr>
              <w:t>Les étapes traitables, dans l'ordre de leur rang.</w:t>
            </w:r>
          </w:p>
        </w:tc>
      </w:tr>
    </w:tbl>
    <w:p/>
    <w:p>
      <w:pPr>
        <w:pStyle w:val="Heading1"/>
      </w:pPr>
      <w:r>
        <w:t>3. Les relations</w:t>
      </w:r>
    </w:p>
    <w:p>
      <w:r>
        <w:rPr>
          <w:b w:val="0"/>
          <w:i w:val="0"/>
        </w:rPr>
        <w:t>L'accueil n'a pas de relation propre : il traverse celles des autres modules. Le point important est le chemin qui va du jeton au chiffre affiché, car c'est lui qui garantit que le compteur désigne une liste que la personne peut réellement ouvrir.</w:t>
      </w:r>
    </w:p>
    <w:p>
      <w:pPr>
        <w:pStyle w:val="Heading2"/>
      </w:pPr>
      <w:r>
        <w:t>3.1. Ce qui se passe quand un objet lié disparaît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Objet</w:t>
            </w:r>
          </w:p>
        </w:tc>
        <w:tc>
          <w:tcPr>
            <w:tcW w:type="dxa" w:w="3402"/>
          </w:tcPr>
          <w:p>
            <w:pPr>
              <w:spacing w:after="40"/>
            </w:pPr>
            <w:r/>
            <w:r>
              <w:rPr>
                <w:b/>
                <w:sz w:val="18"/>
              </w:rPr>
              <w:t>Effet sur l'accueil</w:t>
            </w:r>
          </w:p>
        </w:tc>
        <w:tc>
          <w:tcPr>
            <w:tcW w:type="dxa" w:w="3742"/>
          </w:tcPr>
          <w:p>
            <w:pPr>
              <w:spacing w:after="40"/>
            </w:pPr>
            <w:r/>
            <w:r>
              <w:rPr>
                <w:b/>
                <w:sz w:val="18"/>
              </w:rPr>
              <w:t>Mécanisme</w:t>
            </w:r>
          </w:p>
        </w:tc>
      </w:tr>
      <w:tr>
        <w:tc>
          <w:tcPr>
            <w:tcW w:type="dxa" w:w="1928"/>
          </w:tcPr>
          <w:p>
            <w:pPr>
              <w:spacing w:after="40"/>
            </w:pPr>
            <w:r/>
            <w:r>
              <w:rPr>
                <w:sz w:val="18"/>
              </w:rPr>
              <w:t>Un document est mis à la corbeille</w:t>
            </w:r>
          </w:p>
        </w:tc>
        <w:tc>
          <w:tcPr>
            <w:tcW w:type="dxa" w:w="3402"/>
          </w:tcPr>
          <w:p>
            <w:pPr>
              <w:spacing w:after="40"/>
            </w:pPr>
            <w:r/>
            <w:r>
              <w:rPr>
                <w:sz w:val="18"/>
              </w:rPr>
              <w:t>Il quitte la tuile « Documents », la répartition par type, la courbe des dépôts, l'encart « Documents récents », et ses étapes en attente quittent l'encart « À valider » ainsi que le compteur.</w:t>
            </w:r>
          </w:p>
        </w:tc>
        <w:tc>
          <w:tcPr>
            <w:tcW w:type="dxa" w:w="3742"/>
          </w:tcPr>
          <w:p>
            <w:pPr>
              <w:spacing w:after="40"/>
            </w:pPr>
            <w:r/>
            <w:r>
              <w:rPr>
                <w:sz w:val="18"/>
              </w:rPr>
              <w:t>Toutes les requêtes d'agrégation filtrent sur le drapeau de corbeille, et la liste des étapes en attente écarte explicitement celles dont le document est supprimé.</w:t>
            </w:r>
          </w:p>
        </w:tc>
      </w:tr>
      <w:tr>
        <w:tc>
          <w:tcPr>
            <w:tcW w:type="dxa" w:w="1928"/>
          </w:tcPr>
          <w:p>
            <w:pPr>
              <w:spacing w:after="40"/>
            </w:pPr>
            <w:r/>
            <w:r>
              <w:rPr>
                <w:sz w:val="18"/>
              </w:rPr>
              <w:t>Un document est restauré</w:t>
            </w:r>
          </w:p>
        </w:tc>
        <w:tc>
          <w:tcPr>
            <w:tcW w:type="dxa" w:w="3402"/>
          </w:tcPr>
          <w:p>
            <w:pPr>
              <w:spacing w:after="40"/>
            </w:pPr>
            <w:r/>
            <w:r>
              <w:rPr>
                <w:sz w:val="18"/>
              </w:rPr>
              <w:t>Tout revient, y compris son circuit de validation dans l'état exact où il l'avait laissé.</w:t>
            </w:r>
          </w:p>
        </w:tc>
        <w:tc>
          <w:tcPr>
            <w:tcW w:type="dxa" w:w="3742"/>
          </w:tcPr>
          <w:p>
            <w:pPr>
              <w:spacing w:after="40"/>
            </w:pPr>
            <w:r/>
            <w:r>
              <w:rPr>
                <w:sz w:val="18"/>
              </w:rPr>
              <w:t>Le filtrage est préféré à une annulation en base précisément pour cela : la corbeille est réversible, les demandes de signature ne sont pas touchées.</w:t>
            </w:r>
          </w:p>
        </w:tc>
      </w:tr>
      <w:tr>
        <w:tc>
          <w:tcPr>
            <w:tcW w:type="dxa" w:w="1928"/>
          </w:tcPr>
          <w:p>
            <w:pPr>
              <w:spacing w:after="40"/>
            </w:pPr>
            <w:r/>
            <w:r>
              <w:rPr>
                <w:sz w:val="18"/>
              </w:rPr>
              <w:t>Un espace de travail est mis à la corbeille</w:t>
            </w:r>
          </w:p>
        </w:tc>
        <w:tc>
          <w:tcPr>
            <w:tcW w:type="dxa" w:w="3402"/>
          </w:tcPr>
          <w:p>
            <w:pPr>
              <w:spacing w:after="40"/>
            </w:pPr>
            <w:r/>
            <w:r>
              <w:rPr>
                <w:sz w:val="18"/>
              </w:rPr>
              <w:t>Il quitte la tuile « Dossiers actifs » et l'encart « Espaces de travail ».</w:t>
            </w:r>
          </w:p>
        </w:tc>
        <w:tc>
          <w:tcPr>
            <w:tcW w:type="dxa" w:w="3742"/>
          </w:tcPr>
          <w:p>
            <w:pPr>
              <w:spacing w:after="40"/>
            </w:pPr>
            <w:r/>
            <w:r>
              <w:rPr>
                <w:sz w:val="18"/>
              </w:rPr>
              <w:t>Comptage filtré sur le drapeau de corbeille.</w:t>
            </w:r>
          </w:p>
        </w:tc>
      </w:tr>
      <w:tr>
        <w:tc>
          <w:tcPr>
            <w:tcW w:type="dxa" w:w="1928"/>
          </w:tcPr>
          <w:p>
            <w:pPr>
              <w:spacing w:after="40"/>
            </w:pPr>
            <w:r/>
            <w:r>
              <w:rPr>
                <w:sz w:val="18"/>
              </w:rPr>
              <w:t>Un type de document est supprimé</w:t>
            </w:r>
          </w:p>
        </w:tc>
        <w:tc>
          <w:tcPr>
            <w:tcW w:type="dxa" w:w="3402"/>
          </w:tcPr>
          <w:p>
            <w:pPr>
              <w:spacing w:after="40"/>
            </w:pPr>
            <w:r/>
            <w:r>
              <w:rPr>
                <w:sz w:val="18"/>
              </w:rPr>
              <w:t>Sa part disparaît de la répartition, mais ses documents restent comptés dans la tuile « Documents ».</w:t>
            </w:r>
          </w:p>
        </w:tc>
        <w:tc>
          <w:tcPr>
            <w:tcW w:type="dxa" w:w="3742"/>
          </w:tcPr>
          <w:p>
            <w:pPr>
              <w:spacing w:after="40"/>
            </w:pPr>
            <w:r/>
            <w:r>
              <w:rPr>
                <w:sz w:val="18"/>
              </w:rPr>
              <w:t>Le lien du document vers son type est obligatoire en base : la suppression d'un type est réversible et ne détache pas les documents. La part « Sans type » ne concerne donc que d'éventuelles données historiques.</w:t>
            </w:r>
          </w:p>
        </w:tc>
      </w:tr>
      <w:tr>
        <w:tc>
          <w:tcPr>
            <w:tcW w:type="dxa" w:w="1928"/>
          </w:tcPr>
          <w:p>
            <w:pPr>
              <w:spacing w:after="40"/>
            </w:pPr>
            <w:r/>
            <w:r>
              <w:rPr>
                <w:sz w:val="18"/>
              </w:rPr>
              <w:t>Un groupe d'accès est mis à la corbeille</w:t>
            </w:r>
          </w:p>
        </w:tc>
        <w:tc>
          <w:tcPr>
            <w:tcW w:type="dxa" w:w="3402"/>
          </w:tcPr>
          <w:p>
            <w:pPr>
              <w:spacing w:after="40"/>
            </w:pPr>
            <w:r/>
            <w:r>
              <w:rPr>
                <w:sz w:val="18"/>
              </w:rPr>
              <w:t>Il quitte la tuile « Groupes d'accès ».</w:t>
            </w:r>
          </w:p>
        </w:tc>
        <w:tc>
          <w:tcPr>
            <w:tcW w:type="dxa" w:w="3742"/>
          </w:tcPr>
          <w:p>
            <w:pPr>
              <w:spacing w:after="40"/>
            </w:pPr>
            <w:r/>
            <w:r>
              <w:rPr>
                <w:sz w:val="18"/>
              </w:rPr>
              <w:t>Comptage filtré sur le drapeau de corbeille.</w:t>
            </w:r>
          </w:p>
        </w:tc>
      </w:tr>
      <w:tr>
        <w:tc>
          <w:tcPr>
            <w:tcW w:type="dxa" w:w="1928"/>
          </w:tcPr>
          <w:p>
            <w:pPr>
              <w:spacing w:after="40"/>
            </w:pPr>
            <w:r/>
            <w:r>
              <w:rPr>
                <w:sz w:val="18"/>
              </w:rPr>
              <w:t>Une étape précédente est rejetée</w:t>
            </w:r>
          </w:p>
        </w:tc>
        <w:tc>
          <w:tcPr>
            <w:tcW w:type="dxa" w:w="3402"/>
          </w:tcPr>
          <w:p>
            <w:pPr>
              <w:spacing w:after="40"/>
            </w:pPr>
            <w:r/>
            <w:r>
              <w:rPr>
                <w:sz w:val="18"/>
              </w:rPr>
              <w:t>L'étape suivante disparaît de l'encart « À valider » et du compteur.</w:t>
            </w:r>
          </w:p>
        </w:tc>
        <w:tc>
          <w:tcPr>
            <w:tcW w:type="dxa" w:w="3742"/>
          </w:tcPr>
          <w:p>
            <w:pPr>
              <w:spacing w:after="40"/>
            </w:pPr>
            <w:r/>
            <w:r>
              <w:rPr>
                <w:sz w:val="18"/>
              </w:rPr>
              <w:t>Une étape n'est traitable que si l'étape de rang immédiatement inférieur est signée.</w:t>
            </w:r>
          </w:p>
        </w:tc>
      </w:tr>
    </w:tbl>
    <w:p/>
    <w:p>
      <w:pPr>
        <w:pStyle w:val="Heading2"/>
      </w:pPr>
      <w:r>
        <w:t>3.2. Schéma du chemin d'un compteur</w:t>
      </w:r>
    </w:p>
    <w:p>
      <w:pPr>
        <w:spacing w:after="0" w:before="0" w:line="240" w:lineRule="auto"/>
      </w:pPr>
      <w:r>
        <w:rPr>
          <w:rFonts w:ascii="Consolas" w:hAnsi="Consolas" w:cs="Consolas"/>
          <w:sz w:val="18"/>
        </w:rPr>
        <w:t xml:space="preserve">  Jeton JWT  --(sujet = e-mail)--&gt;  compte utilisateur  --(1..1)--&gt;  employe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identifiant d'employe</w:t>
      </w:r>
    </w:p>
    <w:p>
      <w:pPr>
        <w:spacing w:after="0" w:before="0" w:line="240" w:lineRule="auto"/>
      </w:pPr>
      <w:r>
        <w:rPr>
          <w:rFonts w:ascii="Consolas" w:hAnsi="Consolas" w:cs="Consolas"/>
          <w:sz w:val="18"/>
        </w:rPr>
        <w:t xml:space="preserve">                                                                        v</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workflow_ged_signatures  WHERE employe_id = ? AND status = 'PENDING'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filtre 1 : le document n'est pas en corbeille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filtre 2 : l'etape est actionnable</w:t>
      </w:r>
    </w:p>
    <w:p>
      <w:pPr>
        <w:spacing w:after="0" w:before="0" w:line="240" w:lineRule="auto"/>
      </w:pPr>
      <w:r>
        <w:rPr>
          <w:rFonts w:ascii="Consolas" w:hAnsi="Consolas" w:cs="Consolas"/>
          <w:sz w:val="18"/>
        </w:rPr>
        <w:t xml:space="preserve">                             (rang &lt;= 1, ou etape rang-1 signee)</w:t>
      </w:r>
    </w:p>
    <w:p>
      <w:pPr>
        <w:spacing w:after="0" w:before="0" w:line="240" w:lineRule="auto"/>
      </w:pPr>
      <w:r>
        <w:rPr>
          <w:rFonts w:ascii="Consolas" w:hAnsi="Consolas" w:cs="Consolas"/>
          <w:sz w:val="18"/>
        </w:rPr>
        <w:t xml:space="preserve">                                   v</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Liste des etapes a traiter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v                                           v</w:t>
      </w:r>
    </w:p>
    <w:p>
      <w:pPr>
        <w:spacing w:after="0" w:before="0" w:line="240" w:lineRule="auto"/>
      </w:pPr>
      <w:r>
        <w:rPr>
          <w:rFonts w:ascii="Consolas" w:hAnsi="Consolas" w:cs="Consolas"/>
          <w:sz w:val="18"/>
        </w:rPr>
        <w:t xml:space="preserve">   encart "A valider" (lignes)              tuile "En attente" (taille)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Une seule methode produit cette liste : la tuile compte ses elements.</w:t>
      </w:r>
    </w:p>
    <w:p>
      <w:pPr>
        <w:spacing w:after="0" w:before="0" w:line="240" w:lineRule="auto"/>
      </w:pPr>
      <w:r>
        <w:rPr>
          <w:rFonts w:ascii="Consolas" w:hAnsi="Consolas" w:cs="Consolas"/>
          <w:sz w:val="18"/>
        </w:rPr>
        <w:t xml:space="preserve">  Il n'existe donc plus deux definitions concurrentes du mot "en attente".</w:t>
      </w:r>
    </w:p>
    <w:p/>
    <w:p>
      <w:r>
        <w:rPr>
          <w:b w:val="0"/>
          <w:i w:val="0"/>
        </w:rPr>
        <w:t>Ce schéma corrige un défaut réel, documenté dans le code : la tuile comptait auparavant toutes les demandes en attente de la base — celles d'autres approbateurs, celles dont l'étape précédente n'était pas signée, et celles de documents mis à la corbeille. Elle annonçait soixante-treize là où l'écran de travail en affichait quarante et une, et rien ne permettait au lecteur de comprendre l'écart. Un chiffre de tableau de bord n'a de sens que s'il désigne une liste que l'utilisateur peut ouvrir et traiter.</w:t>
      </w:r>
    </w:p>
    <w:p>
      <w:pPr>
        <w:pStyle w:val="Heading1"/>
      </w:pPr>
      <w:r>
        <w:t>4. Les opérations disponibles</w:t>
      </w:r>
    </w:p>
    <w:p>
      <w:pPr>
        <w:pStyle w:val="Heading2"/>
      </w:pPr>
      <w:r>
        <w:t>4.1. Les points d'entrée propres au tableau de bord</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814"/>
          </w:tcPr>
          <w:p>
            <w:pPr>
              <w:spacing w:after="40"/>
            </w:pPr>
            <w:r/>
            <w:r>
              <w:rPr>
                <w:b/>
                <w:sz w:val="18"/>
              </w:rPr>
              <w:t>Ce qu'elle fait</w:t>
            </w:r>
          </w:p>
        </w:tc>
        <w:tc>
          <w:tcPr>
            <w:tcW w:type="dxa" w:w="1928"/>
          </w:tcPr>
          <w:p>
            <w:pPr>
              <w:spacing w:after="40"/>
            </w:pPr>
            <w:r/>
            <w:r>
              <w:rPr>
                <w:b/>
                <w:sz w:val="18"/>
              </w:rPr>
              <w:t>Ce qu'elle exige</w:t>
            </w:r>
          </w:p>
        </w:tc>
        <w:tc>
          <w:tcPr>
            <w:tcW w:type="dxa" w:w="1814"/>
          </w:tcPr>
          <w:p>
            <w:pPr>
              <w:spacing w:after="40"/>
            </w:pPr>
            <w:r/>
            <w:r>
              <w:rPr>
                <w:b/>
                <w:sz w:val="18"/>
              </w:rPr>
              <w:t>Ce qu'elle renvoie</w:t>
            </w:r>
          </w:p>
        </w:tc>
        <w:tc>
          <w:tcPr>
            <w:tcW w:type="dxa" w:w="2154"/>
          </w:tcPr>
          <w:p>
            <w:pPr>
              <w:spacing w:after="40"/>
            </w:pPr>
            <w:r/>
            <w:r>
              <w:rPr>
                <w:b/>
                <w:sz w:val="18"/>
              </w:rPr>
              <w:t>Ce qu'elle refuse</w:t>
            </w:r>
          </w:p>
        </w:tc>
      </w:tr>
      <w:tr>
        <w:tc>
          <w:tcPr>
            <w:tcW w:type="dxa" w:w="1928"/>
          </w:tcPr>
          <w:p>
            <w:pPr>
              <w:spacing w:after="40"/>
            </w:pPr>
            <w:r/>
            <w:r>
              <w:rPr>
                <w:sz w:val="18"/>
              </w:rPr>
              <w:t>GET /api/v1/stats/overview</w:t>
            </w:r>
          </w:p>
        </w:tc>
        <w:tc>
          <w:tcPr>
            <w:tcW w:type="dxa" w:w="1814"/>
          </w:tcPr>
          <w:p>
            <w:pPr>
              <w:spacing w:after="40"/>
            </w:pPr>
            <w:r/>
            <w:r>
              <w:rPr>
                <w:sz w:val="18"/>
              </w:rPr>
              <w:t>Compte les quatre indicateurs de synthèse.</w:t>
            </w:r>
          </w:p>
        </w:tc>
        <w:tc>
          <w:tcPr>
            <w:tcW w:type="dxa" w:w="1928"/>
          </w:tcPr>
          <w:p>
            <w:pPr>
              <w:spacing w:after="40"/>
            </w:pPr>
            <w:r/>
            <w:r>
              <w:rPr>
                <w:sz w:val="18"/>
              </w:rPr>
              <w:t>Un jeton valide. L'identité du porteur est lue directement dans le contexte de sécurité, sans paramètre.</w:t>
            </w:r>
          </w:p>
        </w:tc>
        <w:tc>
          <w:tcPr>
            <w:tcW w:type="dxa" w:w="1814"/>
          </w:tcPr>
          <w:p>
            <w:pPr>
              <w:spacing w:after="40"/>
            </w:pPr>
            <w:r/>
            <w:r>
              <w:rPr>
                <w:sz w:val="18"/>
              </w:rPr>
              <w:t>200 avec quatre nombres : dossiers, documents, signatures en attente, groupes d'accès.</w:t>
            </w:r>
          </w:p>
        </w:tc>
        <w:tc>
          <w:tcPr>
            <w:tcW w:type="dxa" w:w="2154"/>
          </w:tcPr>
          <w:p>
            <w:pPr>
              <w:spacing w:after="40"/>
            </w:pPr>
            <w:r/>
            <w:r>
              <w:rPr>
                <w:sz w:val="18"/>
              </w:rPr>
              <w:t>401 si l'appelant n'est pas authentifié. Si le contexte ne porte aucune identité exploitable, le compteur de signatures vaut zéro plutôt que d'échouer.</w:t>
            </w:r>
          </w:p>
        </w:tc>
      </w:tr>
      <w:tr>
        <w:tc>
          <w:tcPr>
            <w:tcW w:type="dxa" w:w="1928"/>
          </w:tcPr>
          <w:p>
            <w:pPr>
              <w:spacing w:after="40"/>
            </w:pPr>
            <w:r/>
            <w:r>
              <w:rPr>
                <w:sz w:val="18"/>
              </w:rPr>
              <w:t>GET /api/v1/stats/par-type</w:t>
            </w:r>
          </w:p>
        </w:tc>
        <w:tc>
          <w:tcPr>
            <w:tcW w:type="dxa" w:w="1814"/>
          </w:tcPr>
          <w:p>
            <w:pPr>
              <w:spacing w:after="40"/>
            </w:pPr>
            <w:r/>
            <w:r>
              <w:rPr>
                <w:sz w:val="18"/>
              </w:rPr>
              <w:t>Agrège les documents vivants par type.</w:t>
            </w:r>
          </w:p>
        </w:tc>
        <w:tc>
          <w:tcPr>
            <w:tcW w:type="dxa" w:w="1928"/>
          </w:tcPr>
          <w:p>
            <w:pPr>
              <w:spacing w:after="40"/>
            </w:pPr>
            <w:r/>
            <w:r>
              <w:rPr>
                <w:sz w:val="18"/>
              </w:rPr>
              <w:t>Un jeton valide. Aucun paramètre.</w:t>
            </w:r>
          </w:p>
        </w:tc>
        <w:tc>
          <w:tcPr>
            <w:tcW w:type="dxa" w:w="1814"/>
          </w:tcPr>
          <w:p>
            <w:pPr>
              <w:spacing w:after="40"/>
            </w:pPr>
            <w:r/>
            <w:r>
              <w:rPr>
                <w:sz w:val="18"/>
              </w:rPr>
              <w:t>200 avec une liste de parts (libellé, nombre), la plus fournie d'abord.</w:t>
            </w:r>
          </w:p>
        </w:tc>
        <w:tc>
          <w:tcPr>
            <w:tcW w:type="dxa" w:w="2154"/>
          </w:tcPr>
          <w:p>
            <w:pPr>
              <w:spacing w:after="40"/>
            </w:pPr>
            <w:r/>
            <w:r>
              <w:rPr>
                <w:sz w:val="18"/>
              </w:rPr>
              <w:t>401 si l'appelant n'est pas authentifié.</w:t>
            </w:r>
          </w:p>
        </w:tc>
      </w:tr>
      <w:tr>
        <w:tc>
          <w:tcPr>
            <w:tcW w:type="dxa" w:w="1928"/>
          </w:tcPr>
          <w:p>
            <w:pPr>
              <w:spacing w:after="40"/>
            </w:pPr>
            <w:r/>
            <w:r>
              <w:rPr>
                <w:sz w:val="18"/>
              </w:rPr>
              <w:t>GET /api/v1/stats/depots?jours=N</w:t>
            </w:r>
          </w:p>
        </w:tc>
        <w:tc>
          <w:tcPr>
            <w:tcW w:type="dxa" w:w="1814"/>
          </w:tcPr>
          <w:p>
            <w:pPr>
              <w:spacing w:after="40"/>
            </w:pPr>
            <w:r/>
            <w:r>
              <w:rPr>
                <w:sz w:val="18"/>
              </w:rPr>
              <w:t>Produit la série quotidienne des dépôts sur la fenêtre demandée.</w:t>
            </w:r>
          </w:p>
        </w:tc>
        <w:tc>
          <w:tcPr>
            <w:tcW w:type="dxa" w:w="1928"/>
          </w:tcPr>
          <w:p>
            <w:pPr>
              <w:spacing w:after="40"/>
            </w:pPr>
            <w:r/>
            <w:r>
              <w:rPr>
                <w:sz w:val="18"/>
              </w:rPr>
              <w:t>Un jeton valide. Le paramètre « jours » est facultatif.</w:t>
            </w:r>
          </w:p>
        </w:tc>
        <w:tc>
          <w:tcPr>
            <w:tcW w:type="dxa" w:w="1814"/>
          </w:tcPr>
          <w:p>
            <w:pPr>
              <w:spacing w:after="40"/>
            </w:pPr>
            <w:r/>
            <w:r>
              <w:rPr>
                <w:sz w:val="18"/>
              </w:rPr>
              <w:t>200 avec une liste de points (date, nombre), un par journée de la fenêtre, sans trou.</w:t>
            </w:r>
          </w:p>
        </w:tc>
        <w:tc>
          <w:tcPr>
            <w:tcW w:type="dxa" w:w="2154"/>
          </w:tcPr>
          <w:p>
            <w:pPr>
              <w:spacing w:after="40"/>
            </w:pPr>
            <w:r/>
            <w:r>
              <w:rPr>
                <w:sz w:val="18"/>
              </w:rPr>
              <w:t>401 si l'appelant n'est pas authentifié. Une valeur hors bornes n'est pas refusée : elle est ramenée dans l'intervalle.</w:t>
            </w:r>
          </w:p>
        </w:tc>
      </w:tr>
    </w:tbl>
    <w:p/>
    <w:p>
      <w:pPr>
        <w:pStyle w:val="Heading2"/>
      </w:pPr>
      <w:r>
        <w:t>4.2. Les opérations empruntées aux autres modules</w:t>
      </w:r>
    </w:p>
    <w:p>
      <w:r>
        <w:rPr>
          <w:b w:val="0"/>
          <w:i w:val="0"/>
        </w:rPr>
        <w:t>L'accueil n'a pas de point d'entrée pour ses encarts de listes ni pour ses décisions : il consomme ceux des modules concernés. C'est ce qui garantit qu'une décision prise ici a exactement le même effet qu'ailleurs.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061"/>
          </w:tcPr>
          <w:p>
            <w:pPr>
              <w:spacing w:after="40"/>
            </w:pPr>
            <w:r/>
            <w:r>
              <w:rPr>
                <w:b/>
                <w:sz w:val="18"/>
              </w:rPr>
              <w:t>Opération</w:t>
            </w:r>
          </w:p>
        </w:tc>
        <w:tc>
          <w:tcPr>
            <w:tcW w:type="dxa" w:w="2041"/>
          </w:tcPr>
          <w:p>
            <w:pPr>
              <w:spacing w:after="40"/>
            </w:pPr>
            <w:r/>
            <w:r>
              <w:rPr>
                <w:b/>
                <w:sz w:val="18"/>
              </w:rPr>
              <w:t>Encart concerné</w:t>
            </w:r>
          </w:p>
        </w:tc>
        <w:tc>
          <w:tcPr>
            <w:tcW w:type="dxa" w:w="3969"/>
          </w:tcPr>
          <w:p>
            <w:pPr>
              <w:spacing w:after="40"/>
            </w:pPr>
            <w:r/>
            <w:r>
              <w:rPr>
                <w:b/>
                <w:sz w:val="18"/>
              </w:rPr>
              <w:t>Rôle</w:t>
            </w:r>
          </w:p>
        </w:tc>
      </w:tr>
      <w:tr>
        <w:tc>
          <w:tcPr>
            <w:tcW w:type="dxa" w:w="3061"/>
          </w:tcPr>
          <w:p>
            <w:pPr>
              <w:spacing w:after="40"/>
            </w:pPr>
            <w:r/>
            <w:r>
              <w:rPr>
                <w:sz w:val="18"/>
              </w:rPr>
              <w:t>GET /api/v1/signatures/pending</w:t>
            </w:r>
          </w:p>
        </w:tc>
        <w:tc>
          <w:tcPr>
            <w:tcW w:type="dxa" w:w="2041"/>
          </w:tcPr>
          <w:p>
            <w:pPr>
              <w:spacing w:after="40"/>
            </w:pPr>
            <w:r/>
            <w:r>
              <w:rPr>
                <w:sz w:val="18"/>
              </w:rPr>
              <w:t>À valider</w:t>
            </w:r>
          </w:p>
        </w:tc>
        <w:tc>
          <w:tcPr>
            <w:tcW w:type="dxa" w:w="3969"/>
          </w:tcPr>
          <w:p>
            <w:pPr>
              <w:spacing w:after="40"/>
            </w:pPr>
            <w:r/>
            <w:r>
              <w:rPr>
                <w:sz w:val="18"/>
              </w:rPr>
              <w:t>Étapes traitables du porteur du jeton. Alimente aussi indirectement la tuile « En attente », qui en compte les éléments.</w:t>
            </w:r>
          </w:p>
        </w:tc>
      </w:tr>
      <w:tr>
        <w:tc>
          <w:tcPr>
            <w:tcW w:type="dxa" w:w="3061"/>
          </w:tcPr>
          <w:p>
            <w:pPr>
              <w:spacing w:after="40"/>
            </w:pPr>
            <w:r/>
            <w:r>
              <w:rPr>
                <w:sz w:val="18"/>
              </w:rPr>
              <w:t>PATCH /api/v1/signatures/{id}/approve</w:t>
            </w:r>
          </w:p>
        </w:tc>
        <w:tc>
          <w:tcPr>
            <w:tcW w:type="dxa" w:w="2041"/>
          </w:tcPr>
          <w:p>
            <w:pPr>
              <w:spacing w:after="40"/>
            </w:pPr>
            <w:r/>
            <w:r>
              <w:rPr>
                <w:sz w:val="18"/>
              </w:rPr>
              <w:t>À valider</w:t>
            </w:r>
          </w:p>
        </w:tc>
        <w:tc>
          <w:tcPr>
            <w:tcW w:type="dxa" w:w="3969"/>
          </w:tcPr>
          <w:p>
            <w:pPr>
              <w:spacing w:after="40"/>
            </w:pPr>
            <w:r/>
            <w:r>
              <w:rPr>
                <w:sz w:val="18"/>
              </w:rPr>
              <w:t>Valide l'étape. Le motif éventuel est facultatif et borné à 255 caractères.</w:t>
            </w:r>
          </w:p>
        </w:tc>
      </w:tr>
      <w:tr>
        <w:tc>
          <w:tcPr>
            <w:tcW w:type="dxa" w:w="3061"/>
          </w:tcPr>
          <w:p>
            <w:pPr>
              <w:spacing w:after="40"/>
            </w:pPr>
            <w:r/>
            <w:r>
              <w:rPr>
                <w:sz w:val="18"/>
              </w:rPr>
              <w:t>PATCH /api/v1/signatures/{id}/reject</w:t>
            </w:r>
          </w:p>
        </w:tc>
        <w:tc>
          <w:tcPr>
            <w:tcW w:type="dxa" w:w="2041"/>
          </w:tcPr>
          <w:p>
            <w:pPr>
              <w:spacing w:after="40"/>
            </w:pPr>
            <w:r/>
            <w:r>
              <w:rPr>
                <w:sz w:val="18"/>
              </w:rPr>
              <w:t>À valider</w:t>
            </w:r>
          </w:p>
        </w:tc>
        <w:tc>
          <w:tcPr>
            <w:tcW w:type="dxa" w:w="3969"/>
          </w:tcPr>
          <w:p>
            <w:pPr>
              <w:spacing w:after="40"/>
            </w:pPr>
            <w:r/>
            <w:r>
              <w:rPr>
                <w:sz w:val="18"/>
              </w:rPr>
              <w:t>Refuse l'étape. Le motif est obligatoire et borné à 255 caractères.</w:t>
            </w:r>
          </w:p>
        </w:tc>
      </w:tr>
      <w:tr>
        <w:tc>
          <w:tcPr>
            <w:tcW w:type="dxa" w:w="3061"/>
          </w:tcPr>
          <w:p>
            <w:pPr>
              <w:spacing w:after="40"/>
            </w:pPr>
            <w:r/>
            <w:r>
              <w:rPr>
                <w:sz w:val="18"/>
              </w:rPr>
              <w:t>GET /api/v1/signatures/history</w:t>
            </w:r>
          </w:p>
        </w:tc>
        <w:tc>
          <w:tcPr>
            <w:tcW w:type="dxa" w:w="2041"/>
          </w:tcPr>
          <w:p>
            <w:pPr>
              <w:spacing w:after="40"/>
            </w:pPr>
            <w:r/>
            <w:r>
              <w:rPr>
                <w:sz w:val="18"/>
              </w:rPr>
              <w:t>Mon activité récente</w:t>
            </w:r>
          </w:p>
        </w:tc>
        <w:tc>
          <w:tcPr>
            <w:tcW w:type="dxa" w:w="3969"/>
          </w:tcPr>
          <w:p>
            <w:pPr>
              <w:spacing w:after="40"/>
            </w:pPr>
            <w:r/>
            <w:r>
              <w:rPr>
                <w:sz w:val="18"/>
              </w:rPr>
              <w:t>Décisions déjà prises par le porteur du jeton, les plus récentes d'abord.</w:t>
            </w:r>
          </w:p>
        </w:tc>
      </w:tr>
      <w:tr>
        <w:tc>
          <w:tcPr>
            <w:tcW w:type="dxa" w:w="3061"/>
          </w:tcPr>
          <w:p>
            <w:pPr>
              <w:spacing w:after="40"/>
            </w:pPr>
            <w:r/>
            <w:r>
              <w:rPr>
                <w:sz w:val="18"/>
              </w:rPr>
              <w:t>GET /api/v1/documents</w:t>
            </w:r>
          </w:p>
        </w:tc>
        <w:tc>
          <w:tcPr>
            <w:tcW w:type="dxa" w:w="2041"/>
          </w:tcPr>
          <w:p>
            <w:pPr>
              <w:spacing w:after="40"/>
            </w:pPr>
            <w:r/>
            <w:r>
              <w:rPr>
                <w:sz w:val="18"/>
              </w:rPr>
              <w:t>Documents récents</w:t>
            </w:r>
          </w:p>
        </w:tc>
        <w:tc>
          <w:tcPr>
            <w:tcW w:type="dxa" w:w="3969"/>
          </w:tcPr>
          <w:p>
            <w:pPr>
              <w:spacing w:after="40"/>
            </w:pPr>
            <w:r/>
            <w:r>
              <w:rPr>
                <w:sz w:val="18"/>
              </w:rPr>
              <w:t>Page réduite, triée sur la date de création décroissante.</w:t>
            </w:r>
          </w:p>
        </w:tc>
      </w:tr>
      <w:tr>
        <w:tc>
          <w:tcPr>
            <w:tcW w:type="dxa" w:w="3061"/>
          </w:tcPr>
          <w:p>
            <w:pPr>
              <w:spacing w:after="40"/>
            </w:pPr>
            <w:r/>
            <w:r>
              <w:rPr>
                <w:sz w:val="18"/>
              </w:rPr>
              <w:t>GET /api/v1/workspaces</w:t>
            </w:r>
          </w:p>
        </w:tc>
        <w:tc>
          <w:tcPr>
            <w:tcW w:type="dxa" w:w="2041"/>
          </w:tcPr>
          <w:p>
            <w:pPr>
              <w:spacing w:after="40"/>
            </w:pPr>
            <w:r/>
            <w:r>
              <w:rPr>
                <w:sz w:val="18"/>
              </w:rPr>
              <w:t>Espaces de travail</w:t>
            </w:r>
          </w:p>
        </w:tc>
        <w:tc>
          <w:tcPr>
            <w:tcW w:type="dxa" w:w="3969"/>
          </w:tcPr>
          <w:p>
            <w:pPr>
              <w:spacing w:after="40"/>
            </w:pPr>
            <w:r/>
            <w:r>
              <w:rPr>
                <w:sz w:val="18"/>
              </w:rPr>
              <w:t>Page réduite. Voir la section 10 au sujet du tri demandé.</w:t>
            </w:r>
          </w:p>
        </w:tc>
      </w:tr>
    </w:tbl>
    <w:p/>
    <w:p>
      <w:pPr>
        <w:pStyle w:val="Heading1"/>
      </w:pPr>
      <w:r>
        <w:t>5. Les règles vérifiées côté serveur</w:t>
      </w:r>
    </w:p>
    <w:p>
      <w:pPr>
        <w:pStyle w:val="Heading3"/>
      </w:pPr>
      <w:r>
        <w:t>5.1. La cohérence des compteurs</w:t>
      </w:r>
    </w:p>
    <w:p>
      <w:pPr>
        <w:keepNext/>
        <w:spacing w:after="40"/>
      </w:pPr>
      <w:r>
        <w:rPr>
          <w:b/>
        </w:rPr>
        <w:t xml:space="preserve">Règle 1 — </w:t>
      </w:r>
      <w:r>
        <w:rPr>
          <w:b/>
        </w:rPr>
        <w:t>Le compteur de signatures en attente et la liste des étapes à valider sont produits par la même méthode.</w:t>
      </w:r>
    </w:p>
    <w:p>
      <w:pPr>
        <w:spacing w:after="40"/>
        <w:ind w:left="340"/>
      </w:pPr>
      <w:r>
        <w:rPr>
          <w:i/>
        </w:rPr>
        <w:t xml:space="preserve">Portée : </w:t>
      </w:r>
      <w:r>
        <w:t>Serveur seul — l'écran ne peut que restituer ce qu'il reçoit.</w:t>
      </w:r>
    </w:p>
    <w:p>
      <w:pPr>
        <w:spacing w:after="160"/>
        <w:ind w:left="340"/>
      </w:pPr>
      <w:r>
        <w:rPr>
          <w:i/>
        </w:rPr>
        <w:t xml:space="preserve">Pourquoi : </w:t>
      </w:r>
      <w:r>
        <w:t>Deux compteurs du même nombre entretenus séparément finissent par diverger, et l'utilisateur ne sait plus lequel croire. La règle fonctionnelle « les trois compteurs doivent bouger ensemble » n'est tenable que si le serveur n'offre qu'une seule définition. La tuile compte les éléments de la liste : il n'y a rien à synchroniser.</w:t>
      </w:r>
    </w:p>
    <w:p>
      <w:pPr>
        <w:keepNext/>
        <w:spacing w:after="40"/>
      </w:pPr>
      <w:r>
        <w:rPr>
          <w:b/>
        </w:rPr>
        <w:t xml:space="preserve">Règle 2 — </w:t>
      </w:r>
      <w:r>
        <w:rPr>
          <w:b/>
        </w:rPr>
        <w:t>Une étape n'est comptée et listée que si son document n'est pas en corbeille.</w:t>
      </w:r>
    </w:p>
    <w:p>
      <w:pPr>
        <w:spacing w:after="40"/>
        <w:ind w:left="340"/>
      </w:pPr>
      <w:r>
        <w:rPr>
          <w:i/>
        </w:rPr>
        <w:t xml:space="preserve">Portée : </w:t>
      </w:r>
      <w:r>
        <w:t>Serveur seul.</w:t>
      </w:r>
    </w:p>
    <w:p>
      <w:pPr>
        <w:spacing w:after="160"/>
        <w:ind w:left="340"/>
      </w:pPr>
      <w:r>
        <w:rPr>
          <w:i/>
        </w:rPr>
        <w:t xml:space="preserve">Pourquoi : </w:t>
      </w:r>
      <w:r>
        <w:t>Un document supprimé n'est plus en jeu. Laisser ses étapes dans la file conduirait à des validations dont il ne resterait aucune trace exploitable. Le filtre est appliqué à la lecture plutôt que par une annulation en base, précisément parce que la corbeille est réversible : restaurer le document doit rendre le circuit dans l'état exact où il l'avait laissé.</w:t>
      </w:r>
    </w:p>
    <w:p>
      <w:pPr>
        <w:keepNext/>
        <w:spacing w:after="40"/>
      </w:pPr>
      <w:r>
        <w:rPr>
          <w:b/>
        </w:rPr>
        <w:t xml:space="preserve">Règle 3 — </w:t>
      </w:r>
      <w:r>
        <w:rPr>
          <w:b/>
        </w:rPr>
        <w:t>Une étape n'est traitable que si elle est de rang 1, ou si l'étape de rang immédiatement inférieur est signée.</w:t>
      </w:r>
    </w:p>
    <w:p>
      <w:pPr>
        <w:spacing w:after="40"/>
        <w:ind w:left="340"/>
      </w:pPr>
      <w:r>
        <w:rPr>
          <w:i/>
        </w:rPr>
        <w:t xml:space="preserve">Portée : </w:t>
      </w:r>
      <w:r>
        <w:t>Serveur seul.</w:t>
      </w:r>
    </w:p>
    <w:p>
      <w:pPr>
        <w:spacing w:after="160"/>
        <w:ind w:left="340"/>
      </w:pPr>
      <w:r>
        <w:rPr>
          <w:i/>
        </w:rPr>
        <w:t xml:space="preserve">Pourquoi : </w:t>
      </w:r>
      <w:r>
        <w:t>Le circuit est séquentiel par construction. Présenter une étape dont le prédécesseur n'a pas tranché ferait signer dans le désordre, et le rejet ultérieur du prédécesseur rendrait la signature déjà donnée sans objet.</w:t>
      </w:r>
    </w:p>
    <w:p>
      <w:pPr>
        <w:pStyle w:val="Heading3"/>
      </w:pPr>
      <w:r>
        <w:t>5.2. Les décisions de validation</w:t>
      </w:r>
    </w:p>
    <w:p>
      <w:pPr>
        <w:keepNext/>
        <w:spacing w:after="40"/>
      </w:pPr>
      <w:r>
        <w:rPr>
          <w:b/>
        </w:rPr>
        <w:t xml:space="preserve">Règle 4 — </w:t>
      </w:r>
      <w:r>
        <w:rPr>
          <w:b/>
        </w:rPr>
        <w:t>Seule la personne assignée à une étape peut l'approuver ou la rejeter, et l'identité comparée vient exclusivement du jeton.</w:t>
      </w:r>
    </w:p>
    <w:p>
      <w:pPr>
        <w:spacing w:after="40"/>
        <w:ind w:left="340"/>
      </w:pPr>
      <w:r>
        <w:rPr>
          <w:i/>
        </w:rPr>
        <w:t xml:space="preserve">Portée : </w:t>
      </w:r>
      <w:r>
        <w:t>Serveur seul — l'écran ne transmet aucune identité.</w:t>
      </w:r>
    </w:p>
    <w:p>
      <w:pPr>
        <w:spacing w:after="160"/>
        <w:ind w:left="340"/>
      </w:pPr>
      <w:r>
        <w:rPr>
          <w:i/>
        </w:rPr>
        <w:t xml:space="preserve">Pourquoi : </w:t>
      </w:r>
      <w:r>
        <w:t>Comparer l'assigné à une valeur choisie par l'appelant reviendrait à lui demander s'il est autorisé. Le paramètre d'identifiant d'employé a été retiré des signatures des opérations plutôt que simplement ignoré : un paramètre encore accepté laisserait croire à l'appelant, et au prochain développeur, qu'il agit sur le résultat.</w:t>
      </w:r>
    </w:p>
    <w:p>
      <w:pPr>
        <w:keepNext/>
        <w:spacing w:after="40"/>
      </w:pPr>
      <w:r>
        <w:rPr>
          <w:b/>
        </w:rPr>
        <w:t xml:space="preserve">Règle 5 — </w:t>
      </w:r>
      <w:r>
        <w:rPr>
          <w:b/>
        </w:rPr>
        <w:t>Le motif est obligatoire au rejet, facultatif à l'approbation, et borné à 255 caractères dans les deux cas.</w:t>
      </w:r>
    </w:p>
    <w:p>
      <w:pPr>
        <w:spacing w:after="40"/>
        <w:ind w:left="340"/>
      </w:pPr>
      <w:r>
        <w:rPr>
          <w:i/>
        </w:rPr>
        <w:t xml:space="preserve">Portée : </w:t>
      </w:r>
      <w:r>
        <w:t>Double — l'écran refuse déjà un motif vide et affiche « Ce champ est requis. ».</w:t>
      </w:r>
    </w:p>
    <w:p>
      <w:pPr>
        <w:spacing w:after="160"/>
        <w:ind w:left="340"/>
      </w:pPr>
      <w:r>
        <w:rPr>
          <w:i/>
        </w:rPr>
        <w:t xml:space="preserve">Pourquoi : </w:t>
      </w:r>
      <w:r>
        <w:t>Un refus sans raison renvoie le déposant à ses suppositions : il ne saura ni quoi corriger, ni s'il doit recommencer. La borne correspond exactement à la colonne : sans elle, une saisie plus longue était refusée par la base et ressortait en panne serveur au lieu d'un refus nommant le champ.</w:t>
      </w:r>
    </w:p>
    <w:p>
      <w:pPr>
        <w:keepNext/>
        <w:spacing w:after="40"/>
      </w:pPr>
      <w:r>
        <w:rPr>
          <w:b/>
        </w:rPr>
        <w:t xml:space="preserve">Règle 6 — </w:t>
      </w:r>
      <w:r>
        <w:rPr>
          <w:b/>
        </w:rPr>
        <w:t>Une étape déjà traitée ne peut plus l'être.</w:t>
      </w:r>
    </w:p>
    <w:p>
      <w:pPr>
        <w:spacing w:after="40"/>
        <w:ind w:left="340"/>
      </w:pPr>
      <w:r>
        <w:rPr>
          <w:i/>
        </w:rPr>
        <w:t xml:space="preserve">Portée : </w:t>
      </w:r>
      <w:r>
        <w:t>Serveur seul.</w:t>
      </w:r>
    </w:p>
    <w:p>
      <w:pPr>
        <w:spacing w:after="160"/>
        <w:ind w:left="340"/>
      </w:pPr>
      <w:r>
        <w:rPr>
          <w:i/>
        </w:rPr>
        <w:t xml:space="preserve">Pourquoi : </w:t>
      </w:r>
      <w:r>
        <w:t>Sans cette vérification, un double clic ou un rejeu de requête produirait deux décisions sur la même étape, dont la seconde écraserait la première.</w:t>
      </w:r>
    </w:p>
    <w:p>
      <w:pPr>
        <w:pStyle w:val="Heading3"/>
      </w:pPr>
      <w:r>
        <w:t>5.3. Les agrégations et leurs bornes</w:t>
      </w:r>
    </w:p>
    <w:p>
      <w:pPr>
        <w:keepNext/>
        <w:spacing w:after="40"/>
      </w:pPr>
      <w:r>
        <w:rPr>
          <w:b/>
        </w:rPr>
        <w:t xml:space="preserve">Règle 7 — </w:t>
      </w:r>
      <w:r>
        <w:rPr>
          <w:b/>
        </w:rPr>
        <w:t>Les quatre indicateurs de synthèse comptent en base, jamais sur une page de résultats.</w:t>
      </w:r>
    </w:p>
    <w:p>
      <w:pPr>
        <w:spacing w:after="40"/>
        <w:ind w:left="340"/>
      </w:pPr>
      <w:r>
        <w:rPr>
          <w:i/>
        </w:rPr>
        <w:t xml:space="preserve">Portée : </w:t>
      </w:r>
      <w:r>
        <w:t>Serveur seul.</w:t>
      </w:r>
    </w:p>
    <w:p>
      <w:pPr>
        <w:spacing w:after="160"/>
        <w:ind w:left="340"/>
      </w:pPr>
      <w:r>
        <w:rPr>
          <w:i/>
        </w:rPr>
        <w:t xml:space="preserve">Pourquoi : </w:t>
      </w:r>
      <w:r>
        <w:t>Une répartition calculée sur les deux cents derniers documents n'est pas une répartition. Le tableau de bord étant paramétrable, chaque encart doit tenir seul : il ne peut pas s'appuyer sur ce qu'un autre encart aurait chargé.</w:t>
      </w:r>
    </w:p>
    <w:p>
      <w:pPr>
        <w:keepNext/>
        <w:spacing w:after="40"/>
      </w:pPr>
      <w:r>
        <w:rPr>
          <w:b/>
        </w:rPr>
        <w:t xml:space="preserve">Règle 8 — </w:t>
      </w:r>
      <w:r>
        <w:rPr>
          <w:b/>
        </w:rPr>
        <w:t>Les documents sans type sont comptés sous le libellé « Sans type » plutôt qu'écartés.</w:t>
      </w:r>
    </w:p>
    <w:p>
      <w:pPr>
        <w:spacing w:after="40"/>
        <w:ind w:left="340"/>
      </w:pPr>
      <w:r>
        <w:rPr>
          <w:i/>
        </w:rPr>
        <w:t xml:space="preserve">Portée : </w:t>
      </w:r>
      <w:r>
        <w:t>Serveur seul.</w:t>
      </w:r>
    </w:p>
    <w:p>
      <w:pPr>
        <w:spacing w:after="160"/>
        <w:ind w:left="340"/>
      </w:pPr>
      <w:r>
        <w:rPr>
          <w:i/>
        </w:rPr>
        <w:t xml:space="preserve">Pourquoi : </w:t>
      </w:r>
      <w:r>
        <w:t>Un total de répartition qui ne retombe pas sur celui de la tuile « Documents » serait incompréhensible pour le lecteur, et le ferait douter des deux chiffres à la fois.</w:t>
      </w:r>
    </w:p>
    <w:p>
      <w:pPr>
        <w:keepNext/>
        <w:spacing w:after="40"/>
      </w:pPr>
      <w:r>
        <w:rPr>
          <w:b/>
        </w:rPr>
        <w:t xml:space="preserve">Règle 9 — </w:t>
      </w:r>
      <w:r>
        <w:rPr>
          <w:b/>
        </w:rPr>
        <w:t>La fenêtre de la courbe des dépôts est ramenée dans l'intervalle de 7 à 180 jours.</w:t>
      </w:r>
    </w:p>
    <w:p>
      <w:pPr>
        <w:spacing w:after="40"/>
        <w:ind w:left="340"/>
      </w:pPr>
      <w:r>
        <w:rPr>
          <w:i/>
        </w:rPr>
        <w:t xml:space="preserve">Portée : </w:t>
      </w:r>
      <w:r>
        <w:t>Serveur seul — l'écran demande toujours trente jours.</w:t>
      </w:r>
    </w:p>
    <w:p>
      <w:pPr>
        <w:spacing w:after="160"/>
        <w:ind w:left="340"/>
      </w:pPr>
      <w:r>
        <w:rPr>
          <w:i/>
        </w:rPr>
        <w:t xml:space="preserve">Pourquoi : </w:t>
      </w:r>
      <w:r>
        <w:t>Une fenêtre trop courte ne dessine rien ; une fenêtre trop longue fait balayer la table entière pour un graphique illisible. Le paramètre est borné plutôt que refusé, de sorte que l'appelant obtienne une réponse utilisable au lieu d'une erreur.</w:t>
      </w:r>
    </w:p>
    <w:p>
      <w:pPr>
        <w:keepNext/>
        <w:spacing w:after="40"/>
      </w:pPr>
      <w:r>
        <w:rPr>
          <w:b/>
        </w:rPr>
        <w:t xml:space="preserve">Règle 10 — </w:t>
      </w:r>
      <w:r>
        <w:rPr>
          <w:b/>
        </w:rPr>
        <w:t>Les journées sans dépôt sont ajoutées à zéro avant l'envoi.</w:t>
      </w:r>
    </w:p>
    <w:p>
      <w:pPr>
        <w:spacing w:after="40"/>
        <w:ind w:left="340"/>
      </w:pPr>
      <w:r>
        <w:rPr>
          <w:i/>
        </w:rPr>
        <w:t xml:space="preserve">Portée : </w:t>
      </w:r>
      <w:r>
        <w:t>Serveur seul.</w:t>
      </w:r>
    </w:p>
    <w:p>
      <w:pPr>
        <w:spacing w:after="160"/>
        <w:ind w:left="340"/>
      </w:pPr>
      <w:r>
        <w:rPr>
          <w:i/>
        </w:rPr>
        <w:t xml:space="preserve">Pourquoi : </w:t>
      </w:r>
      <w:r>
        <w:t>La base ne renvoie que les journées où quelque chose s'est passé. Sept points étalés sur un mois se liraient comme une activité continue si la courbe ne portait pas ses creux.</w:t>
      </w:r>
    </w:p>
    <w:p>
      <w:pPr>
        <w:keepNext/>
        <w:spacing w:after="40"/>
      </w:pPr>
      <w:r>
        <w:rPr>
          <w:b/>
        </w:rPr>
        <w:t xml:space="preserve">Règle 11 — </w:t>
      </w:r>
      <w:r>
        <w:rPr>
          <w:b/>
        </w:rPr>
        <w:t>Tous les points d'entrée de statistiques exigent un appelant authentifié.</w:t>
      </w:r>
    </w:p>
    <w:p>
      <w:pPr>
        <w:spacing w:after="40"/>
        <w:ind w:left="340"/>
      </w:pPr>
      <w:r>
        <w:rPr>
          <w:i/>
        </w:rPr>
        <w:t xml:space="preserve">Portée : </w:t>
      </w:r>
      <w:r>
        <w:t>Serveur seul.</w:t>
      </w:r>
    </w:p>
    <w:p>
      <w:pPr>
        <w:spacing w:after="160"/>
        <w:ind w:left="340"/>
      </w:pPr>
      <w:r>
        <w:rPr>
          <w:i/>
        </w:rPr>
        <w:t xml:space="preserve">Pourquoi : </w:t>
      </w:r>
      <w:r>
        <w:t>Un volume de documents, une répartition par type et une courbe d'activité décrivent l'organisation qui exploite l'application. Ce ne sont pas des données publiques, même si elles ne contiennent aucun contenu documentaire.</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268"/>
          </w:tcPr>
          <w:p>
            <w:pPr>
              <w:spacing w:after="40"/>
            </w:pPr>
            <w:r/>
            <w:r>
              <w:rPr>
                <w:b/>
                <w:sz w:val="18"/>
              </w:rPr>
              <w:t>Situation</w:t>
            </w:r>
          </w:p>
        </w:tc>
        <w:tc>
          <w:tcPr>
            <w:tcW w:type="dxa" w:w="737"/>
          </w:tcPr>
          <w:p>
            <w:pPr>
              <w:spacing w:after="40"/>
            </w:pPr>
            <w:r/>
            <w:r>
              <w:rPr>
                <w:b/>
                <w:sz w:val="18"/>
              </w:rPr>
              <w:t>Code</w:t>
            </w:r>
          </w:p>
        </w:tc>
        <w:tc>
          <w:tcPr>
            <w:tcW w:type="dxa" w:w="3061"/>
          </w:tcPr>
          <w:p>
            <w:pPr>
              <w:spacing w:after="40"/>
            </w:pPr>
            <w:r/>
            <w:r>
              <w:rPr>
                <w:b/>
                <w:sz w:val="18"/>
              </w:rPr>
              <w:t>Message</w:t>
            </w:r>
          </w:p>
        </w:tc>
        <w:tc>
          <w:tcPr>
            <w:tcW w:type="dxa" w:w="3005"/>
          </w:tcPr>
          <w:p>
            <w:pPr>
              <w:spacing w:after="40"/>
            </w:pPr>
            <w:r/>
            <w:r>
              <w:rPr>
                <w:b/>
                <w:sz w:val="18"/>
              </w:rPr>
              <w:t>Ce que l'écran en fait</w:t>
            </w:r>
          </w:p>
        </w:tc>
      </w:tr>
      <w:tr>
        <w:tc>
          <w:tcPr>
            <w:tcW w:type="dxa" w:w="2268"/>
          </w:tcPr>
          <w:p>
            <w:pPr>
              <w:spacing w:after="40"/>
            </w:pPr>
            <w:r/>
            <w:r>
              <w:rPr>
                <w:sz w:val="18"/>
              </w:rPr>
              <w:t>Appel d'un point d'entrée de statistiques sans jeton valide</w:t>
            </w:r>
          </w:p>
        </w:tc>
        <w:tc>
          <w:tcPr>
            <w:tcW w:type="dxa" w:w="737"/>
          </w:tcPr>
          <w:p>
            <w:pPr>
              <w:spacing w:after="40"/>
            </w:pPr>
            <w:r/>
            <w:r>
              <w:rPr>
                <w:sz w:val="18"/>
              </w:rPr>
              <w:t>401</w:t>
            </w:r>
          </w:p>
        </w:tc>
        <w:tc>
          <w:tcPr>
            <w:tcW w:type="dxa" w:w="3061"/>
          </w:tcPr>
          <w:p>
            <w:pPr>
              <w:spacing w:after="40"/>
            </w:pPr>
            <w:r/>
            <w:r>
              <w:rPr>
                <w:sz w:val="18"/>
              </w:rPr>
              <w:t>Aucun corps.</w:t>
            </w:r>
          </w:p>
        </w:tc>
        <w:tc>
          <w:tcPr>
            <w:tcW w:type="dxa" w:w="3005"/>
          </w:tcPr>
          <w:p>
            <w:pPr>
              <w:spacing w:after="40"/>
            </w:pPr>
            <w:r/>
            <w:r>
              <w:rPr>
                <w:sz w:val="18"/>
              </w:rPr>
              <w:t>L'intercepteur ferme la session et renvoie vers la connexion. L'accueil n'est donc jamais affiché à moitié rempli faute d'identité.</w:t>
            </w:r>
          </w:p>
        </w:tc>
      </w:tr>
      <w:tr>
        <w:tc>
          <w:tcPr>
            <w:tcW w:type="dxa" w:w="2268"/>
          </w:tcPr>
          <w:p>
            <w:pPr>
              <w:spacing w:after="40"/>
            </w:pPr>
            <w:r/>
            <w:r>
              <w:rPr>
                <w:sz w:val="18"/>
              </w:rPr>
              <w:t>Étape introuvable</w:t>
            </w:r>
          </w:p>
        </w:tc>
        <w:tc>
          <w:tcPr>
            <w:tcW w:type="dxa" w:w="737"/>
          </w:tcPr>
          <w:p>
            <w:pPr>
              <w:spacing w:after="40"/>
            </w:pPr>
            <w:r/>
            <w:r>
              <w:rPr>
                <w:sz w:val="18"/>
              </w:rPr>
              <w:t>404</w:t>
            </w:r>
          </w:p>
        </w:tc>
        <w:tc>
          <w:tcPr>
            <w:tcW w:type="dxa" w:w="3061"/>
          </w:tcPr>
          <w:p>
            <w:pPr>
              <w:spacing w:after="40"/>
            </w:pPr>
            <w:r/>
            <w:r>
              <w:rPr>
                <w:sz w:val="18"/>
              </w:rPr>
              <w:t>« Signature introuvable : {identifiant} »</w:t>
            </w:r>
          </w:p>
        </w:tc>
        <w:tc>
          <w:tcPr>
            <w:tcW w:type="dxa" w:w="3005"/>
          </w:tcPr>
          <w:p>
            <w:pPr>
              <w:spacing w:after="40"/>
            </w:pPr>
            <w:r/>
            <w:r>
              <w:rPr>
                <w:sz w:val="18"/>
              </w:rPr>
              <w:t>L'encart signale l'échec de l'action ; la ligne reste affichée jusqu'au rechargement suivant.</w:t>
            </w:r>
          </w:p>
        </w:tc>
      </w:tr>
      <w:tr>
        <w:tc>
          <w:tcPr>
            <w:tcW w:type="dxa" w:w="2268"/>
          </w:tcPr>
          <w:p>
            <w:pPr>
              <w:spacing w:after="40"/>
            </w:pPr>
            <w:r/>
            <w:r>
              <w:rPr>
                <w:sz w:val="18"/>
              </w:rPr>
              <w:t>Étape non assignée à l'appelant</w:t>
            </w:r>
          </w:p>
        </w:tc>
        <w:tc>
          <w:tcPr>
            <w:tcW w:type="dxa" w:w="737"/>
          </w:tcPr>
          <w:p>
            <w:pPr>
              <w:spacing w:after="40"/>
            </w:pPr>
            <w:r/>
            <w:r>
              <w:rPr>
                <w:sz w:val="18"/>
              </w:rPr>
              <w:t>400</w:t>
            </w:r>
          </w:p>
        </w:tc>
        <w:tc>
          <w:tcPr>
            <w:tcW w:type="dxa" w:w="3061"/>
          </w:tcPr>
          <w:p>
            <w:pPr>
              <w:spacing w:after="40"/>
            </w:pPr>
            <w:r/>
            <w:r>
              <w:rPr>
                <w:sz w:val="18"/>
              </w:rPr>
              <w:t>« Cette signature ne vous est pas assignée »</w:t>
            </w:r>
          </w:p>
        </w:tc>
        <w:tc>
          <w:tcPr>
            <w:tcW w:type="dxa" w:w="3005"/>
          </w:tcPr>
          <w:p>
            <w:pPr>
              <w:spacing w:after="40"/>
            </w:pPr>
            <w:r/>
            <w:r>
              <w:rPr>
                <w:sz w:val="18"/>
              </w:rPr>
              <w:t>Le message du serveur est affiché tel quel.</w:t>
            </w:r>
          </w:p>
        </w:tc>
      </w:tr>
      <w:tr>
        <w:tc>
          <w:tcPr>
            <w:tcW w:type="dxa" w:w="2268"/>
          </w:tcPr>
          <w:p>
            <w:pPr>
              <w:spacing w:after="40"/>
            </w:pPr>
            <w:r/>
            <w:r>
              <w:rPr>
                <w:sz w:val="18"/>
              </w:rPr>
              <w:t>Document en corbeille</w:t>
            </w:r>
          </w:p>
        </w:tc>
        <w:tc>
          <w:tcPr>
            <w:tcW w:type="dxa" w:w="737"/>
          </w:tcPr>
          <w:p>
            <w:pPr>
              <w:spacing w:after="40"/>
            </w:pPr>
            <w:r/>
            <w:r>
              <w:rPr>
                <w:sz w:val="18"/>
              </w:rPr>
              <w:t>400</w:t>
            </w:r>
          </w:p>
        </w:tc>
        <w:tc>
          <w:tcPr>
            <w:tcW w:type="dxa" w:w="3061"/>
          </w:tcPr>
          <w:p>
            <w:pPr>
              <w:spacing w:after="40"/>
            </w:pPr>
            <w:r/>
            <w:r>
              <w:rPr>
                <w:sz w:val="18"/>
              </w:rPr>
              <w:t>« Document en corbeille : cette étape ne peut plus être traitée. Restaurez-le d'abord. »</w:t>
            </w:r>
          </w:p>
        </w:tc>
        <w:tc>
          <w:tcPr>
            <w:tcW w:type="dxa" w:w="3005"/>
          </w:tcPr>
          <w:p>
            <w:pPr>
              <w:spacing w:after="40"/>
            </w:pPr>
            <w:r/>
            <w:r>
              <w:rPr>
                <w:sz w:val="18"/>
              </w:rPr>
              <w:t>Idem.</w:t>
            </w:r>
          </w:p>
        </w:tc>
      </w:tr>
      <w:tr>
        <w:tc>
          <w:tcPr>
            <w:tcW w:type="dxa" w:w="2268"/>
          </w:tcPr>
          <w:p>
            <w:pPr>
              <w:spacing w:after="40"/>
            </w:pPr>
            <w:r/>
            <w:r>
              <w:rPr>
                <w:sz w:val="18"/>
              </w:rPr>
              <w:t>Étape déjà traitée</w:t>
            </w:r>
          </w:p>
        </w:tc>
        <w:tc>
          <w:tcPr>
            <w:tcW w:type="dxa" w:w="737"/>
          </w:tcPr>
          <w:p>
            <w:pPr>
              <w:spacing w:after="40"/>
            </w:pPr>
            <w:r/>
            <w:r>
              <w:rPr>
                <w:sz w:val="18"/>
              </w:rPr>
              <w:t>400</w:t>
            </w:r>
          </w:p>
        </w:tc>
        <w:tc>
          <w:tcPr>
            <w:tcW w:type="dxa" w:w="3061"/>
          </w:tcPr>
          <w:p>
            <w:pPr>
              <w:spacing w:after="40"/>
            </w:pPr>
            <w:r/>
            <w:r>
              <w:rPr>
                <w:sz w:val="18"/>
              </w:rPr>
              <w:t>« Cette signature a déjà été traitée »</w:t>
            </w:r>
          </w:p>
        </w:tc>
        <w:tc>
          <w:tcPr>
            <w:tcW w:type="dxa" w:w="3005"/>
          </w:tcPr>
          <w:p>
            <w:pPr>
              <w:spacing w:after="40"/>
            </w:pPr>
            <w:r/>
            <w:r>
              <w:rPr>
                <w:sz w:val="18"/>
              </w:rPr>
              <w:t>Idem.</w:t>
            </w:r>
          </w:p>
        </w:tc>
      </w:tr>
      <w:tr>
        <w:tc>
          <w:tcPr>
            <w:tcW w:type="dxa" w:w="2268"/>
          </w:tcPr>
          <w:p>
            <w:pPr>
              <w:spacing w:after="40"/>
            </w:pPr>
            <w:r/>
            <w:r>
              <w:rPr>
                <w:sz w:val="18"/>
              </w:rPr>
              <w:t>Étape précédente non validée</w:t>
            </w:r>
          </w:p>
        </w:tc>
        <w:tc>
          <w:tcPr>
            <w:tcW w:type="dxa" w:w="737"/>
          </w:tcPr>
          <w:p>
            <w:pPr>
              <w:spacing w:after="40"/>
            </w:pPr>
            <w:r/>
            <w:r>
              <w:rPr>
                <w:sz w:val="18"/>
              </w:rPr>
              <w:t>400</w:t>
            </w:r>
          </w:p>
        </w:tc>
        <w:tc>
          <w:tcPr>
            <w:tcW w:type="dxa" w:w="3061"/>
          </w:tcPr>
          <w:p>
            <w:pPr>
              <w:spacing w:after="40"/>
            </w:pPr>
            <w:r/>
            <w:r>
              <w:rPr>
                <w:sz w:val="18"/>
              </w:rPr>
              <w:t>« L'étape précédente n'est pas encore validée »</w:t>
            </w:r>
          </w:p>
        </w:tc>
        <w:tc>
          <w:tcPr>
            <w:tcW w:type="dxa" w:w="3005"/>
          </w:tcPr>
          <w:p>
            <w:pPr>
              <w:spacing w:after="40"/>
            </w:pPr>
            <w:r/>
            <w:r>
              <w:rPr>
                <w:sz w:val="18"/>
              </w:rPr>
              <w:t>Idem. Le cas est théoriquement impossible depuis l'accueil, puisque la liste ne propose que des étapes traitables ; il survient si la situation a changé entre l'affichage et le clic.</w:t>
            </w:r>
          </w:p>
        </w:tc>
      </w:tr>
      <w:tr>
        <w:tc>
          <w:tcPr>
            <w:tcW w:type="dxa" w:w="2268"/>
          </w:tcPr>
          <w:p>
            <w:pPr>
              <w:spacing w:after="40"/>
            </w:pPr>
            <w:r/>
            <w:r>
              <w:rPr>
                <w:sz w:val="18"/>
              </w:rPr>
              <w:t>Rejet sans motif</w:t>
            </w:r>
          </w:p>
        </w:tc>
        <w:tc>
          <w:tcPr>
            <w:tcW w:type="dxa" w:w="737"/>
          </w:tcPr>
          <w:p>
            <w:pPr>
              <w:spacing w:after="40"/>
            </w:pPr>
            <w:r/>
            <w:r>
              <w:rPr>
                <w:sz w:val="18"/>
              </w:rPr>
              <w:t>400</w:t>
            </w:r>
          </w:p>
        </w:tc>
        <w:tc>
          <w:tcPr>
            <w:tcW w:type="dxa" w:w="3061"/>
          </w:tcPr>
          <w:p>
            <w:pPr>
              <w:spacing w:after="40"/>
            </w:pPr>
            <w:r/>
            <w:r>
              <w:rPr>
                <w:sz w:val="18"/>
              </w:rPr>
              <w:t>« Le motif est obligatoire pour un rejet »</w:t>
            </w:r>
          </w:p>
        </w:tc>
        <w:tc>
          <w:tcPr>
            <w:tcW w:type="dxa" w:w="3005"/>
          </w:tcPr>
          <w:p>
            <w:pPr>
              <w:spacing w:after="40"/>
            </w:pPr>
            <w:r/>
            <w:r>
              <w:rPr>
                <w:sz w:val="18"/>
              </w:rPr>
              <w:t>Le cas ne devrait pas remonter : l'écran refuse déjà la validation et affiche « Ce champ est requis. ».</w:t>
            </w:r>
          </w:p>
        </w:tc>
      </w:tr>
      <w:tr>
        <w:tc>
          <w:tcPr>
            <w:tcW w:type="dxa" w:w="2268"/>
          </w:tcPr>
          <w:p>
            <w:pPr>
              <w:spacing w:after="40"/>
            </w:pPr>
            <w:r/>
            <w:r>
              <w:rPr>
                <w:sz w:val="18"/>
              </w:rPr>
              <w:t>Motif de plus de 255 caractères</w:t>
            </w:r>
          </w:p>
        </w:tc>
        <w:tc>
          <w:tcPr>
            <w:tcW w:type="dxa" w:w="737"/>
          </w:tcPr>
          <w:p>
            <w:pPr>
              <w:spacing w:after="40"/>
            </w:pPr>
            <w:r/>
            <w:r>
              <w:rPr>
                <w:sz w:val="18"/>
              </w:rPr>
              <w:t>400</w:t>
            </w:r>
          </w:p>
        </w:tc>
        <w:tc>
          <w:tcPr>
            <w:tcW w:type="dxa" w:w="3061"/>
          </w:tcPr>
          <w:p>
            <w:pPr>
              <w:spacing w:after="40"/>
            </w:pPr>
            <w:r/>
            <w:r>
              <w:rPr>
                <w:sz w:val="18"/>
              </w:rPr>
              <w:t>« Le champ « motif » ne peut pas dépasser 255 caractères (reçu : N). »</w:t>
            </w:r>
          </w:p>
        </w:tc>
        <w:tc>
          <w:tcPr>
            <w:tcW w:type="dxa" w:w="3005"/>
          </w:tcPr>
          <w:p>
            <w:pPr>
              <w:spacing w:after="40"/>
            </w:pPr>
            <w:r/>
            <w:r>
              <w:rPr>
                <w:sz w:val="18"/>
              </w:rPr>
              <w:t>Message affiché tel quel.</w:t>
            </w:r>
          </w:p>
        </w:tc>
      </w:tr>
      <w:tr>
        <w:tc>
          <w:tcPr>
            <w:tcW w:type="dxa" w:w="2268"/>
          </w:tcPr>
          <w:p>
            <w:pPr>
              <w:spacing w:after="40"/>
            </w:pPr>
            <w:r/>
            <w:r>
              <w:rPr>
                <w:sz w:val="18"/>
              </w:rPr>
              <w:t>Un encart échoue pour une autre raison</w:t>
            </w:r>
          </w:p>
        </w:tc>
        <w:tc>
          <w:tcPr>
            <w:tcW w:type="dxa" w:w="737"/>
          </w:tcPr>
          <w:p>
            <w:pPr>
              <w:spacing w:after="40"/>
            </w:pPr>
            <w:r/>
            <w:r>
              <w:rPr>
                <w:sz w:val="18"/>
              </w:rPr>
              <w:t>4xx / 5xx</w:t>
            </w:r>
          </w:p>
        </w:tc>
        <w:tc>
          <w:tcPr>
            <w:tcW w:type="dxa" w:w="3061"/>
          </w:tcPr>
          <w:p>
            <w:pPr>
              <w:spacing w:after="40"/>
            </w:pPr>
            <w:r/>
            <w:r>
              <w:rPr>
                <w:sz w:val="18"/>
              </w:rPr>
              <w:t>Selon le cas.</w:t>
            </w:r>
          </w:p>
        </w:tc>
        <w:tc>
          <w:tcPr>
            <w:tcW w:type="dxa" w:w="3005"/>
          </w:tcPr>
          <w:p>
            <w:pPr>
              <w:spacing w:after="40"/>
            </w:pPr>
            <w:r/>
            <w:r>
              <w:rPr>
                <w:sz w:val="18"/>
              </w:rPr>
              <w:t>Chaque encart interroge le serveur pour son propre compte et gère son propre état de chargement : un encart en échec n'empêche pas les autres de s'afficher. C'est la raison pour laquelle l'accueil ne centralise pas ses appels.</w:t>
            </w:r>
          </w:p>
        </w:tc>
      </w:tr>
    </w:tbl>
    <w:p/>
    <w:p>
      <w:pPr>
        <w:pStyle w:val="Heading1"/>
      </w:pPr>
      <w:r>
        <w:t>7. Ce qui est écrit, et dans quel ordre</w:t>
      </w:r>
    </w:p>
    <w:p>
      <w:r>
        <w:rPr>
          <w:b w:val="0"/>
          <w:i w:val="0"/>
        </w:rPr>
        <w:t>Un seul encart écrit : « À valider ». Les autres sont en lecture pure. Les deux séquences ci-dessous touchent chacune plusieurs objets — la demande de signature et le document — et se déroulent dans une transaction unique.</w:t>
      </w:r>
    </w:p>
    <w:p>
      <w:pPr>
        <w:pStyle w:val="Heading2"/>
      </w:pPr>
      <w:r>
        <w:t>7.1. Approuver une étape</w:t>
      </w:r>
    </w:p>
    <w:p>
      <w:pPr>
        <w:spacing w:after="0" w:before="0" w:line="240" w:lineRule="auto"/>
      </w:pPr>
      <w:r>
        <w:rPr>
          <w:rFonts w:ascii="Consolas" w:hAnsi="Consolas" w:cs="Consolas"/>
          <w:sz w:val="18"/>
        </w:rPr>
        <w:t xml:space="preserve"> 1. Chargement de la demande de signature      -&gt; 404 si introuvable</w:t>
      </w:r>
    </w:p>
    <w:p>
      <w:pPr>
        <w:spacing w:after="0" w:before="0" w:line="240" w:lineRule="auto"/>
      </w:pPr>
      <w:r>
        <w:rPr>
          <w:rFonts w:ascii="Consolas" w:hAnsi="Consolas" w:cs="Consolas"/>
          <w:sz w:val="18"/>
        </w:rPr>
        <w:t xml:space="preserve"> 2. Verification de l'assignation (jeton)      -&gt; 400 si ce n'est pas la votre</w:t>
      </w:r>
    </w:p>
    <w:p>
      <w:pPr>
        <w:spacing w:after="0" w:before="0" w:line="240" w:lineRule="auto"/>
      </w:pPr>
      <w:r>
        <w:rPr>
          <w:rFonts w:ascii="Consolas" w:hAnsi="Consolas" w:cs="Consolas"/>
          <w:sz w:val="18"/>
        </w:rPr>
        <w:t xml:space="preserve"> 3. Verification que le document est vivant    -&gt; 400 si en corbeille</w:t>
      </w:r>
    </w:p>
    <w:p>
      <w:pPr>
        <w:spacing w:after="0" w:before="0" w:line="240" w:lineRule="auto"/>
      </w:pPr>
      <w:r>
        <w:rPr>
          <w:rFonts w:ascii="Consolas" w:hAnsi="Consolas" w:cs="Consolas"/>
          <w:sz w:val="18"/>
        </w:rPr>
        <w:t xml:space="preserve"> 4. Controle de longueur du motif eventuel     -&gt; 400 si &gt; 255 caracteres</w:t>
      </w:r>
    </w:p>
    <w:p>
      <w:pPr>
        <w:spacing w:after="0" w:before="0" w:line="240" w:lineRule="auto"/>
      </w:pPr>
      <w:r>
        <w:rPr>
          <w:rFonts w:ascii="Consolas" w:hAnsi="Consolas" w:cs="Consolas"/>
          <w:sz w:val="18"/>
        </w:rPr>
        <w:t xml:space="preserve"> 5. Verification de l'etat PENDING             -&gt; 400 si deja traitee</w:t>
      </w:r>
    </w:p>
    <w:p>
      <w:pPr>
        <w:spacing w:after="0" w:before="0" w:line="240" w:lineRule="auto"/>
      </w:pPr>
      <w:r>
        <w:rPr>
          <w:rFonts w:ascii="Consolas" w:hAnsi="Consolas" w:cs="Consolas"/>
          <w:sz w:val="18"/>
        </w:rPr>
        <w:t xml:space="preserve"> 6. Verification que l'etape precedente        -&gt; 400 sinon</w:t>
      </w:r>
    </w:p>
    <w:p>
      <w:pPr>
        <w:spacing w:after="0" w:before="0" w:line="240" w:lineRule="auto"/>
      </w:pPr>
      <w:r>
        <w:rPr>
          <w:rFonts w:ascii="Consolas" w:hAnsi="Consolas" w:cs="Consolas"/>
          <w:sz w:val="18"/>
        </w:rPr>
        <w:t xml:space="preserve">    est signee</w:t>
      </w:r>
    </w:p>
    <w:p>
      <w:pPr>
        <w:spacing w:after="0" w:before="0" w:line="240" w:lineRule="auto"/>
      </w:pPr>
      <w:r>
        <w:rPr>
          <w:rFonts w:ascii="Consolas" w:hAnsi="Consolas" w:cs="Consolas"/>
          <w:sz w:val="18"/>
        </w:rPr>
        <w:t xml:space="preserve"> 7. ECRITURE  statut = SIGNED</w:t>
      </w:r>
    </w:p>
    <w:p>
      <w:pPr>
        <w:spacing w:after="0" w:before="0" w:line="240" w:lineRule="auto"/>
      </w:pPr>
      <w:r>
        <w:rPr>
          <w:rFonts w:ascii="Consolas" w:hAnsi="Consolas" w:cs="Consolas"/>
          <w:sz w:val="18"/>
        </w:rPr>
        <w:t xml:space="preserve"> 8. ECRITURE  date de signature = maintenant</w:t>
      </w:r>
    </w:p>
    <w:p>
      <w:pPr>
        <w:spacing w:after="0" w:before="0" w:line="240" w:lineRule="auto"/>
      </w:pPr>
      <w:r>
        <w:rPr>
          <w:rFonts w:ascii="Consolas" w:hAnsi="Consolas" w:cs="Consolas"/>
          <w:sz w:val="18"/>
        </w:rPr>
        <w:t xml:space="preserve"> 9. ECRITURE  motif (facultatif)</w:t>
      </w:r>
    </w:p>
    <w:p>
      <w:pPr>
        <w:spacing w:after="0" w:before="0" w:line="240" w:lineRule="auto"/>
      </w:pPr>
      <w:r>
        <w:rPr>
          <w:rFonts w:ascii="Consolas" w:hAnsi="Consolas" w:cs="Consolas"/>
          <w:sz w:val="18"/>
        </w:rPr>
        <w:t>10. Lecture du circuit complet du document, calcul du rang maximal</w:t>
      </w:r>
    </w:p>
    <w:p>
      <w:pPr>
        <w:spacing w:after="0" w:before="0" w:line="240" w:lineRule="auto"/>
      </w:pPr>
      <w:r>
        <w:rPr>
          <w:rFonts w:ascii="Consolas" w:hAnsi="Consolas" w:cs="Consolas"/>
          <w:sz w:val="18"/>
        </w:rPr>
        <w:t>11. ECRITURE  si l'etape est la derniere : document actif = vrai</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Les etapes 1 a 6 ne modifient rien : tout refus laisse la base intacte.</w:t>
      </w:r>
    </w:p>
    <w:p>
      <w:pPr>
        <w:spacing w:after="0" w:before="0" w:line="240" w:lineRule="auto"/>
      </w:pPr>
      <w:r>
        <w:rPr>
          <w:rFonts w:ascii="Consolas" w:hAnsi="Consolas" w:cs="Consolas"/>
          <w:sz w:val="18"/>
        </w:rPr>
        <w:t xml:space="preserve"> Les etapes 7 a 11 sont dans la meme transaction : soit tout est ecrit,</w:t>
      </w:r>
    </w:p>
    <w:p>
      <w:pPr>
        <w:spacing w:after="0" w:before="0" w:line="240" w:lineRule="auto"/>
      </w:pPr>
      <w:r>
        <w:rPr>
          <w:rFonts w:ascii="Consolas" w:hAnsi="Consolas" w:cs="Consolas"/>
          <w:sz w:val="18"/>
        </w:rPr>
        <w:t xml:space="preserve"> soit rien ne l'est. Il n'existe pas d'etat intermediaire ou l'etape</w:t>
      </w:r>
    </w:p>
    <w:p>
      <w:pPr>
        <w:spacing w:after="0" w:before="0" w:line="240" w:lineRule="auto"/>
      </w:pPr>
      <w:r>
        <w:rPr>
          <w:rFonts w:ascii="Consolas" w:hAnsi="Consolas" w:cs="Consolas"/>
          <w:sz w:val="18"/>
        </w:rPr>
        <w:t xml:space="preserve"> serait signee sans que le document ait ete active.</w:t>
      </w:r>
    </w:p>
    <w:p/>
    <w:p>
      <w:pPr>
        <w:pStyle w:val="Heading2"/>
      </w:pPr>
      <w:r>
        <w:t>7.2. Rejeter une étape</w:t>
      </w:r>
    </w:p>
    <w:p>
      <w:pPr>
        <w:spacing w:after="0" w:before="0" w:line="240" w:lineRule="auto"/>
      </w:pPr>
      <w:r>
        <w:rPr>
          <w:rFonts w:ascii="Consolas" w:hAnsi="Consolas" w:cs="Consolas"/>
          <w:sz w:val="18"/>
        </w:rPr>
        <w:t xml:space="preserve"> 1. Verification que le motif est present      -&gt; 400 si vide ou blanc</w:t>
      </w:r>
    </w:p>
    <w:p>
      <w:pPr>
        <w:spacing w:after="0" w:before="0" w:line="240" w:lineRule="auto"/>
      </w:pPr>
      <w:r>
        <w:rPr>
          <w:rFonts w:ascii="Consolas" w:hAnsi="Consolas" w:cs="Consolas"/>
          <w:sz w:val="18"/>
        </w:rPr>
        <w:t xml:space="preserve"> 2. Controle de longueur du motif              -&gt; 400 si &gt; 255 caracteres</w:t>
      </w:r>
    </w:p>
    <w:p>
      <w:pPr>
        <w:spacing w:after="0" w:before="0" w:line="240" w:lineRule="auto"/>
      </w:pPr>
      <w:r>
        <w:rPr>
          <w:rFonts w:ascii="Consolas" w:hAnsi="Consolas" w:cs="Consolas"/>
          <w:sz w:val="18"/>
        </w:rPr>
        <w:t xml:space="preserve"> 3. Chargement de la demande de signature      -&gt; 404 si introuvable</w:t>
      </w:r>
    </w:p>
    <w:p>
      <w:pPr>
        <w:spacing w:after="0" w:before="0" w:line="240" w:lineRule="auto"/>
      </w:pPr>
      <w:r>
        <w:rPr>
          <w:rFonts w:ascii="Consolas" w:hAnsi="Consolas" w:cs="Consolas"/>
          <w:sz w:val="18"/>
        </w:rPr>
        <w:t xml:space="preserve"> 4. Verification de l'assignation (jeton)      -&gt; 400 si ce n'est pas la votre</w:t>
      </w:r>
    </w:p>
    <w:p>
      <w:pPr>
        <w:spacing w:after="0" w:before="0" w:line="240" w:lineRule="auto"/>
      </w:pPr>
      <w:r>
        <w:rPr>
          <w:rFonts w:ascii="Consolas" w:hAnsi="Consolas" w:cs="Consolas"/>
          <w:sz w:val="18"/>
        </w:rPr>
        <w:t xml:space="preserve"> 5. Verification que le document est vivant    -&gt; 400 si en corbeille</w:t>
      </w:r>
    </w:p>
    <w:p>
      <w:pPr>
        <w:spacing w:after="0" w:before="0" w:line="240" w:lineRule="auto"/>
      </w:pPr>
      <w:r>
        <w:rPr>
          <w:rFonts w:ascii="Consolas" w:hAnsi="Consolas" w:cs="Consolas"/>
          <w:sz w:val="18"/>
        </w:rPr>
        <w:t xml:space="preserve"> 6. Verification de l'etat PENDING             -&gt; 400 si deja traitee</w:t>
      </w:r>
    </w:p>
    <w:p>
      <w:pPr>
        <w:spacing w:after="0" w:before="0" w:line="240" w:lineRule="auto"/>
      </w:pPr>
      <w:r>
        <w:rPr>
          <w:rFonts w:ascii="Consolas" w:hAnsi="Consolas" w:cs="Consolas"/>
          <w:sz w:val="18"/>
        </w:rPr>
        <w:t xml:space="preserve"> 7. ECRITURE  statut = REJECTED</w:t>
      </w:r>
    </w:p>
    <w:p>
      <w:pPr>
        <w:spacing w:after="0" w:before="0" w:line="240" w:lineRule="auto"/>
      </w:pPr>
      <w:r>
        <w:rPr>
          <w:rFonts w:ascii="Consolas" w:hAnsi="Consolas" w:cs="Consolas"/>
          <w:sz w:val="18"/>
        </w:rPr>
        <w:t xml:space="preserve"> 8. ECRITURE  motif</w:t>
      </w:r>
    </w:p>
    <w:p>
      <w:pPr>
        <w:spacing w:after="0" w:before="0" w:line="240" w:lineRule="auto"/>
      </w:pPr>
      <w:r>
        <w:rPr>
          <w:rFonts w:ascii="Consolas" w:hAnsi="Consolas" w:cs="Consolas"/>
          <w:sz w:val="18"/>
        </w:rPr>
        <w:t xml:space="preserve"> 9. Recherche de l'etape de rang immediatement inferieur</w:t>
      </w:r>
    </w:p>
    <w:p>
      <w:pPr>
        <w:spacing w:after="0" w:before="0" w:line="240" w:lineRule="auto"/>
      </w:pPr>
      <w:r>
        <w:rPr>
          <w:rFonts w:ascii="Consolas" w:hAnsi="Consolas" w:cs="Consolas"/>
          <w:sz w:val="18"/>
        </w:rPr>
        <w:t>10. ECRITURE  si elle existe : son statut repasse a PENDING</w:t>
      </w:r>
    </w:p>
    <w:p>
      <w:pPr>
        <w:spacing w:after="0" w:before="0" w:line="240" w:lineRule="auto"/>
      </w:pPr>
      <w:r>
        <w:rPr>
          <w:rFonts w:ascii="Consolas" w:hAnsi="Consolas" w:cs="Consolas"/>
          <w:sz w:val="18"/>
        </w:rPr>
        <w:t xml:space="preserve">               et sa date de signature est effacee</w:t>
      </w:r>
    </w:p>
    <w:p>
      <w:pPr>
        <w:spacing w:after="0" w:before="0" w:line="240" w:lineRule="auto"/>
      </w:pPr>
      <w:r>
        <w:rPr>
          <w:rFonts w:ascii="Consolas" w:hAnsi="Consolas" w:cs="Consolas"/>
          <w:sz w:val="18"/>
        </w:rPr>
        <w:t>11. ECRITURE  document actif = faux</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Noter l'ordre : le motif est verifie AVANT meme de charger la demande.</w:t>
      </w:r>
    </w:p>
    <w:p>
      <w:pPr>
        <w:spacing w:after="0" w:before="0" w:line="240" w:lineRule="auto"/>
      </w:pPr>
      <w:r>
        <w:rPr>
          <w:rFonts w:ascii="Consolas" w:hAnsi="Consolas" w:cs="Consolas"/>
          <w:sz w:val="18"/>
        </w:rPr>
        <w:t xml:space="preserve"> Un rejet sans motif ne provoque donc aucune lecture inutile.</w:t>
      </w:r>
    </w:p>
    <w:p/>
    <w:p>
      <w:pPr>
        <w:pStyle w:val="Heading2"/>
      </w:pPr>
      <w:r>
        <w:t>7.3. Si une étape échoue en cours de route</w:t>
      </w:r>
    </w:p>
    <w:p>
      <w:pPr>
        <w:pStyle w:val="ListBullet"/>
        <w:spacing w:after="60"/>
      </w:pPr>
      <w:r>
        <w:rPr>
          <w:b/>
        </w:rPr>
        <w:t>Avant la première écriture.</w:t>
      </w:r>
      <w:r>
        <w:t xml:space="preserve"> Aucun effet. Les vérifications sont toutes en lecture.</w:t>
      </w:r>
    </w:p>
    <w:p>
      <w:pPr>
        <w:pStyle w:val="ListBullet"/>
        <w:spacing w:after="60"/>
      </w:pPr>
      <w:r>
        <w:rPr>
          <w:b/>
        </w:rPr>
        <w:t>Pendant les écritures.</w:t>
      </w:r>
      <w:r>
        <w:t xml:space="preserve"> La méthode est transactionnelle : une exception annule l'ensemble. On ne peut pas obtenir une étape marquée signée alors que le document n'a pas été activé, ni une étape rejetée sans que l'étape précédente soit rouverte.</w:t>
      </w:r>
    </w:p>
    <w:p>
      <w:pPr>
        <w:pStyle w:val="ListBullet"/>
        <w:spacing w:after="60"/>
      </w:pPr>
      <w:r>
        <w:rPr>
          <w:b/>
        </w:rPr>
        <w:t>Après le retour de la réponse.</w:t>
      </w:r>
      <w:r>
        <w:t xml:space="preserve"> Le seul risque est que le navigateur n'ait pas reçu la réponse alors que l'écriture a eu lieu. Un rechargement de l'accueil fait réapparaître l'état réel : la ligne a quitté la liste et les compteurs ont bougé ensemble, puisqu'ils sont recalculés à partir de la même source.</w:t>
      </w:r>
    </w:p>
    <w:p>
      <w:pPr>
        <w:pStyle w:val="Heading1"/>
      </w:pPr>
      <w:r>
        <w:t>8. Les effets de bord</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Effet</w:t>
            </w:r>
          </w:p>
        </w:tc>
        <w:tc>
          <w:tcPr>
            <w:tcW w:type="dxa" w:w="2494"/>
          </w:tcPr>
          <w:p>
            <w:pPr>
              <w:spacing w:after="40"/>
            </w:pPr>
            <w:r/>
            <w:r>
              <w:rPr>
                <w:b/>
                <w:sz w:val="18"/>
              </w:rPr>
              <w:t>Déclencheur</w:t>
            </w:r>
          </w:p>
        </w:tc>
        <w:tc>
          <w:tcPr>
            <w:tcW w:type="dxa" w:w="4535"/>
          </w:tcPr>
          <w:p>
            <w:pPr>
              <w:spacing w:after="40"/>
            </w:pPr>
            <w:r/>
            <w:r>
              <w:rPr>
                <w:b/>
                <w:sz w:val="18"/>
              </w:rPr>
              <w:t>Conséquence</w:t>
            </w:r>
          </w:p>
        </w:tc>
      </w:tr>
      <w:tr>
        <w:tc>
          <w:tcPr>
            <w:tcW w:type="dxa" w:w="2041"/>
          </w:tcPr>
          <w:p>
            <w:pPr>
              <w:spacing w:after="40"/>
            </w:pPr>
            <w:r/>
            <w:r>
              <w:rPr>
                <w:sz w:val="18"/>
              </w:rPr>
              <w:t>Activation du document</w:t>
            </w:r>
          </w:p>
        </w:tc>
        <w:tc>
          <w:tcPr>
            <w:tcW w:type="dxa" w:w="2494"/>
          </w:tcPr>
          <w:p>
            <w:pPr>
              <w:spacing w:after="40"/>
            </w:pPr>
            <w:r/>
            <w:r>
              <w:rPr>
                <w:sz w:val="18"/>
              </w:rPr>
              <w:t>Approbation de l'étape de rang maximal</w:t>
            </w:r>
          </w:p>
        </w:tc>
        <w:tc>
          <w:tcPr>
            <w:tcW w:type="dxa" w:w="4535"/>
          </w:tcPr>
          <w:p>
            <w:pPr>
              <w:spacing w:after="40"/>
            </w:pPr>
            <w:r/>
            <w:r>
              <w:rPr>
                <w:sz w:val="18"/>
              </w:rPr>
              <w:t>Le document passe à l'état actif. C'est le seul endroit, avec le dépôt d'un document dont l'espace ne porte aucune étape, où cet état devient vrai.</w:t>
            </w:r>
          </w:p>
        </w:tc>
      </w:tr>
      <w:tr>
        <w:tc>
          <w:tcPr>
            <w:tcW w:type="dxa" w:w="2041"/>
          </w:tcPr>
          <w:p>
            <w:pPr>
              <w:spacing w:after="40"/>
            </w:pPr>
            <w:r/>
            <w:r>
              <w:rPr>
                <w:sz w:val="18"/>
              </w:rPr>
              <w:t>Désactivation du document</w:t>
            </w:r>
          </w:p>
        </w:tc>
        <w:tc>
          <w:tcPr>
            <w:tcW w:type="dxa" w:w="2494"/>
          </w:tcPr>
          <w:p>
            <w:pPr>
              <w:spacing w:after="40"/>
            </w:pPr>
            <w:r/>
            <w:r>
              <w:rPr>
                <w:sz w:val="18"/>
              </w:rPr>
              <w:t>Rejet d'une étape</w:t>
            </w:r>
          </w:p>
        </w:tc>
        <w:tc>
          <w:tcPr>
            <w:tcW w:type="dxa" w:w="4535"/>
          </w:tcPr>
          <w:p>
            <w:pPr>
              <w:spacing w:after="40"/>
            </w:pPr>
            <w:r/>
            <w:r>
              <w:rPr>
                <w:sz w:val="18"/>
              </w:rPr>
              <w:t>Le document repasse à l'état inactif, même s'il l'était déjà.</w:t>
            </w:r>
          </w:p>
        </w:tc>
      </w:tr>
      <w:tr>
        <w:tc>
          <w:tcPr>
            <w:tcW w:type="dxa" w:w="2041"/>
          </w:tcPr>
          <w:p>
            <w:pPr>
              <w:spacing w:after="40"/>
            </w:pPr>
            <w:r/>
            <w:r>
              <w:rPr>
                <w:sz w:val="18"/>
              </w:rPr>
              <w:t>Réouverture de l'étape précédente</w:t>
            </w:r>
          </w:p>
        </w:tc>
        <w:tc>
          <w:tcPr>
            <w:tcW w:type="dxa" w:w="2494"/>
          </w:tcPr>
          <w:p>
            <w:pPr>
              <w:spacing w:after="40"/>
            </w:pPr>
            <w:r/>
            <w:r>
              <w:rPr>
                <w:sz w:val="18"/>
              </w:rPr>
              <w:t>Rejet d'une étape de rang supérieur à 1</w:t>
            </w:r>
          </w:p>
        </w:tc>
        <w:tc>
          <w:tcPr>
            <w:tcW w:type="dxa" w:w="4535"/>
          </w:tcPr>
          <w:p>
            <w:pPr>
              <w:spacing w:after="40"/>
            </w:pPr>
            <w:r/>
            <w:r>
              <w:rPr>
                <w:sz w:val="18"/>
              </w:rPr>
              <w:t>L'étape précédente redevient à traiter et perd sa date de signature. La personne qui avait déjà validé voit donc la pièce revenir dans sa file.</w:t>
            </w:r>
          </w:p>
        </w:tc>
      </w:tr>
      <w:tr>
        <w:tc>
          <w:tcPr>
            <w:tcW w:type="dxa" w:w="2041"/>
          </w:tcPr>
          <w:p>
            <w:pPr>
              <w:spacing w:after="40"/>
            </w:pPr>
            <w:r/>
            <w:r>
              <w:rPr>
                <w:sz w:val="18"/>
              </w:rPr>
              <w:t>Déplacement des compteurs</w:t>
            </w:r>
          </w:p>
        </w:tc>
        <w:tc>
          <w:tcPr>
            <w:tcW w:type="dxa" w:w="2494"/>
          </w:tcPr>
          <w:p>
            <w:pPr>
              <w:spacing w:after="40"/>
            </w:pPr>
            <w:r/>
            <w:r>
              <w:rPr>
                <w:sz w:val="18"/>
              </w:rPr>
              <w:t>Toute décision</w:t>
            </w:r>
          </w:p>
        </w:tc>
        <w:tc>
          <w:tcPr>
            <w:tcW w:type="dxa" w:w="4535"/>
          </w:tcPr>
          <w:p>
            <w:pPr>
              <w:spacing w:after="40"/>
            </w:pPr>
            <w:r/>
            <w:r>
              <w:rPr>
                <w:sz w:val="18"/>
              </w:rPr>
              <w:t>Aucun compteur n'est stocké : ils sont recalculés au prochain appel. Il n'y a donc rien à mettre à jour, et rien qui puisse rester en retard.</w:t>
            </w:r>
          </w:p>
        </w:tc>
      </w:tr>
      <w:tr>
        <w:tc>
          <w:tcPr>
            <w:tcW w:type="dxa" w:w="2041"/>
          </w:tcPr>
          <w:p>
            <w:pPr>
              <w:spacing w:after="40"/>
            </w:pPr>
            <w:r/>
            <w:r>
              <w:rPr>
                <w:sz w:val="18"/>
              </w:rPr>
              <w:t>Écriture des préférences d'affichage</w:t>
            </w:r>
          </w:p>
        </w:tc>
        <w:tc>
          <w:tcPr>
            <w:tcW w:type="dxa" w:w="2494"/>
          </w:tcPr>
          <w:p>
            <w:pPr>
              <w:spacing w:after="40"/>
            </w:pPr>
            <w:r/>
            <w:r>
              <w:rPr>
                <w:sz w:val="18"/>
              </w:rPr>
              <w:t>Bascule ou réordonnancement d'un encart</w:t>
            </w:r>
          </w:p>
        </w:tc>
        <w:tc>
          <w:tcPr>
            <w:tcW w:type="dxa" w:w="4535"/>
          </w:tcPr>
          <w:p>
            <w:pPr>
              <w:spacing w:after="40"/>
            </w:pPr>
            <w:r/>
            <w:r>
              <w:rPr>
                <w:sz w:val="18"/>
              </w:rPr>
              <w:t>Stockage local du navigateur, sous une clé qui inclut l'identifiant d'employé. Aucun appel serveur, aucune donnée supprimée : masquer un encart ne fait que cesser de l'afficher.</w:t>
            </w:r>
          </w:p>
        </w:tc>
      </w:tr>
    </w:tbl>
    <w:p/>
    <w:p>
      <w:pPr>
        <w:pStyle w:val="Heading2"/>
      </w:pPr>
      <w:r>
        <w:t>8.1. Ce qui n'est jamais supprimé</w:t>
      </w:r>
    </w:p>
    <w:p>
      <w:pPr>
        <w:pStyle w:val="ListBullet"/>
        <w:spacing w:after="60"/>
      </w:pPr>
      <w:r>
        <w:t>Le motif d'un refus est conservé, même lorsque le circuit est relancé : c'est la seule trace de ce qui a été reproché, et l'approbateur doit l'avoir sous les yeux quand la pièce lui revient.</w:t>
      </w:r>
    </w:p>
    <w:p>
      <w:pPr>
        <w:pStyle w:val="ListBullet"/>
        <w:spacing w:after="60"/>
      </w:pPr>
      <w:r>
        <w:t>Une étape signée reste signée lors d'une relance : elle porte l'accord d'une personne, on ne l'annule pas dans son dos.</w:t>
      </w:r>
    </w:p>
    <w:p>
      <w:pPr>
        <w:pStyle w:val="ListBullet"/>
        <w:spacing w:after="60"/>
      </w:pPr>
      <w:r>
        <w:t>L'historique des décisions n'est jamais purgé : il alimente l'encart « Mon activité récente » et l'écran de suivi.</w:t>
      </w:r>
    </w:p>
    <w:p>
      <w:pPr>
        <w:pStyle w:val="Heading1"/>
      </w:pPr>
      <w:r>
        <w:t>9. Sécurité et contrôle d'accès</w:t>
      </w:r>
    </w:p>
    <w:p>
      <w:r>
        <w:rPr>
          <w:b w:val="0"/>
          <w:i w:val="0"/>
        </w:rPr>
        <w:t>L'application ne comporte qu'un seul compte, l'administrateur. Aucun encart de l'accueil n'est masqué selon un profil, aucune tuile n'est réservée, et il n'existe aucune annotation d'autorisation sur les points d'entrée de statistiques : la seule question posée est « l'appelant est-il authentifié ? ».</w:t>
      </w:r>
    </w:p>
    <w:p>
      <w:pPr>
        <w:pStyle w:val="Heading2"/>
      </w:pPr>
      <w:r>
        <w:t>9.1. Pourquoi l'identité reste indispensable malgré tout</w:t>
      </w:r>
    </w:p>
    <w:p>
      <w:r>
        <w:rPr>
          <w:b w:val="0"/>
          <w:i w:val="0"/>
        </w:rPr>
        <w:t>Deux des informations affichées ne sont pas globales : les signatures en attente et l'activité récente concernent une personne. Le serveur ne les déduit pas d'un paramètre mais du porteur du jeton. C'est une décision de traçabilité, pas d'autorisation : l'identité sert à savoir de qui l'on parle, non à décider de ce qui est permis.</w:t>
      </w:r>
    </w:p>
    <w:p>
      <w:pPr>
        <w:pStyle w:val="ListBullet"/>
        <w:spacing w:after="60"/>
      </w:pPr>
      <w:r>
        <w:rPr>
          <w:b/>
        </w:rPr>
        <w:t>Le point d'entrée de synthèse lit l'identité dans le contexte de sécurité.</w:t>
      </w:r>
      <w:r>
        <w:t xml:space="preserve"> Aucun identifiant d'employé n'est accepté en paramètre.</w:t>
      </w:r>
    </w:p>
    <w:p>
      <w:pPr>
        <w:pStyle w:val="ListBullet"/>
        <w:spacing w:after="60"/>
      </w:pPr>
      <w:r>
        <w:rPr>
          <w:b/>
        </w:rPr>
        <w:t>Si le contexte ne porte pas d'identité exploitable, le compteur vaut zéro.</w:t>
      </w:r>
      <w:r>
        <w:t xml:space="preserve"> Le point d'entrée ne tombe pas en erreur : les trois autres indicateurs restent utiles.</w:t>
      </w:r>
    </w:p>
    <w:p>
      <w:pPr>
        <w:pStyle w:val="ListBullet"/>
        <w:spacing w:after="60"/>
      </w:pPr>
      <w:r>
        <w:rPr>
          <w:b/>
        </w:rPr>
        <w:t>L'approbation et le rejet comparent l'assigné de l'étape à l'identité du jeton.</w:t>
      </w:r>
      <w:r>
        <w:t xml:space="preserve"> Une campagne de tests dédiée rejoue les trois formes d'usurpation qui fonctionnaient auparavant — corps vide, identifiant de la victime dans le corps, identifiant en paramètre de requête — et vérifie qu'aucune n'aboutit.</w:t>
      </w:r>
    </w:p>
    <w:p>
      <w:pPr>
        <w:pStyle w:val="Heading2"/>
      </w:pPr>
      <w:r>
        <w:t>9.2. Ce que l'accueil ne doit pas laisser croire</w:t>
      </w:r>
    </w:p>
    <w:p>
      <w:pPr>
        <w:pStyle w:val="ListBullet"/>
        <w:spacing w:after="60"/>
      </w:pPr>
      <w:r>
        <w:t>Les personnes citées dans l'encart « À valider » et dans l'activité sont des employés, c'est-à-dire des données. Elles ne se connectent pas et ne sont pas des utilisateurs en attente d'activation.</w:t>
      </w:r>
    </w:p>
    <w:p>
      <w:pPr>
        <w:pStyle w:val="ListBullet"/>
        <w:spacing w:after="60"/>
      </w:pPr>
      <w:r>
        <w:t>Les préférences d'affichage sont locales au poste et ne suivent pas la personne d'un ordinateur à l'autre.</w:t>
      </w:r>
    </w:p>
    <w:p>
      <w:pPr>
        <w:pStyle w:val="ListBullet"/>
        <w:spacing w:after="60"/>
      </w:pPr>
      <w:r>
        <w:t>Masquer un encart ne supprime aucune donnée : les chiffres continuent d'exister, ils ne sont simplement plus demandés.</w:t>
      </w:r>
    </w:p>
    <w:p>
      <w:pPr>
        <w:pStyle w:val="Heading1"/>
      </w:pPr>
      <w:r>
        <w:t>10. Points de vigilance et limites connues</w:t>
      </w:r>
    </w:p>
    <w:p>
      <w:pPr>
        <w:pStyle w:val="Heading2"/>
      </w:pPr>
      <w:r>
        <w:t>10.1. Coût des agrégations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Point d'entrée</w:t>
            </w:r>
          </w:p>
        </w:tc>
        <w:tc>
          <w:tcPr>
            <w:tcW w:type="dxa" w:w="3175"/>
          </w:tcPr>
          <w:p>
            <w:pPr>
              <w:spacing w:after="40"/>
            </w:pPr>
            <w:r/>
            <w:r>
              <w:rPr>
                <w:b/>
                <w:sz w:val="18"/>
              </w:rPr>
              <w:t>Coût actuel</w:t>
            </w:r>
          </w:p>
        </w:tc>
        <w:tc>
          <w:tcPr>
            <w:tcW w:type="dxa" w:w="3969"/>
          </w:tcPr>
          <w:p>
            <w:pPr>
              <w:spacing w:after="40"/>
            </w:pPr>
            <w:r/>
            <w:r>
              <w:rPr>
                <w:b/>
                <w:sz w:val="18"/>
              </w:rPr>
              <w:t>Comportement à la montée en charge</w:t>
            </w:r>
          </w:p>
        </w:tc>
      </w:tr>
      <w:tr>
        <w:tc>
          <w:tcPr>
            <w:tcW w:type="dxa" w:w="1928"/>
          </w:tcPr>
          <w:p>
            <w:pPr>
              <w:spacing w:after="40"/>
            </w:pPr>
            <w:r/>
            <w:r>
              <w:rPr>
                <w:sz w:val="18"/>
              </w:rPr>
              <w:t>Synthèse — trois comptages</w:t>
            </w:r>
          </w:p>
        </w:tc>
        <w:tc>
          <w:tcPr>
            <w:tcW w:type="dxa" w:w="3175"/>
          </w:tcPr>
          <w:p>
            <w:pPr>
              <w:spacing w:after="40"/>
            </w:pPr>
            <w:r/>
            <w:r>
              <w:rPr>
                <w:sz w:val="18"/>
              </w:rPr>
              <w:t>Trois requêtes de comptage, chacune servie par un index sur le drapeau de corbeille.</w:t>
            </w:r>
          </w:p>
        </w:tc>
        <w:tc>
          <w:tcPr>
            <w:tcW w:type="dxa" w:w="3969"/>
          </w:tcPr>
          <w:p>
            <w:pPr>
              <w:spacing w:after="40"/>
            </w:pPr>
            <w:r/>
            <w:r>
              <w:rPr>
                <w:sz w:val="18"/>
              </w:rPr>
              <w:t>Reste linéaire mais indexé. Sans ces index, chaque affichage balaierait les tables entières ; ils ont été ajoutés précisément pour cela.</w:t>
            </w:r>
          </w:p>
        </w:tc>
      </w:tr>
      <w:tr>
        <w:tc>
          <w:tcPr>
            <w:tcW w:type="dxa" w:w="1928"/>
          </w:tcPr>
          <w:p>
            <w:pPr>
              <w:spacing w:after="40"/>
            </w:pPr>
            <w:r/>
            <w:r>
              <w:rPr>
                <w:sz w:val="18"/>
              </w:rPr>
              <w:t>Synthèse — signatures en attente</w:t>
            </w:r>
          </w:p>
        </w:tc>
        <w:tc>
          <w:tcPr>
            <w:tcW w:type="dxa" w:w="3175"/>
          </w:tcPr>
          <w:p>
            <w:pPr>
              <w:spacing w:after="40"/>
            </w:pPr>
            <w:r/>
            <w:r>
              <w:rPr>
                <w:sz w:val="18"/>
              </w:rPr>
              <w:t>Une requête sur l'index composite (employé, statut), puis, pour chaque étape de rang supérieur à 1, une lecture du circuit complet du document.</w:t>
            </w:r>
          </w:p>
        </w:tc>
        <w:tc>
          <w:tcPr>
            <w:tcW w:type="dxa" w:w="3969"/>
          </w:tcPr>
          <w:p>
            <w:pPr>
              <w:spacing w:after="40"/>
            </w:pPr>
            <w:r/>
            <w:r>
              <w:rPr>
                <w:sz w:val="18"/>
              </w:rPr>
              <w:t>C'est le point le plus coûteux de l'écran. Le nombre de requêtes croît avec le nombre d'étapes en attente, et le calcul est effectué deux fois lorsque la tuile et l'encart sont affichés ensemble.</w:t>
            </w:r>
          </w:p>
        </w:tc>
      </w:tr>
      <w:tr>
        <w:tc>
          <w:tcPr>
            <w:tcW w:type="dxa" w:w="1928"/>
          </w:tcPr>
          <w:p>
            <w:pPr>
              <w:spacing w:after="40"/>
            </w:pPr>
            <w:r/>
            <w:r>
              <w:rPr>
                <w:sz w:val="18"/>
              </w:rPr>
              <w:t>Répartition par type</w:t>
            </w:r>
          </w:p>
        </w:tc>
        <w:tc>
          <w:tcPr>
            <w:tcW w:type="dxa" w:w="3175"/>
          </w:tcPr>
          <w:p>
            <w:pPr>
              <w:spacing w:after="40"/>
            </w:pPr>
            <w:r/>
            <w:r>
              <w:rPr>
                <w:sz w:val="18"/>
              </w:rPr>
              <w:t>Une seule requête d'agrégation avec jointure externe.</w:t>
            </w:r>
          </w:p>
        </w:tc>
        <w:tc>
          <w:tcPr>
            <w:tcW w:type="dxa" w:w="3969"/>
          </w:tcPr>
          <w:p>
            <w:pPr>
              <w:spacing w:after="40"/>
            </w:pPr>
            <w:r/>
            <w:r>
              <w:rPr>
                <w:sz w:val="18"/>
              </w:rPr>
              <w:t>Correct. La jointure porte sur une clé étrangère indexée.</w:t>
            </w:r>
          </w:p>
        </w:tc>
      </w:tr>
      <w:tr>
        <w:tc>
          <w:tcPr>
            <w:tcW w:type="dxa" w:w="1928"/>
          </w:tcPr>
          <w:p>
            <w:pPr>
              <w:spacing w:after="40"/>
            </w:pPr>
            <w:r/>
            <w:r>
              <w:rPr>
                <w:sz w:val="18"/>
              </w:rPr>
              <w:t>Courbe des dépôts</w:t>
            </w:r>
          </w:p>
        </w:tc>
        <w:tc>
          <w:tcPr>
            <w:tcW w:type="dxa" w:w="3175"/>
          </w:tcPr>
          <w:p>
            <w:pPr>
              <w:spacing w:after="40"/>
            </w:pPr>
            <w:r/>
            <w:r>
              <w:rPr>
                <w:sz w:val="18"/>
              </w:rPr>
              <w:t>Une requête ramenant toutes les dates de création de la fenêtre, puis un regroupement en mémoire.</w:t>
            </w:r>
          </w:p>
        </w:tc>
        <w:tc>
          <w:tcPr>
            <w:tcW w:type="dxa" w:w="3969"/>
          </w:tcPr>
          <w:p>
            <w:pPr>
              <w:spacing w:after="40"/>
            </w:pPr>
            <w:r/>
            <w:r>
              <w:rPr>
                <w:sz w:val="18"/>
              </w:rPr>
              <w:t>Le volume transféré croît avec le nombre de dépôts de la fenêtre, pas avec la taille du fonds. Un regroupement en base serait plus économe sur une GED très active.</w:t>
            </w:r>
          </w:p>
        </w:tc>
      </w:tr>
    </w:tbl>
    <w:p/>
    <w:p>
      <w:pPr>
        <w:pStyle w:val="Heading2"/>
      </w:pPr>
      <w:r>
        <w:t>10.2. Fuseau horaire et frontières de journée</w:t>
      </w:r>
    </w:p>
    <w:p>
      <w:r>
        <w:rPr>
          <w:b w:val="0"/>
          <w:i w:val="0"/>
        </w:rPr>
        <w:t>Le découpage en journées utilise le fuseau horaire du système hébergeant le serveur. Deux conséquences méritent d'être connues. D'abord, un déploiement dont le serveur est réglé sur un fuseau différent de celui des utilisateurs décalera les frontières de journée : un dépôt de fin de soirée pourra apparaître au lendemain. Ensuite, la chaîne de connexion du profil de production fixe explicitement la base en temps universel : la conversion a donc bien lieu, mais elle dépend d'un réglage système et non d'un paramètre applicatif.</w:t>
      </w:r>
    </w:p>
    <w:p>
      <w:pPr>
        <w:pStyle w:val="Heading2"/>
      </w:pPr>
      <w:r>
        <w:t>10.3. Tris demandés et tris appliqués</w:t>
      </w:r>
    </w:p>
    <w:p>
      <w:r>
        <w:rPr>
          <w:b w:val="0"/>
          <w:i w:val="0"/>
        </w:rPr>
        <w:t>Chaque écran de liste déclare la liste blanche des colonnes sur lesquelles le tri est accepté ; une valeur non autorisée est ignorée en silence et remplacée par le tri par défaut, décroissant sur l'identifiant. C'est une protection nécessaire — une valeur libre atteindrait directement le schéma de la table — mais elle produit ici un effet de bord.</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1701"/>
          </w:tcPr>
          <w:p>
            <w:pPr>
              <w:spacing w:after="40"/>
            </w:pPr>
            <w:r/>
            <w:r>
              <w:rPr>
                <w:b/>
                <w:sz w:val="18"/>
              </w:rPr>
              <w:t>Encart</w:t>
            </w:r>
          </w:p>
        </w:tc>
        <w:tc>
          <w:tcPr>
            <w:tcW w:type="dxa" w:w="1928"/>
          </w:tcPr>
          <w:p>
            <w:pPr>
              <w:spacing w:after="40"/>
            </w:pPr>
            <w:r/>
            <w:r>
              <w:rPr>
                <w:b/>
                <w:sz w:val="18"/>
              </w:rPr>
              <w:t>Tri demandé</w:t>
            </w:r>
          </w:p>
        </w:tc>
        <w:tc>
          <w:tcPr>
            <w:tcW w:type="dxa" w:w="3175"/>
          </w:tcPr>
          <w:p>
            <w:pPr>
              <w:spacing w:after="40"/>
            </w:pPr>
            <w:r/>
            <w:r>
              <w:rPr>
                <w:b/>
                <w:sz w:val="18"/>
              </w:rPr>
              <w:t>Tri réellement appliqué</w:t>
            </w:r>
          </w:p>
        </w:tc>
        <w:tc>
          <w:tcPr>
            <w:tcW w:type="dxa" w:w="2268"/>
          </w:tcPr>
          <w:p>
            <w:pPr>
              <w:spacing w:after="40"/>
            </w:pPr>
            <w:r/>
            <w:r>
              <w:rPr>
                <w:b/>
                <w:sz w:val="18"/>
              </w:rPr>
              <w:t>Conséquence</w:t>
            </w:r>
          </w:p>
        </w:tc>
      </w:tr>
      <w:tr>
        <w:tc>
          <w:tcPr>
            <w:tcW w:type="dxa" w:w="1701"/>
          </w:tcPr>
          <w:p>
            <w:pPr>
              <w:spacing w:after="40"/>
            </w:pPr>
            <w:r/>
            <w:r>
              <w:rPr>
                <w:sz w:val="18"/>
              </w:rPr>
              <w:t>Documents récents</w:t>
            </w:r>
          </w:p>
        </w:tc>
        <w:tc>
          <w:tcPr>
            <w:tcW w:type="dxa" w:w="1928"/>
          </w:tcPr>
          <w:p>
            <w:pPr>
              <w:spacing w:after="40"/>
            </w:pPr>
            <w:r/>
            <w:r>
              <w:rPr>
                <w:sz w:val="18"/>
              </w:rPr>
              <w:t>Date de création, décroissante</w:t>
            </w:r>
          </w:p>
        </w:tc>
        <w:tc>
          <w:tcPr>
            <w:tcW w:type="dxa" w:w="3175"/>
          </w:tcPr>
          <w:p>
            <w:pPr>
              <w:spacing w:after="40"/>
            </w:pPr>
            <w:r/>
            <w:r>
              <w:rPr>
                <w:sz w:val="18"/>
              </w:rPr>
              <w:t>Date de création, décroissante — la colonne figure dans la liste blanche des documents.</w:t>
            </w:r>
          </w:p>
        </w:tc>
        <w:tc>
          <w:tcPr>
            <w:tcW w:type="dxa" w:w="2268"/>
          </w:tcPr>
          <w:p>
            <w:pPr>
              <w:spacing w:after="40"/>
            </w:pPr>
            <w:r/>
            <w:r>
              <w:rPr>
                <w:sz w:val="18"/>
              </w:rPr>
              <w:t>Conforme à l'intention.</w:t>
            </w:r>
          </w:p>
        </w:tc>
      </w:tr>
      <w:tr>
        <w:tc>
          <w:tcPr>
            <w:tcW w:type="dxa" w:w="1701"/>
          </w:tcPr>
          <w:p>
            <w:pPr>
              <w:spacing w:after="40"/>
            </w:pPr>
            <w:r/>
            <w:r>
              <w:rPr>
                <w:sz w:val="18"/>
              </w:rPr>
              <w:t>Espaces de travail</w:t>
            </w:r>
          </w:p>
        </w:tc>
        <w:tc>
          <w:tcPr>
            <w:tcW w:type="dxa" w:w="1928"/>
          </w:tcPr>
          <w:p>
            <w:pPr>
              <w:spacing w:after="40"/>
            </w:pPr>
            <w:r/>
            <w:r>
              <w:rPr>
                <w:sz w:val="18"/>
              </w:rPr>
              <w:t>Date de création, décroissante</w:t>
            </w:r>
          </w:p>
        </w:tc>
        <w:tc>
          <w:tcPr>
            <w:tcW w:type="dxa" w:w="3175"/>
          </w:tcPr>
          <w:p>
            <w:pPr>
              <w:spacing w:after="40"/>
            </w:pPr>
            <w:r/>
            <w:r>
              <w:rPr>
                <w:sz w:val="18"/>
              </w:rPr>
              <w:t>Identifiant, décroissant — la date de création ne figure pas dans la liste blanche des espaces, qui n'accepte que l'identifiant, le code, le nom et le statut.</w:t>
            </w:r>
          </w:p>
        </w:tc>
        <w:tc>
          <w:tcPr>
            <w:tcW w:type="dxa" w:w="2268"/>
          </w:tcPr>
          <w:p>
            <w:pPr>
              <w:spacing w:after="40"/>
            </w:pPr>
            <w:r/>
            <w:r>
              <w:rPr>
                <w:sz w:val="18"/>
              </w:rPr>
              <w:t>Le résultat est presque toujours le même, l'identifiant croissant avec le temps ; mais l'intention n'est pas honorée et le deviendra encore moins si des espaces sont un jour créés hors séquence.</w:t>
            </w:r>
          </w:p>
        </w:tc>
      </w:tr>
    </w:tbl>
    <w:p/>
    <w:p>
      <w:pPr>
        <w:pStyle w:val="Heading2"/>
      </w:pPr>
      <w:r>
        <w:t>10.4. Autres limites</w:t>
      </w:r>
    </w:p>
    <w:p>
      <w:pPr>
        <w:pStyle w:val="ListBullet"/>
        <w:spacing w:after="60"/>
      </w:pPr>
      <w:r>
        <w:rPr>
          <w:b/>
        </w:rPr>
        <w:t>Aucune mise en cache.</w:t>
      </w:r>
      <w:r>
        <w:t xml:space="preserve"> Chaque affichage de l'accueil recalcule tout. C'est ce qui garantit la fraîcheur, mais aucun mécanisme n'amortit une consultation répétée.</w:t>
      </w:r>
    </w:p>
    <w:p>
      <w:pPr>
        <w:pStyle w:val="ListBullet"/>
        <w:spacing w:after="60"/>
      </w:pPr>
      <w:r>
        <w:rPr>
          <w:b/>
        </w:rPr>
        <w:t>Le compteur de signatures est calculé deux fois.</w:t>
      </w:r>
      <w:r>
        <w:t xml:space="preserve"> La tuile de synthèse et l'encart « À valider » appellent chacun leur point d'entrée, et tous deux exécutent la même logique de filtrage. La cohérence est assurée, le coût est doublé.</w:t>
      </w:r>
    </w:p>
    <w:p>
      <w:pPr>
        <w:pStyle w:val="ListBullet"/>
        <w:spacing w:after="60"/>
      </w:pPr>
      <w:r>
        <w:rPr>
          <w:b/>
        </w:rPr>
        <w:t>L'historique n'est pas paginé.</w:t>
      </w:r>
      <w:r>
        <w:t xml:space="preserve"> L'encart d'activité reçoit la totalité des décisions passées du porteur du jeton, puis n'en affiche que six. Sur un usage de plusieurs années, la réponse grossira sans limite.</w:t>
      </w:r>
    </w:p>
    <w:p>
      <w:pPr>
        <w:pStyle w:val="ListBullet"/>
        <w:spacing w:after="60"/>
      </w:pPr>
      <w:r>
        <w:rPr>
          <w:b/>
        </w:rPr>
        <w:t>« Dossiers actifs » ne filtre pas sur le statut.</w:t>
      </w:r>
      <w:r>
        <w:t xml:space="preserve"> Le libellé de la tuile dit « actifs », mais le comptage porte sur l'absence de mise en corbeille. Un dossier archivé ou inactif est donc compté. L'écart est faible mais réel, et le vocabulaire gagnerait à être ajusté d'un côté ou de l'autre.</w:t>
      </w:r>
    </w:p>
    <w:p>
      <w:pPr>
        <w:pStyle w:val="ListBullet"/>
        <w:spacing w:after="60"/>
      </w:pPr>
      <w:r>
        <w:rPr>
          <w:b/>
        </w:rPr>
        <w:t>Aucun point d'entrée d'activité globale.</w:t>
      </w:r>
      <w:r>
        <w:t xml:space="preserve"> L'encart « Activité récente » restitue l'activité de la personne connectée, pas celle de l'organisation. C'est un choix assumé : annoncer « activité récente » en montrant les actions de toute la maison serait un contresens. Mais il n'existe aujourd'hui aucun journal d'activité applicative consultable.</w:t>
      </w:r>
    </w:p>
    <w:p>
      <w:pPr>
        <w:pStyle w:val="ListBullet"/>
        <w:spacing w:after="60"/>
      </w:pPr>
      <w:r>
        <w:rPr>
          <w:b/>
        </w:rPr>
        <w:t>Aucune persistance des préférences d'affichage.</w:t>
      </w:r>
      <w:r>
        <w:t xml:space="preserve"> Un changement de poste, un autre navigateur ou un nettoyage du stockage local ramènent la composition par défaut.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GED Marchica Med — 02 Accueil (backend)  —  page </w:t>
    </w:r>
    <w:r>
      <w:rPr>
        <w:color w:val="666666"/>
        <w:sz w:val="16"/>
      </w:rPr>
      <w:fldChar w:fldCharType="begin"/>
      <w:instrText xml:space="preserve">PAGE</w:instrText>
      <w:fldChar w:fldCharType="end"/>
    </w:r>
    <w:r>
      <w:rPr>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35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