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B57"/>
          <w:sz w:val="26"/>
        </w:rPr>
        <w:t>GED MARCHICA MED</w:t>
      </w:r>
    </w:p>
    <w:p>
      <w:pPr>
        <w:jc w:val="center"/>
      </w:pPr>
      <w:r>
        <w:rPr>
          <w:color w:val="444444"/>
          <w:sz w:val="21"/>
        </w:rPr>
        <w:t>Gestion électronique de documents</w:t>
      </w:r>
    </w:p>
    <w:p/>
    <w:p>
      <w:pPr>
        <w:jc w:val="center"/>
      </w:pPr>
      <w:r>
        <w:rPr>
          <w:color w:val="444444"/>
          <w:sz w:val="24"/>
        </w:rPr>
        <w:t>Rapport technique — volet backend</w:t>
      </w:r>
    </w:p>
    <w:p>
      <w:pPr>
        <w:spacing w:before="360"/>
        <w:jc w:val="center"/>
      </w:pPr>
      <w:r>
        <w:rPr>
          <w:b/>
          <w:color w:val="1F3B57"/>
          <w:sz w:val="48"/>
        </w:rPr>
        <w:t>09 — Étiquettes</w:t>
      </w:r>
    </w:p>
    <w:p>
      <w:pPr>
        <w:jc w:val="center"/>
      </w:pPr>
      <w:r>
        <w:rPr>
          <w:i/>
          <w:color w:val="444444"/>
          <w:sz w:val="22"/>
        </w:rPr>
        <w:t>Code, libellé et couleur : le classement transversal</w:t>
      </w:r>
    </w:p>
    <w:p/>
    <w:p/>
    <w:p/>
    <w:p/>
    <w:p/>
    <w:p/>
    <w:p>
      <w:pPr>
        <w:spacing w:after="60"/>
        <w:jc w:val="center"/>
      </w:pPr>
      <w:r>
        <w:rPr>
          <w:b/>
          <w:color w:val="1F3B57"/>
          <w:sz w:val="19"/>
        </w:rPr>
        <w:t xml:space="preserve">Application : </w:t>
      </w:r>
      <w:r>
        <w:rPr>
          <w:color w:val="444444"/>
          <w:sz w:val="19"/>
        </w:rPr>
        <w:t>GED Marchica Med</w:t>
      </w:r>
    </w:p>
    <w:p>
      <w:pPr>
        <w:spacing w:after="60"/>
        <w:jc w:val="center"/>
      </w:pPr>
      <w:r>
        <w:rPr>
          <w:b/>
          <w:color w:val="1F3B57"/>
          <w:sz w:val="19"/>
        </w:rPr>
        <w:t xml:space="preserve">Interface : </w:t>
      </w:r>
      <w:r>
        <w:rPr>
          <w:color w:val="444444"/>
          <w:sz w:val="19"/>
        </w:rPr>
        <w:t>09 — Étiquettes</w:t>
      </w:r>
    </w:p>
    <w:p>
      <w:pPr>
        <w:spacing w:after="60"/>
        <w:jc w:val="center"/>
      </w:pPr>
      <w:r>
        <w:rPr>
          <w:b/>
          <w:color w:val="1F3B57"/>
          <w:sz w:val="19"/>
        </w:rPr>
        <w:t xml:space="preserve">Volet : </w:t>
      </w:r>
      <w:r>
        <w:rPr>
          <w:color w:val="444444"/>
          <w:sz w:val="19"/>
        </w:rPr>
        <w:t>Backend (comportement du serveur)</w:t>
      </w:r>
    </w:p>
    <w:p>
      <w:pPr>
        <w:spacing w:after="60"/>
        <w:jc w:val="center"/>
      </w:pPr>
      <w:r>
        <w:rPr>
          <w:b/>
          <w:color w:val="1F3B57"/>
          <w:sz w:val="19"/>
        </w:rPr>
        <w:t xml:space="preserve">Socle technique : </w:t>
      </w:r>
      <w:r>
        <w:rPr>
          <w:color w:val="444444"/>
          <w:sz w:val="19"/>
        </w:rPr>
        <w:t>Spring Boot, Java 17, JPA/Hibernate, MySQL, Flyway</w:t>
      </w:r>
    </w:p>
    <w:p>
      <w:pPr>
        <w:spacing w:after="60"/>
        <w:jc w:val="center"/>
      </w:pPr>
      <w:r>
        <w:rPr>
          <w:b/>
          <w:color w:val="1F3B57"/>
          <w:sz w:val="19"/>
        </w:rPr>
        <w:t xml:space="preserve">Date d'édition : </w:t>
      </w:r>
      <w:r>
        <w:rPr>
          <w:color w:val="444444"/>
          <w:sz w:val="19"/>
        </w:rPr>
        <w:t>13 août 2026</w:t>
      </w:r>
    </w:p>
    <w:p>
      <w:r>
        <w:br w:type="page"/>
      </w:r>
    </w:p>
    <w:p>
      <w:pPr>
        <w:pStyle w:val="Heading1"/>
      </w:pPr>
      <w:r>
        <w:t>Sommaire</w:t>
      </w:r>
    </w:p>
    <w:p>
      <w:r>
        <w:rPr>
          <w:b w:val="0"/>
          <w:i w:val="0"/>
        </w:rPr>
        <w:t>Le présent document suit le plan ci-dessous.</w:t>
      </w:r>
    </w:p>
    <w:p>
      <w:pPr>
        <w:spacing w:after="40"/>
        <w:ind w:left="340"/>
      </w:pPr>
      <w:r>
        <w:rPr>
          <w:sz w:val="21"/>
        </w:rPr>
        <w:t>1.  Rôle du serveur pour cette interface</w:t>
      </w:r>
    </w:p>
    <w:p>
      <w:pPr>
        <w:spacing w:after="40"/>
        <w:ind w:left="340"/>
      </w:pPr>
      <w:r>
        <w:rPr>
          <w:sz w:val="21"/>
        </w:rPr>
        <w:t>2.  Les données conservées</w:t>
      </w:r>
    </w:p>
    <w:p>
      <w:pPr>
        <w:spacing w:after="40"/>
        <w:ind w:left="340"/>
      </w:pPr>
      <w:r>
        <w:rPr>
          <w:sz w:val="21"/>
        </w:rPr>
        <w:t>3.  Les relations</w:t>
      </w:r>
    </w:p>
    <w:p>
      <w:pPr>
        <w:spacing w:after="40"/>
        <w:ind w:left="340"/>
      </w:pPr>
      <w:r>
        <w:rPr>
          <w:sz w:val="21"/>
        </w:rPr>
        <w:t>4.  Les opérations disponibles</w:t>
      </w:r>
    </w:p>
    <w:p>
      <w:pPr>
        <w:spacing w:after="40"/>
        <w:ind w:left="340"/>
      </w:pPr>
      <w:r>
        <w:rPr>
          <w:sz w:val="21"/>
        </w:rPr>
        <w:t>5.  Les règles vérifiées côté serveur</w:t>
      </w:r>
    </w:p>
    <w:p>
      <w:pPr>
        <w:spacing w:after="40"/>
        <w:ind w:left="340"/>
      </w:pPr>
      <w:r>
        <w:rPr>
          <w:sz w:val="21"/>
        </w:rPr>
        <w:t>6.  Les erreurs et les réponses</w:t>
      </w:r>
    </w:p>
    <w:p>
      <w:pPr>
        <w:spacing w:after="40"/>
        <w:ind w:left="340"/>
      </w:pPr>
      <w:r>
        <w:rPr>
          <w:sz w:val="21"/>
        </w:rPr>
        <w:t>7.  Ce qui est écrit, et dans quel ordre</w:t>
      </w:r>
    </w:p>
    <w:p>
      <w:pPr>
        <w:spacing w:after="40"/>
        <w:ind w:left="340"/>
      </w:pPr>
      <w:r>
        <w:rPr>
          <w:sz w:val="21"/>
        </w:rPr>
        <w:t>8.  Les effets de bord</w:t>
      </w:r>
    </w:p>
    <w:p>
      <w:pPr>
        <w:spacing w:after="40"/>
        <w:ind w:left="340"/>
      </w:pPr>
      <w:r>
        <w:rPr>
          <w:sz w:val="21"/>
        </w:rPr>
        <w:t>9.  Sécurité et contrôle d'accès</w:t>
      </w:r>
    </w:p>
    <w:p>
      <w:pPr>
        <w:spacing w:after="40"/>
        <w:ind w:left="340"/>
      </w:pPr>
      <w:r>
        <w:rPr>
          <w:sz w:val="21"/>
        </w:rPr>
        <w:t>10.  Points de vigilance et limites connues</w:t>
      </w:r>
    </w:p>
    <w:p>
      <w:r>
        <w:br w:type="page"/>
      </w:r>
    </w:p>
    <w:p>
      <w:pPr>
        <w:pStyle w:val="Heading1"/>
      </w:pPr>
      <w:r>
        <w:t>1. Rôle du serveur pour cette interface</w:t>
      </w:r>
    </w:p>
    <w:p>
      <w:r>
        <w:rPr>
          <w:b w:val="0"/>
          <w:i w:val="0"/>
        </w:rPr>
        <w:t>L'étiquette offre un classement transversal, libre, indépendant de la hiérarchie des dossiers. Elle ne porte aucune valeur : elle est posée ou elle ne l'est pas. C'est ce qui la distingue radicalement d'un index, et cette différence se lit directement dans le modèle du serveur — un index dispose d'une table de valeurs, l'étiquette n'en a pas et n'en aura jamais besoin.</w:t>
      </w:r>
    </w:p>
    <w:tbl>
      <w:tblPr>
        <w:tblStyle w:val="LightGrid-Accent1"/>
        <w:tblW w:type="auto" w:w="0"/>
        <w:jc w:val="center"/>
        <w:tblLayout w:type="fixed"/>
        <w:tblLook w:firstColumn="1" w:firstRow="1" w:lastColumn="0" w:lastRow="0" w:noHBand="0" w:noVBand="1" w:val="04A0"/>
      </w:tblPr>
      <w:tblGrid>
        <w:gridCol w:w="3213"/>
        <w:gridCol w:w="3213"/>
        <w:gridCol w:w="3213"/>
      </w:tblGrid>
      <w:tr>
        <w:tc>
          <w:tcPr>
            <w:tcW w:type="dxa" w:w="1928"/>
          </w:tcPr>
          <w:p>
            <w:pPr>
              <w:spacing w:after="40"/>
            </w:pPr>
            <w:r/>
            <w:r>
              <w:rPr>
                <w:b/>
                <w:sz w:val="18"/>
              </w:rPr>
            </w:r>
          </w:p>
        </w:tc>
        <w:tc>
          <w:tcPr>
            <w:tcW w:type="dxa" w:w="3742"/>
          </w:tcPr>
          <w:p>
            <w:pPr>
              <w:spacing w:after="40"/>
            </w:pPr>
            <w:r/>
            <w:r>
              <w:rPr>
                <w:b/>
                <w:sz w:val="18"/>
              </w:rPr>
              <w:t>Index</w:t>
            </w:r>
          </w:p>
        </w:tc>
        <w:tc>
          <w:tcPr>
            <w:tcW w:type="dxa" w:w="3402"/>
          </w:tcPr>
          <w:p>
            <w:pPr>
              <w:spacing w:after="40"/>
            </w:pPr>
            <w:r/>
            <w:r>
              <w:rPr>
                <w:b/>
                <w:sz w:val="18"/>
              </w:rPr>
              <w:t>Étiquette</w:t>
            </w:r>
          </w:p>
        </w:tc>
      </w:tr>
      <w:tr>
        <w:tc>
          <w:tcPr>
            <w:tcW w:type="dxa" w:w="1928"/>
          </w:tcPr>
          <w:p>
            <w:pPr>
              <w:spacing w:after="40"/>
            </w:pPr>
            <w:r/>
            <w:r>
              <w:rPr>
                <w:sz w:val="18"/>
              </w:rPr>
              <w:t>Porte</w:t>
            </w:r>
          </w:p>
        </w:tc>
        <w:tc>
          <w:tcPr>
            <w:tcW w:type="dxa" w:w="3742"/>
          </w:tcPr>
          <w:p>
            <w:pPr>
              <w:spacing w:after="40"/>
            </w:pPr>
            <w:r/>
            <w:r>
              <w:rPr>
                <w:sz w:val="18"/>
              </w:rPr>
              <w:t>Une valeur, stockée dans une table dédiée</w:t>
            </w:r>
          </w:p>
        </w:tc>
        <w:tc>
          <w:tcPr>
            <w:tcW w:type="dxa" w:w="3402"/>
          </w:tcPr>
          <w:p>
            <w:pPr>
              <w:spacing w:after="40"/>
            </w:pPr>
            <w:r/>
            <w:r>
              <w:rPr>
                <w:sz w:val="18"/>
              </w:rPr>
              <w:t>Rien : le lien suffit</w:t>
            </w:r>
          </w:p>
        </w:tc>
      </w:tr>
      <w:tr>
        <w:tc>
          <w:tcPr>
            <w:tcW w:type="dxa" w:w="1928"/>
          </w:tcPr>
          <w:p>
            <w:pPr>
              <w:spacing w:after="40"/>
            </w:pPr>
            <w:r/>
            <w:r>
              <w:rPr>
                <w:sz w:val="18"/>
              </w:rPr>
              <w:t>Décidé par</w:t>
            </w:r>
          </w:p>
        </w:tc>
        <w:tc>
          <w:tcPr>
            <w:tcW w:type="dxa" w:w="3742"/>
          </w:tcPr>
          <w:p>
            <w:pPr>
              <w:spacing w:after="40"/>
            </w:pPr>
            <w:r/>
            <w:r>
              <w:rPr>
                <w:sz w:val="18"/>
              </w:rPr>
              <w:t>Le paramétrage, via le plan d'indexation du type</w:t>
            </w:r>
          </w:p>
        </w:tc>
        <w:tc>
          <w:tcPr>
            <w:tcW w:type="dxa" w:w="3402"/>
          </w:tcPr>
          <w:p>
            <w:pPr>
              <w:spacing w:after="40"/>
            </w:pPr>
            <w:r/>
            <w:r>
              <w:rPr>
                <w:sz w:val="18"/>
              </w:rPr>
              <w:t>L'opérateur, au moment du dépôt</w:t>
            </w:r>
          </w:p>
        </w:tc>
      </w:tr>
      <w:tr>
        <w:tc>
          <w:tcPr>
            <w:tcW w:type="dxa" w:w="1928"/>
          </w:tcPr>
          <w:p>
            <w:pPr>
              <w:spacing w:after="40"/>
            </w:pPr>
            <w:r/>
            <w:r>
              <w:rPr>
                <w:sz w:val="18"/>
              </w:rPr>
              <w:t>Nombre par document</w:t>
            </w:r>
          </w:p>
        </w:tc>
        <w:tc>
          <w:tcPr>
            <w:tcW w:type="dxa" w:w="3742"/>
          </w:tcPr>
          <w:p>
            <w:pPr>
              <w:spacing w:after="40"/>
            </w:pPr>
            <w:r/>
            <w:r>
              <w:rPr>
                <w:sz w:val="18"/>
              </w:rPr>
              <w:t>Un par index du plan, unicité garantie en base</w:t>
            </w:r>
          </w:p>
        </w:tc>
        <w:tc>
          <w:tcPr>
            <w:tcW w:type="dxa" w:w="3402"/>
          </w:tcPr>
          <w:p>
            <w:pPr>
              <w:spacing w:after="40"/>
            </w:pPr>
            <w:r/>
            <w:r>
              <w:rPr>
                <w:sz w:val="18"/>
              </w:rPr>
              <w:t>Autant qu'on veut, sans limite</w:t>
            </w:r>
          </w:p>
        </w:tc>
      </w:tr>
      <w:tr>
        <w:tc>
          <w:tcPr>
            <w:tcW w:type="dxa" w:w="1928"/>
          </w:tcPr>
          <w:p>
            <w:pPr>
              <w:spacing w:after="40"/>
            </w:pPr>
            <w:r/>
            <w:r>
              <w:rPr>
                <w:sz w:val="18"/>
              </w:rPr>
              <w:t>Contrôlé au dépôt</w:t>
            </w:r>
          </w:p>
        </w:tc>
        <w:tc>
          <w:tcPr>
            <w:tcW w:type="dxa" w:w="3742"/>
          </w:tcPr>
          <w:p>
            <w:pPr>
              <w:spacing w:after="40"/>
            </w:pPr>
            <w:r/>
            <w:r>
              <w:rPr>
                <w:sz w:val="18"/>
              </w:rPr>
              <w:t>Type, obligation, appartenance au plan</w:t>
            </w:r>
          </w:p>
        </w:tc>
        <w:tc>
          <w:tcPr>
            <w:tcW w:type="dxa" w:w="3402"/>
          </w:tcPr>
          <w:p>
            <w:pPr>
              <w:spacing w:after="40"/>
            </w:pPr>
            <w:r/>
            <w:r>
              <w:rPr>
                <w:sz w:val="18"/>
              </w:rPr>
              <w:t>Rien : toute étiquette existante est acceptable</w:t>
            </w:r>
          </w:p>
        </w:tc>
      </w:tr>
    </w:tbl>
    <w:p>
      <w:pPr>
        <w:spacing w:after="80"/>
      </w:pPr>
    </w:p>
    <w:p>
      <w:r>
        <w:rPr>
          <w:b w:val="0"/>
          <w:i w:val="0"/>
        </w:rPr>
        <w:t>L'exemple qui éclaire le besoin est celui d'une étiquette « Urgent » qui peut concerner une facture, un contrat et un compte rendu — trois types, trois espaces de travail, trois circuits de validation. Aucune hiérarchie de dossiers ne permet de les regrouper ; une étiquette, si. Le serveur porte ce regroupement sous la forme la plus simple qui soit : une table de trois colonnes utiles et une table de liaison vers les documents.</w:t>
      </w:r>
    </w:p>
    <w:p>
      <w:pPr>
        <w:pStyle w:val="Heading2"/>
      </w:pPr>
      <w:r>
        <w:t>1.1 Ce que le serveur fournit</w:t>
      </w:r>
    </w:p>
    <w:p>
      <w:pPr>
        <w:pStyle w:val="ListBullet"/>
        <w:spacing w:after="60"/>
      </w:pPr>
      <w:r>
        <w:t>La persistance de l'étiquette sous la forme d'une entité unique, la classe Etiquette, portée par la table « etiquettes » : un code, un libellé, une couleur.</w:t>
      </w:r>
    </w:p>
    <w:p>
      <w:pPr>
        <w:pStyle w:val="ListBullet"/>
        <w:spacing w:after="60"/>
      </w:pPr>
      <w:r>
        <w:t>Les listes paginées, active et corbeille, avec recherche sur le libellé et tri sur un ensemble borné de colonnes.</w:t>
      </w:r>
    </w:p>
    <w:p>
      <w:pPr>
        <w:pStyle w:val="ListBullet"/>
        <w:spacing w:after="60"/>
      </w:pPr>
      <w:r>
        <w:t>Une liste allégée pour les sélecteurs.</w:t>
      </w:r>
    </w:p>
    <w:p>
      <w:pPr>
        <w:pStyle w:val="ListBullet"/>
        <w:spacing w:after="60"/>
      </w:pPr>
      <w:r>
        <w:t>Les opérations d'écriture habituelles : création, modification, mise à la corbeille et restauration, unitaires et groupées.</w:t>
      </w:r>
    </w:p>
    <w:p>
      <w:pPr>
        <w:pStyle w:val="ListBullet"/>
        <w:spacing w:after="60"/>
      </w:pPr>
      <w:r>
        <w:t>L'application des étiquettes à un document, qui n'appartient pas à ce module mais qui en dépend entièrement : c'est le service des documents qui écrit la table de liaison, au dépôt comme à la modification d'une fiche.</w:t>
      </w:r>
    </w:p>
    <w:p>
      <w:pPr>
        <w:pStyle w:val="Heading2"/>
      </w:pPr>
      <w:r>
        <w:t>1.2 Ce que le serveur garantit</w:t>
      </w:r>
    </w:p>
    <w:p>
      <w:pPr>
        <w:pStyle w:val="ListBullet"/>
        <w:spacing w:after="60"/>
      </w:pPr>
      <w:r>
        <w:t>L'unicité du code, contrôlée sans égard à la casse et doublée d'une contrainte de base.</w:t>
      </w:r>
    </w:p>
    <w:p>
      <w:pPr>
        <w:pStyle w:val="ListBullet"/>
        <w:spacing w:after="60"/>
      </w:pPr>
      <w:r>
        <w:t>La présence des trois champs : aucun ne peut être vide, la couleur comprise.</w:t>
      </w:r>
    </w:p>
    <w:p>
      <w:pPr>
        <w:pStyle w:val="ListBullet"/>
        <w:spacing w:after="60"/>
      </w:pPr>
      <w:r>
        <w:t>La réversibilité de la suppression, comme sur les sept autres écrans de liste.</w:t>
      </w:r>
    </w:p>
    <w:p>
      <w:pPr>
        <w:pStyle w:val="ListBullet"/>
        <w:spacing w:after="60"/>
      </w:pPr>
      <w:r>
        <w:t>Une couleur unique, servie telle quelle, à partir de laquelle l'écran dessine à la fois la pastille et le code hexadécimal affiché à côté — deux représentations d'une seule valeur, qui ne peuvent donc pas diverger.</w:t>
      </w:r>
    </w:p>
    <w:p>
      <w:pPr>
        <w:pStyle w:val="ListBullet"/>
        <w:spacing w:after="60"/>
      </w:pPr>
      <w:r>
        <w:t>Que la suppression d'une étiquette ne supprime aucun document.</w:t>
      </w:r>
    </w:p>
    <w:p>
      <w:pPr>
        <w:pStyle w:val="Heading2"/>
      </w:pPr>
      <w:r>
        <w:t>1.3 Ce que le serveur ne fait pas</w:t>
      </w:r>
    </w:p>
    <w:p>
      <w:r>
        <w:rPr>
          <w:b w:val="0"/>
          <w:i w:val="0"/>
        </w:rPr>
        <w:t>Le module est le plus simple de la chaîne de paramétrage, et cette simplicité a un revers : presque rien n'y est contrôlé au-delà de la présence des champs. La couleur n'est pas vérifiée, le libellé n'est pas unique, la mise à la corbeille ne détache l'étiquette d'aucun document, et l'application d'une étiquette à un document n'écarte pas les étiquettes supprimées. Ces quatre points sont développés en sections 5, 8 et 10.</w:t>
      </w:r>
    </w:p>
    <w:p>
      <w:r>
        <w:br w:type="page"/>
      </w:r>
    </w:p>
    <w:p>
      <w:pPr>
        <w:pStyle w:val="Heading1"/>
      </w:pPr>
      <w:r>
        <w:t>2. Les données conservées</w:t>
      </w:r>
    </w:p>
    <w:p>
      <w:r>
        <w:rPr>
          <w:b w:val="0"/>
          <w:i w:val="0"/>
        </w:rPr>
        <w:t>Une étiquette occupe une ligne de la table « etiquettes ». C'est l'entité la plus légère de l'application : trois colonnes utiles, un indicateur de corbeille et les deux horodatages communs à toutes les entités.</w:t>
      </w:r>
    </w:p>
    <w:tbl>
      <w:tblPr>
        <w:tblStyle w:val="LightGrid-Accent1"/>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701"/>
          </w:tcPr>
          <w:p>
            <w:pPr>
              <w:spacing w:after="40"/>
            </w:pPr>
            <w:r/>
            <w:r>
              <w:rPr>
                <w:b/>
                <w:sz w:val="18"/>
              </w:rPr>
              <w:t>Information</w:t>
            </w:r>
          </w:p>
        </w:tc>
        <w:tc>
          <w:tcPr>
            <w:tcW w:type="dxa" w:w="1814"/>
          </w:tcPr>
          <w:p>
            <w:pPr>
              <w:spacing w:after="40"/>
            </w:pPr>
            <w:r/>
            <w:r>
              <w:rPr>
                <w:b/>
                <w:sz w:val="18"/>
              </w:rPr>
              <w:t>Nature</w:t>
            </w:r>
          </w:p>
        </w:tc>
        <w:tc>
          <w:tcPr>
            <w:tcW w:type="dxa" w:w="907"/>
          </w:tcPr>
          <w:p>
            <w:pPr>
              <w:spacing w:after="40"/>
            </w:pPr>
            <w:r/>
            <w:r>
              <w:rPr>
                <w:b/>
                <w:sz w:val="18"/>
              </w:rPr>
              <w:t>Oblig.</w:t>
            </w:r>
          </w:p>
        </w:tc>
        <w:tc>
          <w:tcPr>
            <w:tcW w:type="dxa" w:w="1701"/>
          </w:tcPr>
          <w:p>
            <w:pPr>
              <w:spacing w:after="40"/>
            </w:pPr>
            <w:r/>
            <w:r>
              <w:rPr>
                <w:b/>
                <w:sz w:val="18"/>
              </w:rPr>
              <w:t>Défaut</w:t>
            </w:r>
          </w:p>
        </w:tc>
        <w:tc>
          <w:tcPr>
            <w:tcW w:type="dxa" w:w="1701"/>
          </w:tcPr>
          <w:p>
            <w:pPr>
              <w:spacing w:after="40"/>
            </w:pPr>
            <w:r/>
            <w:r>
              <w:rPr>
                <w:b/>
                <w:sz w:val="18"/>
              </w:rPr>
              <w:t>Unicité</w:t>
            </w:r>
          </w:p>
        </w:tc>
        <w:tc>
          <w:tcPr>
            <w:tcW w:type="dxa" w:w="2041"/>
          </w:tcPr>
          <w:p>
            <w:pPr>
              <w:spacing w:after="40"/>
            </w:pPr>
            <w:r/>
            <w:r>
              <w:rPr>
                <w:b/>
                <w:sz w:val="18"/>
              </w:rPr>
              <w:t>Relation</w:t>
            </w:r>
          </w:p>
        </w:tc>
      </w:tr>
      <w:tr>
        <w:tc>
          <w:tcPr>
            <w:tcW w:type="dxa" w:w="1701"/>
          </w:tcPr>
          <w:p>
            <w:pPr>
              <w:spacing w:after="40"/>
            </w:pPr>
            <w:r/>
            <w:r>
              <w:rPr>
                <w:sz w:val="18"/>
              </w:rPr>
              <w:t>Identifiant</w:t>
            </w:r>
          </w:p>
        </w:tc>
        <w:tc>
          <w:tcPr>
            <w:tcW w:type="dxa" w:w="1814"/>
          </w:tcPr>
          <w:p>
            <w:pPr>
              <w:spacing w:after="40"/>
            </w:pPr>
            <w:r/>
            <w:r>
              <w:rPr>
                <w:sz w:val="18"/>
              </w:rPr>
              <w:t>Entier long, attribué par la base</w:t>
            </w:r>
          </w:p>
        </w:tc>
        <w:tc>
          <w:tcPr>
            <w:tcW w:type="dxa" w:w="907"/>
          </w:tcPr>
          <w:p>
            <w:pPr>
              <w:spacing w:after="40"/>
            </w:pPr>
            <w:r/>
            <w:r>
              <w:rPr>
                <w:sz w:val="18"/>
              </w:rPr>
              <w:t>Oui</w:t>
            </w:r>
          </w:p>
        </w:tc>
        <w:tc>
          <w:tcPr>
            <w:tcW w:type="dxa" w:w="1701"/>
          </w:tcPr>
          <w:p>
            <w:pPr>
              <w:spacing w:after="40"/>
            </w:pPr>
            <w:r/>
            <w:r>
              <w:rPr>
                <w:sz w:val="18"/>
              </w:rPr>
              <w:t>Auto-incrément</w:t>
            </w:r>
          </w:p>
        </w:tc>
        <w:tc>
          <w:tcPr>
            <w:tcW w:type="dxa" w:w="1701"/>
          </w:tcPr>
          <w:p>
            <w:pPr>
              <w:spacing w:after="40"/>
            </w:pPr>
            <w:r/>
            <w:r>
              <w:rPr>
                <w:sz w:val="18"/>
              </w:rPr>
              <w:t>Clé primaire</w:t>
            </w:r>
          </w:p>
        </w:tc>
        <w:tc>
          <w:tcPr>
            <w:tcW w:type="dxa" w:w="2041"/>
          </w:tcPr>
          <w:p>
            <w:pPr>
              <w:spacing w:after="40"/>
            </w:pPr>
            <w:r/>
            <w:r>
              <w:rPr>
                <w:sz w:val="18"/>
              </w:rPr>
              <w:t>Référencé par la table de liaison vers les documents</w:t>
            </w:r>
          </w:p>
        </w:tc>
      </w:tr>
      <w:tr>
        <w:tc>
          <w:tcPr>
            <w:tcW w:type="dxa" w:w="1701"/>
          </w:tcPr>
          <w:p>
            <w:pPr>
              <w:spacing w:after="40"/>
            </w:pPr>
            <w:r/>
            <w:r>
              <w:rPr>
                <w:sz w:val="18"/>
              </w:rPr>
              <w:t>Code</w:t>
            </w:r>
          </w:p>
        </w:tc>
        <w:tc>
          <w:tcPr>
            <w:tcW w:type="dxa" w:w="1814"/>
          </w:tcPr>
          <w:p>
            <w:pPr>
              <w:spacing w:after="40"/>
            </w:pPr>
            <w:r/>
            <w:r>
              <w:rPr>
                <w:sz w:val="18"/>
              </w:rPr>
              <w:t>Texte, 255 caractères</w:t>
            </w:r>
          </w:p>
        </w:tc>
        <w:tc>
          <w:tcPr>
            <w:tcW w:type="dxa" w:w="907"/>
          </w:tcPr>
          <w:p>
            <w:pPr>
              <w:spacing w:after="40"/>
            </w:pPr>
            <w:r/>
            <w:r>
              <w:rPr>
                <w:sz w:val="18"/>
              </w:rPr>
              <w:t>Oui</w:t>
            </w:r>
          </w:p>
        </w:tc>
        <w:tc>
          <w:tcPr>
            <w:tcW w:type="dxa" w:w="1701"/>
          </w:tcPr>
          <w:p>
            <w:pPr>
              <w:spacing w:after="40"/>
            </w:pPr>
            <w:r/>
            <w:r>
              <w:rPr>
                <w:sz w:val="18"/>
              </w:rPr>
              <w:t>Aucun</w:t>
            </w:r>
          </w:p>
        </w:tc>
        <w:tc>
          <w:tcPr>
            <w:tcW w:type="dxa" w:w="1701"/>
          </w:tcPr>
          <w:p>
            <w:pPr>
              <w:spacing w:after="40"/>
            </w:pPr>
            <w:r/>
            <w:r>
              <w:rPr>
                <w:sz w:val="18"/>
              </w:rPr>
              <w:t>Unique (contrainte de base + contrôle applicatif insensible à la casse)</w:t>
            </w:r>
          </w:p>
        </w:tc>
        <w:tc>
          <w:tcPr>
            <w:tcW w:type="dxa" w:w="2041"/>
          </w:tcPr>
          <w:p>
            <w:pPr>
              <w:spacing w:after="40"/>
            </w:pPr>
            <w:r/>
            <w:r>
              <w:rPr>
                <w:sz w:val="18"/>
              </w:rPr>
              <w:t>Aucune</w:t>
            </w:r>
          </w:p>
        </w:tc>
      </w:tr>
      <w:tr>
        <w:tc>
          <w:tcPr>
            <w:tcW w:type="dxa" w:w="1701"/>
          </w:tcPr>
          <w:p>
            <w:pPr>
              <w:spacing w:after="40"/>
            </w:pPr>
            <w:r/>
            <w:r>
              <w:rPr>
                <w:sz w:val="18"/>
              </w:rPr>
              <w:t>Libellé</w:t>
            </w:r>
          </w:p>
        </w:tc>
        <w:tc>
          <w:tcPr>
            <w:tcW w:type="dxa" w:w="1814"/>
          </w:tcPr>
          <w:p>
            <w:pPr>
              <w:spacing w:after="40"/>
            </w:pPr>
            <w:r/>
            <w:r>
              <w:rPr>
                <w:sz w:val="18"/>
              </w:rPr>
              <w:t>Texte, 255 caractères</w:t>
            </w:r>
          </w:p>
        </w:tc>
        <w:tc>
          <w:tcPr>
            <w:tcW w:type="dxa" w:w="907"/>
          </w:tcPr>
          <w:p>
            <w:pPr>
              <w:spacing w:after="40"/>
            </w:pPr>
            <w:r/>
            <w:r>
              <w:rPr>
                <w:sz w:val="18"/>
              </w:rPr>
              <w:t>Oui</w:t>
            </w:r>
          </w:p>
        </w:tc>
        <w:tc>
          <w:tcPr>
            <w:tcW w:type="dxa" w:w="1701"/>
          </w:tcPr>
          <w:p>
            <w:pPr>
              <w:spacing w:after="40"/>
            </w:pPr>
            <w:r/>
            <w:r>
              <w:rPr>
                <w:sz w:val="18"/>
              </w:rPr>
              <w:t>Aucun</w:t>
            </w:r>
          </w:p>
        </w:tc>
        <w:tc>
          <w:tcPr>
            <w:tcW w:type="dxa" w:w="1701"/>
          </w:tcPr>
          <w:p>
            <w:pPr>
              <w:spacing w:after="40"/>
            </w:pPr>
            <w:r/>
            <w:r>
              <w:rPr>
                <w:sz w:val="18"/>
              </w:rPr>
              <w:t>Non — deux étiquettes peuvent porter le même libellé</w:t>
            </w:r>
          </w:p>
        </w:tc>
        <w:tc>
          <w:tcPr>
            <w:tcW w:type="dxa" w:w="2041"/>
          </w:tcPr>
          <w:p>
            <w:pPr>
              <w:spacing w:after="40"/>
            </w:pPr>
            <w:r/>
            <w:r>
              <w:rPr>
                <w:sz w:val="18"/>
              </w:rPr>
              <w:t>Seule colonne interrogée par la recherche</w:t>
            </w:r>
          </w:p>
        </w:tc>
      </w:tr>
      <w:tr>
        <w:tc>
          <w:tcPr>
            <w:tcW w:type="dxa" w:w="1701"/>
          </w:tcPr>
          <w:p>
            <w:pPr>
              <w:spacing w:after="40"/>
            </w:pPr>
            <w:r/>
            <w:r>
              <w:rPr>
                <w:sz w:val="18"/>
              </w:rPr>
              <w:t>Couleur</w:t>
            </w:r>
          </w:p>
        </w:tc>
        <w:tc>
          <w:tcPr>
            <w:tcW w:type="dxa" w:w="1814"/>
          </w:tcPr>
          <w:p>
            <w:pPr>
              <w:spacing w:after="40"/>
            </w:pPr>
            <w:r/>
            <w:r>
              <w:rPr>
                <w:sz w:val="18"/>
              </w:rPr>
              <w:t>Texte, 255 caractères</w:t>
            </w:r>
          </w:p>
        </w:tc>
        <w:tc>
          <w:tcPr>
            <w:tcW w:type="dxa" w:w="907"/>
          </w:tcPr>
          <w:p>
            <w:pPr>
              <w:spacing w:after="40"/>
            </w:pPr>
            <w:r/>
            <w:r>
              <w:rPr>
                <w:sz w:val="18"/>
              </w:rPr>
              <w:t>Oui</w:t>
            </w:r>
          </w:p>
        </w:tc>
        <w:tc>
          <w:tcPr>
            <w:tcW w:type="dxa" w:w="1701"/>
          </w:tcPr>
          <w:p>
            <w:pPr>
              <w:spacing w:after="40"/>
            </w:pPr>
            <w:r/>
            <w:r>
              <w:rPr>
                <w:sz w:val="18"/>
              </w:rPr>
              <w:t>Aucun (l'écran pré-remplit une teinte de la marque)</w:t>
            </w:r>
          </w:p>
        </w:tc>
        <w:tc>
          <w:tcPr>
            <w:tcW w:type="dxa" w:w="1701"/>
          </w:tcPr>
          <w:p>
            <w:pPr>
              <w:spacing w:after="40"/>
            </w:pPr>
            <w:r/>
            <w:r>
              <w:rPr>
                <w:sz w:val="18"/>
              </w:rPr>
              <w:t>Non</w:t>
            </w:r>
          </w:p>
        </w:tc>
        <w:tc>
          <w:tcPr>
            <w:tcW w:type="dxa" w:w="2041"/>
          </w:tcPr>
          <w:p>
            <w:pPr>
              <w:spacing w:after="40"/>
            </w:pPr>
            <w:r/>
            <w:r>
              <w:rPr>
                <w:sz w:val="18"/>
              </w:rPr>
              <w:t>Aucune</w:t>
            </w:r>
          </w:p>
        </w:tc>
      </w:tr>
      <w:tr>
        <w:tc>
          <w:tcPr>
            <w:tcW w:type="dxa" w:w="1701"/>
          </w:tcPr>
          <w:p>
            <w:pPr>
              <w:spacing w:after="40"/>
            </w:pPr>
            <w:r/>
            <w:r>
              <w:rPr>
                <w:sz w:val="18"/>
              </w:rPr>
              <w:t>Corbeille</w:t>
            </w:r>
          </w:p>
        </w:tc>
        <w:tc>
          <w:tcPr>
            <w:tcW w:type="dxa" w:w="1814"/>
          </w:tcPr>
          <w:p>
            <w:pPr>
              <w:spacing w:after="40"/>
            </w:pPr>
            <w:r/>
            <w:r>
              <w:rPr>
                <w:sz w:val="18"/>
              </w:rPr>
              <w:t>Booléen</w:t>
            </w:r>
          </w:p>
        </w:tc>
        <w:tc>
          <w:tcPr>
            <w:tcW w:type="dxa" w:w="907"/>
          </w:tcPr>
          <w:p>
            <w:pPr>
              <w:spacing w:after="40"/>
            </w:pPr>
            <w:r/>
            <w:r>
              <w:rPr>
                <w:sz w:val="18"/>
              </w:rPr>
              <w:t>Oui</w:t>
            </w:r>
          </w:p>
        </w:tc>
        <w:tc>
          <w:tcPr>
            <w:tcW w:type="dxa" w:w="1701"/>
          </w:tcPr>
          <w:p>
            <w:pPr>
              <w:spacing w:after="40"/>
            </w:pPr>
            <w:r/>
            <w:r>
              <w:rPr>
                <w:sz w:val="18"/>
              </w:rPr>
              <w:t>Faux</w:t>
            </w:r>
          </w:p>
        </w:tc>
        <w:tc>
          <w:tcPr>
            <w:tcW w:type="dxa" w:w="1701"/>
          </w:tcPr>
          <w:p>
            <w:pPr>
              <w:spacing w:after="40"/>
            </w:pPr>
            <w:r/>
            <w:r>
              <w:rPr>
                <w:sz w:val="18"/>
              </w:rPr>
              <w:t>Non</w:t>
            </w:r>
          </w:p>
        </w:tc>
        <w:tc>
          <w:tcPr>
            <w:tcW w:type="dxa" w:w="2041"/>
          </w:tcPr>
          <w:p>
            <w:pPr>
              <w:spacing w:after="40"/>
            </w:pPr>
            <w:r/>
            <w:r>
              <w:rPr>
                <w:sz w:val="18"/>
              </w:rPr>
              <w:t>Filtre de toutes les listes</w:t>
            </w:r>
          </w:p>
        </w:tc>
      </w:tr>
      <w:tr>
        <w:tc>
          <w:tcPr>
            <w:tcW w:type="dxa" w:w="1701"/>
          </w:tcPr>
          <w:p>
            <w:pPr>
              <w:spacing w:after="40"/>
            </w:pPr>
            <w:r/>
            <w:r>
              <w:rPr>
                <w:sz w:val="18"/>
              </w:rPr>
              <w:t>Dates de création et de mise à jour</w:t>
            </w:r>
          </w:p>
        </w:tc>
        <w:tc>
          <w:tcPr>
            <w:tcW w:type="dxa" w:w="1814"/>
          </w:tcPr>
          <w:p>
            <w:pPr>
              <w:spacing w:after="40"/>
            </w:pPr>
            <w:r/>
            <w:r>
              <w:rPr>
                <w:sz w:val="18"/>
              </w:rPr>
              <w:t>Horodatages</w:t>
            </w:r>
          </w:p>
        </w:tc>
        <w:tc>
          <w:tcPr>
            <w:tcW w:type="dxa" w:w="907"/>
          </w:tcPr>
          <w:p>
            <w:pPr>
              <w:spacing w:after="40"/>
            </w:pPr>
            <w:r/>
            <w:r>
              <w:rPr>
                <w:sz w:val="18"/>
              </w:rPr>
              <w:t>Renseignées automatiquement</w:t>
            </w:r>
          </w:p>
        </w:tc>
        <w:tc>
          <w:tcPr>
            <w:tcW w:type="dxa" w:w="1701"/>
          </w:tcPr>
          <w:p>
            <w:pPr>
              <w:spacing w:after="40"/>
            </w:pPr>
            <w:r/>
            <w:r>
              <w:rPr>
                <w:sz w:val="18"/>
              </w:rPr>
              <w:t>Instant de l'écriture</w:t>
            </w:r>
          </w:p>
        </w:tc>
        <w:tc>
          <w:tcPr>
            <w:tcW w:type="dxa" w:w="1701"/>
          </w:tcPr>
          <w:p>
            <w:pPr>
              <w:spacing w:after="40"/>
            </w:pPr>
            <w:r/>
            <w:r>
              <w:rPr>
                <w:sz w:val="18"/>
              </w:rPr>
              <w:t>Non</w:t>
            </w:r>
          </w:p>
        </w:tc>
        <w:tc>
          <w:tcPr>
            <w:tcW w:type="dxa" w:w="2041"/>
          </w:tcPr>
          <w:p>
            <w:pPr>
              <w:spacing w:after="40"/>
            </w:pPr>
            <w:r/>
            <w:r>
              <w:rPr>
                <w:sz w:val="18"/>
              </w:rPr>
              <w:t>Aucune</w:t>
            </w:r>
          </w:p>
        </w:tc>
      </w:tr>
    </w:tbl>
    <w:p>
      <w:pPr>
        <w:spacing w:after="80"/>
      </w:pPr>
    </w:p>
    <w:p>
      <w:pPr>
        <w:pStyle w:val="Heading2"/>
      </w:pPr>
      <w:r>
        <w:t>2.1 Le code</w:t>
      </w:r>
    </w:p>
    <w:p>
      <w:r>
        <w:rPr>
          <w:b w:val="0"/>
          <w:i w:val="0"/>
        </w:rPr>
        <w:t>Le code est l'identifiant métier de l'étiquette, du genre « TAG-URG » ou « TAG-CONF ». C'est la seule colonne contrainte à l'unicité. Il n'est pourtant employé nulle part ailleurs dans l'application : ni la liste des documents, ni le formulaire de dépôt, ni la réponse qui décrit les étiquettes d'un document ne le mentionnent. Sa raison d'être est la reprise fidèle du modèle d'origine, et l'existence d'un repère stable si un export ou une reprise de données était un jour nécessaire.</w:t>
      </w:r>
    </w:p>
    <w:p>
      <w:pPr>
        <w:pStyle w:val="Heading2"/>
      </w:pPr>
      <w:r>
        <w:t>2.2 Le libellé</w:t>
      </w:r>
    </w:p>
    <w:p>
      <w:r>
        <w:rPr>
          <w:b w:val="0"/>
          <w:i w:val="0"/>
        </w:rPr>
        <w:t>Le libellé est ce que voit l'utilisateur : sur la pastille de la liste des étiquettes, sur les puces colorées de la liste des documents, dans le sélecteur du formulaire de dépôt et dans celui de la fiche d'un document. C'est aussi la seule colonne interrogée par la recherche de la liste. Il n'est pas contraint à l'unicité : deux étiquettes « Urgent » portant des codes différents cohabitent sans que le serveur y trouve à redire.</w:t>
      </w:r>
    </w:p>
    <w:p>
      <w:r>
        <w:rPr>
          <w:b w:val="0"/>
          <w:i w:val="0"/>
        </w:rPr>
        <w:t>L'ordre de saisie du formulaire — libellé d'abord, code ensuite — est un choix d'écran que le serveur ne contredit pas, puisqu'il reçoit les trois champs ensemble. Il mérite d'être rappelé parce qu'il traduit le geste réel : on crée une étiquette parce qu'on a un mot en tête, pas un identifiant.</w:t>
      </w:r>
    </w:p>
    <w:p>
      <w:pPr>
        <w:pStyle w:val="Heading2"/>
      </w:pPr>
      <w:r>
        <w:t>2.3 La couleur</w:t>
      </w:r>
    </w:p>
    <w:p>
      <w:r>
        <w:rPr>
          <w:b w:val="0"/>
          <w:i w:val="0"/>
        </w:rPr>
        <w:t>La couleur est stockée comme une chaîne de caractères ordinaire. Le serveur ne lui impose aucune forme : il exige seulement qu'elle ne soit pas vide. En pratique, l'écran envoie toujours un code hexadécimal à six chiffres précédé d'un croisillon, parce qu'il propose un sélecteur de couleur natif du navigateur et un champ de saisie libre reliés au même contrôle. Les données de démonstration livrées avec l'application suivent la même convention.</w:t>
      </w:r>
    </w:p>
    <w:p>
      <w:r>
        <w:rPr>
          <w:b w:val="0"/>
          <w:i w:val="0"/>
        </w:rPr>
        <w:t>Le champ est volontairement libre plutôt que restreint à une liste fermée de teintes, et il est pré-rempli côté écran avec une teinte de la marque. Ce pré-remplissage a une raison précise : un enregistrement fait sans choix conscient doit produire une étiquette lisible, pas une étiquette invisible. Le serveur, lui, n'a aucune valeur par défaut — une couleur absente est refusée, elle n'est pas remplacée.</w:t>
      </w:r>
    </w:p>
    <w:p>
      <w:r>
        <w:br w:type="page"/>
      </w:r>
    </w:p>
    <w:p>
      <w:pPr>
        <w:pStyle w:val="Heading1"/>
      </w:pPr>
      <w:r>
        <w:t>3. Les relations</w:t>
      </w:r>
    </w:p>
    <w:p>
      <w:pPr>
        <w:pStyle w:val="Heading2"/>
      </w:pPr>
      <w:r>
        <w:t>3.1 Une seule relation, vers les documents</w:t>
      </w:r>
    </w:p>
    <w:p>
      <w:r>
        <w:rPr>
          <w:b w:val="0"/>
          <w:i w:val="0"/>
        </w:rPr>
        <w:t>L'étiquette n'entretient qu'un lien, de type plusieurs-à-plusieurs, avec les documents. Un document porte autant d'étiquettes qu'on veut, une étiquette est portée par autant de documents qu'on veut. La liaison passe par une table de deux colonnes seulement — l'identifiant du document et celui de l'étiquette — dont la clé primaire est le couple des deux. Cette clé primaire est ce qui empêche de poser deux fois la même étiquette sur le même document ; aucun contrôle applicatif n'en a besoin.</w:t>
      </w:r>
    </w:p>
    <w:p>
      <w:r>
        <w:rPr>
          <w:b w:val="0"/>
          <w:i w:val="0"/>
        </w:rPr>
        <w:t>La relation est portée par le document, non par l'étiquette : c'est la fiche du document qui déclare ses étiquettes et qui écrit dans la table de liaison. L'étiquette ne sait pas combien de documents la portent, et aucune opération de ce module ne permet de le demander.</w:t>
      </w:r>
    </w:p>
    <w:p>
      <w:pPr>
        <w:pStyle w:val="Heading2"/>
      </w:pPr>
      <w:r>
        <w:t>3.2 Ce qui se passe quand l'étiquette disparaît</w:t>
      </w:r>
    </w:p>
    <w:p>
      <w:r>
        <w:rPr>
          <w:b w:val="0"/>
          <w:i w:val="0"/>
        </w:rPr>
        <w:t>La suppression est logique, comme partout : la ligne reste en base, l'indicateur de corbeille bascule. Elle ne supprime aucun document — c'est la garantie centrale de cet écran. Mais elle ne détache pas non plus l'étiquette des documents qui la portaient, et c'est là que le comportement réel diffère de ce que l'on pourrait attendre.</w:t>
      </w:r>
    </w:p>
    <w:p>
      <w:pPr>
        <w:pStyle w:val="ListBullet"/>
        <w:spacing w:after="60"/>
      </w:pPr>
      <w:r>
        <w:t>La table de liaison n'est pas touchée : les lignes qui rattachent l'étiquette à des documents subsistent intégralement.</w:t>
      </w:r>
    </w:p>
    <w:p>
      <w:pPr>
        <w:pStyle w:val="ListBullet"/>
        <w:spacing w:after="60"/>
      </w:pPr>
      <w:r>
        <w:t>La restitution d'un document ne filtre pas l'indicateur de corbeille : une étiquette supprimée continue d'apparaître sur les documents qui la portent, dans la liste comme dans la fiche, avec son libellé et sa couleur.</w:t>
      </w:r>
    </w:p>
    <w:p>
      <w:pPr>
        <w:pStyle w:val="ListBullet"/>
        <w:spacing w:after="60"/>
      </w:pPr>
      <w:r>
        <w:t>Elle disparaît en revanche des sélecteurs, puisque ceux-ci sont alimentés par la liste active. L'opérateur voit donc une étiquette qu'il ne peut plus choisir, et qu'il ne peut retirer d'un document qu'en enregistrant la fiche sans elle.</w:t>
      </w:r>
    </w:p>
    <w:p>
      <w:pPr>
        <w:pStyle w:val="ListBullet"/>
        <w:spacing w:after="60"/>
      </w:pPr>
      <w:r>
        <w:t>Restaurer l'étiquette la remet en circulation sans qu'aucun rattachement n'ait été perdu.</w:t>
      </w:r>
    </w:p>
    <w:p>
      <w:r>
        <w:rPr>
          <w:b w:val="0"/>
          <w:i w:val="0"/>
        </w:rPr>
        <w:t>Une suppression physique serait refusée par la base tant qu'une ligne de liaison référence l'étiquette : aucune suppression en cascade n'est déclarée. Aucune opération de ce genre n'est d'ailleurs exposée.</w:t>
      </w:r>
    </w:p>
    <w:p>
      <w:pPr>
        <w:pStyle w:val="Heading2"/>
      </w:pPr>
      <w:r>
        <w:t>3.3 Schéma des relations</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ETIQUETTE          |          |         DOCUMENT           |</w:t>
      </w:r>
    </w:p>
    <w:p>
      <w:pPr>
        <w:spacing w:after="0" w:before="0" w:line="240" w:lineRule="auto"/>
      </w:pPr>
      <w:r>
        <w:rPr>
          <w:rFonts w:ascii="Consolas" w:hAnsi="Consolas" w:cs="Consolas" w:eastAsia="Consolas"/>
          <w:sz w:val="18"/>
        </w:rPr>
        <w:t xml:space="preserve">   |    table : etiquettes      |          |  table : documents_file    |</w:t>
      </w:r>
    </w:p>
    <w:p>
      <w:pPr>
        <w:spacing w:after="0" w:before="0" w:line="240" w:lineRule="auto"/>
      </w:pPr>
      <w:r>
        <w:rPr>
          <w:rFonts w:ascii="Consolas" w:hAnsi="Consolas" w:cs="Consolas" w:eastAsia="Consolas"/>
          <w:sz w:val="18"/>
        </w:rPr>
        <w:t xml:space="preserve">   |   code (unique)            |          |   name . reference         |</w:t>
      </w:r>
    </w:p>
    <w:p>
      <w:pPr>
        <w:spacing w:after="0" w:before="0" w:line="240" w:lineRule="auto"/>
      </w:pPr>
      <w:r>
        <w:rPr>
          <w:rFonts w:ascii="Consolas" w:hAnsi="Consolas" w:cs="Consolas" w:eastAsia="Consolas"/>
          <w:sz w:val="18"/>
        </w:rPr>
        <w:t xml:space="preserve">   |   tag    (libelle)         |          |   workspace . type         |</w:t>
      </w:r>
    </w:p>
    <w:p>
      <w:pPr>
        <w:spacing w:after="0" w:before="0" w:line="240" w:lineRule="auto"/>
      </w:pPr>
      <w:r>
        <w:rPr>
          <w:rFonts w:ascii="Consolas" w:hAnsi="Consolas" w:cs="Consolas" w:eastAsia="Consolas"/>
          <w:sz w:val="18"/>
        </w:rPr>
        <w:t xml:space="preserve">   |   couleur                  |          |   fichier sur disque       |</w:t>
      </w:r>
    </w:p>
    <w:p>
      <w:pPr>
        <w:spacing w:after="0" w:before="0" w:line="240" w:lineRule="auto"/>
      </w:pPr>
      <w:r>
        <w:rPr>
          <w:rFonts w:ascii="Consolas" w:hAnsi="Consolas" w:cs="Consolas" w:eastAsia="Consolas"/>
          <w:sz w:val="18"/>
        </w:rPr>
        <w:t xml:space="preserve">   |   deleted                  |          |   deleted                  |</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etiquette_id                          |  document_id</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pivot_document_etiquettes                |</w:t>
      </w:r>
    </w:p>
    <w:p>
      <w:pPr>
        <w:spacing w:after="0" w:before="0" w:line="240" w:lineRule="auto"/>
      </w:pPr>
      <w:r>
        <w:rPr>
          <w:rFonts w:ascii="Consolas" w:hAnsi="Consolas" w:cs="Consolas" w:eastAsia="Consolas"/>
          <w:sz w:val="18"/>
        </w:rPr>
        <w:t xml:space="preserve">            |   cle primaire = (document_id, etiquette_id)      |</w:t>
      </w:r>
    </w:p>
    <w:p>
      <w:pPr>
        <w:spacing w:after="0" w:before="0" w:line="240" w:lineRule="auto"/>
      </w:pPr>
      <w:r>
        <w:rPr>
          <w:rFonts w:ascii="Consolas" w:hAnsi="Consolas" w:cs="Consolas" w:eastAsia="Consolas"/>
          <w:sz w:val="18"/>
        </w:rPr>
        <w:t xml:space="preserve">            |   -&gt; pas de doublon possible                      |</w:t>
      </w:r>
    </w:p>
    <w:p>
      <w:pPr>
        <w:spacing w:after="0" w:before="0" w:line="240" w:lineRule="auto"/>
      </w:pPr>
      <w:r>
        <w:rPr>
          <w:rFonts w:ascii="Consolas" w:hAnsi="Consolas" w:cs="Consolas" w:eastAsia="Consolas"/>
          <w:sz w:val="18"/>
        </w:rPr>
        <w:t xml:space="preserve">            |   -&gt; aucune suppression en cascade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Cote ecrivain : c'est le DOCUMENT qui declare ses etiquettes.</w:t>
      </w:r>
    </w:p>
    <w:p>
      <w:pPr>
        <w:spacing w:after="0" w:before="0" w:line="240" w:lineRule="auto"/>
      </w:pPr>
      <w:r>
        <w:rPr>
          <w:rFonts w:ascii="Consolas" w:hAnsi="Consolas" w:cs="Consolas" w:eastAsia="Consolas"/>
          <w:sz w:val="18"/>
        </w:rPr>
        <w:t xml:space="preserve">   L'etiquette ignore tout des documents qui la portent.</w:t>
      </w:r>
    </w:p>
    <w:p>
      <w:pPr>
        <w:spacing w:after="0" w:before="0" w:line="240" w:lineRule="auto"/>
      </w:pPr>
      <w:r>
        <w:rPr>
          <w:rFonts w:ascii="Consolas" w:hAnsi="Consolas" w:cs="Consolas" w:eastAsia="Consolas"/>
          <w:sz w:val="18"/>
        </w:rPr>
        <w:t xml:space="preserve">   Aucune table de valeurs : une etiquette est posee, ou elle ne l'est pas.</w:t>
      </w:r>
    </w:p>
    <w:p>
      <w:pPr>
        <w:spacing w:after="80"/>
      </w:pPr>
    </w:p>
    <w:p>
      <w:r>
        <w:br w:type="page"/>
      </w:r>
    </w:p>
    <w:p>
      <w:pPr>
        <w:pStyle w:val="Heading1"/>
      </w:pPr>
      <w:r>
        <w:t>4. Les opérations disponibles</w:t>
      </w:r>
    </w:p>
    <w:p>
      <w:r>
        <w:rPr>
          <w:b w:val="0"/>
          <w:i w:val="0"/>
        </w:rPr>
        <w:t>Toutes les adresses sont préfixées par « /api/v1/etiquettes ». Le module suit exactement le même contrat que les sept autres écrans de liste de l'application ; c'est ce qui rend son comportement prévisible.</w:t>
      </w:r>
    </w:p>
    <w:tbl>
      <w:tblPr>
        <w:tblStyle w:val="LightGrid-Accent1"/>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28"/>
          </w:tcPr>
          <w:p>
            <w:pPr>
              <w:spacing w:after="40"/>
            </w:pPr>
            <w:r/>
            <w:r>
              <w:rPr>
                <w:b/>
                <w:sz w:val="18"/>
              </w:rPr>
              <w:t>Opération</w:t>
            </w:r>
          </w:p>
        </w:tc>
        <w:tc>
          <w:tcPr>
            <w:tcW w:type="dxa" w:w="1701"/>
          </w:tcPr>
          <w:p>
            <w:pPr>
              <w:spacing w:after="40"/>
            </w:pPr>
            <w:r/>
            <w:r>
              <w:rPr>
                <w:b/>
                <w:sz w:val="18"/>
              </w:rPr>
              <w:t>Ce qu'elle fait</w:t>
            </w:r>
          </w:p>
        </w:tc>
        <w:tc>
          <w:tcPr>
            <w:tcW w:type="dxa" w:w="1814"/>
          </w:tcPr>
          <w:p>
            <w:pPr>
              <w:spacing w:after="40"/>
            </w:pPr>
            <w:r/>
            <w:r>
              <w:rPr>
                <w:b/>
                <w:sz w:val="18"/>
              </w:rPr>
              <w:t>Ce qu'elle exige</w:t>
            </w:r>
          </w:p>
        </w:tc>
        <w:tc>
          <w:tcPr>
            <w:tcW w:type="dxa" w:w="1701"/>
          </w:tcPr>
          <w:p>
            <w:pPr>
              <w:spacing w:after="40"/>
            </w:pPr>
            <w:r/>
            <w:r>
              <w:rPr>
                <w:b/>
                <w:sz w:val="18"/>
              </w:rPr>
              <w:t>Ce qu'elle renvoie</w:t>
            </w:r>
          </w:p>
        </w:tc>
        <w:tc>
          <w:tcPr>
            <w:tcW w:type="dxa" w:w="2494"/>
          </w:tcPr>
          <w:p>
            <w:pPr>
              <w:spacing w:after="40"/>
            </w:pPr>
            <w:r/>
            <w:r>
              <w:rPr>
                <w:b/>
                <w:sz w:val="18"/>
              </w:rPr>
              <w:t>Ce qu'elle refuse</w:t>
            </w:r>
          </w:p>
        </w:tc>
      </w:tr>
      <w:tr>
        <w:tc>
          <w:tcPr>
            <w:tcW w:type="dxa" w:w="1928"/>
          </w:tcPr>
          <w:p>
            <w:pPr>
              <w:spacing w:after="40"/>
            </w:pPr>
            <w:r/>
            <w:r>
              <w:rPr>
                <w:sz w:val="18"/>
              </w:rPr>
              <w:t>GET /api/v1/etiquettes</w:t>
            </w:r>
          </w:p>
        </w:tc>
        <w:tc>
          <w:tcPr>
            <w:tcW w:type="dxa" w:w="1701"/>
          </w:tcPr>
          <w:p>
            <w:pPr>
              <w:spacing w:after="40"/>
            </w:pPr>
            <w:r/>
            <w:r>
              <w:rPr>
                <w:sz w:val="18"/>
              </w:rPr>
              <w:t>Liste paginée des étiquettes actives.</w:t>
            </w:r>
          </w:p>
        </w:tc>
        <w:tc>
          <w:tcPr>
            <w:tcW w:type="dxa" w:w="1814"/>
          </w:tcPr>
          <w:p>
            <w:pPr>
              <w:spacing w:after="40"/>
            </w:pPr>
            <w:r/>
            <w:r>
              <w:rPr>
                <w:sz w:val="18"/>
              </w:rPr>
              <w:t>Rien ; page, taille, terme recherché, colonne et sens de tri sont facultatifs.</w:t>
            </w:r>
          </w:p>
        </w:tc>
        <w:tc>
          <w:tcPr>
            <w:tcW w:type="dxa" w:w="1701"/>
          </w:tcPr>
          <w:p>
            <w:pPr>
              <w:spacing w:after="40"/>
            </w:pPr>
            <w:r/>
            <w:r>
              <w:rPr>
                <w:sz w:val="18"/>
              </w:rPr>
              <w:t>200 : contenu, total, page, taille, nombre de pages. Chaque entrée porte identifiant, code, libellé et couleur.</w:t>
            </w:r>
          </w:p>
        </w:tc>
        <w:tc>
          <w:tcPr>
            <w:tcW w:type="dxa" w:w="2494"/>
          </w:tcPr>
          <w:p>
            <w:pPr>
              <w:spacing w:after="40"/>
            </w:pPr>
            <w:r/>
            <w:r>
              <w:rPr>
                <w:sz w:val="18"/>
              </w:rPr>
              <w:t>400 si le numéro de page est négatif ou hors limites.</w:t>
            </w:r>
          </w:p>
        </w:tc>
      </w:tr>
      <w:tr>
        <w:tc>
          <w:tcPr>
            <w:tcW w:type="dxa" w:w="1928"/>
          </w:tcPr>
          <w:p>
            <w:pPr>
              <w:spacing w:after="40"/>
            </w:pPr>
            <w:r/>
            <w:r>
              <w:rPr>
                <w:sz w:val="18"/>
              </w:rPr>
              <w:t>GET /api/v1/etiquettes/trashed</w:t>
            </w:r>
          </w:p>
        </w:tc>
        <w:tc>
          <w:tcPr>
            <w:tcW w:type="dxa" w:w="1701"/>
          </w:tcPr>
          <w:p>
            <w:pPr>
              <w:spacing w:after="40"/>
            </w:pPr>
            <w:r/>
            <w:r>
              <w:rPr>
                <w:sz w:val="18"/>
              </w:rPr>
              <w:t>Même liste, restreinte à la corbeille.</w:t>
            </w:r>
          </w:p>
        </w:tc>
        <w:tc>
          <w:tcPr>
            <w:tcW w:type="dxa" w:w="1814"/>
          </w:tcPr>
          <w:p>
            <w:pPr>
              <w:spacing w:after="40"/>
            </w:pPr>
            <w:r/>
            <w:r>
              <w:rPr>
                <w:sz w:val="18"/>
              </w:rPr>
              <w:t>Mêmes paramètres.</w:t>
            </w:r>
          </w:p>
        </w:tc>
        <w:tc>
          <w:tcPr>
            <w:tcW w:type="dxa" w:w="1701"/>
          </w:tcPr>
          <w:p>
            <w:pPr>
              <w:spacing w:after="40"/>
            </w:pPr>
            <w:r/>
            <w:r>
              <w:rPr>
                <w:sz w:val="18"/>
              </w:rPr>
              <w:t>200, même enveloppe.</w:t>
            </w:r>
          </w:p>
        </w:tc>
        <w:tc>
          <w:tcPr>
            <w:tcW w:type="dxa" w:w="2494"/>
          </w:tcPr>
          <w:p>
            <w:pPr>
              <w:spacing w:after="40"/>
            </w:pPr>
            <w:r/>
            <w:r>
              <w:rPr>
                <w:sz w:val="18"/>
              </w:rPr>
              <w:t>Idem.</w:t>
            </w:r>
          </w:p>
        </w:tc>
      </w:tr>
      <w:tr>
        <w:tc>
          <w:tcPr>
            <w:tcW w:type="dxa" w:w="1928"/>
          </w:tcPr>
          <w:p>
            <w:pPr>
              <w:spacing w:after="40"/>
            </w:pPr>
            <w:r/>
            <w:r>
              <w:rPr>
                <w:sz w:val="18"/>
              </w:rPr>
              <w:t>GET /api/v1/etiquettes/for-select</w:t>
            </w:r>
          </w:p>
        </w:tc>
        <w:tc>
          <w:tcPr>
            <w:tcW w:type="dxa" w:w="1701"/>
          </w:tcPr>
          <w:p>
            <w:pPr>
              <w:spacing w:after="40"/>
            </w:pPr>
            <w:r/>
            <w:r>
              <w:rPr>
                <w:sz w:val="18"/>
              </w:rPr>
              <w:t>Liste allégée : identifiant et libellé, dans l'ordre de création.</w:t>
            </w:r>
          </w:p>
        </w:tc>
        <w:tc>
          <w:tcPr>
            <w:tcW w:type="dxa" w:w="1814"/>
          </w:tcPr>
          <w:p>
            <w:pPr>
              <w:spacing w:after="40"/>
            </w:pPr>
            <w:r/>
            <w:r>
              <w:rPr>
                <w:sz w:val="18"/>
              </w:rPr>
              <w:t>Rien.</w:t>
            </w:r>
          </w:p>
        </w:tc>
        <w:tc>
          <w:tcPr>
            <w:tcW w:type="dxa" w:w="1701"/>
          </w:tcPr>
          <w:p>
            <w:pPr>
              <w:spacing w:after="40"/>
            </w:pPr>
            <w:r/>
            <w:r>
              <w:rPr>
                <w:sz w:val="18"/>
              </w:rPr>
              <w:t>200 : tableau d'objets à deux clés. La couleur n'y figure pas.</w:t>
            </w:r>
          </w:p>
        </w:tc>
        <w:tc>
          <w:tcPr>
            <w:tcW w:type="dxa" w:w="2494"/>
          </w:tcPr>
          <w:p>
            <w:pPr>
              <w:spacing w:after="40"/>
            </w:pPr>
            <w:r/>
            <w:r>
              <w:rPr>
                <w:sz w:val="18"/>
              </w:rPr>
              <w:t>Rien. La corbeille est exclue.</w:t>
            </w:r>
          </w:p>
        </w:tc>
      </w:tr>
      <w:tr>
        <w:tc>
          <w:tcPr>
            <w:tcW w:type="dxa" w:w="1928"/>
          </w:tcPr>
          <w:p>
            <w:pPr>
              <w:spacing w:after="40"/>
            </w:pPr>
            <w:r/>
            <w:r>
              <w:rPr>
                <w:sz w:val="18"/>
              </w:rPr>
              <w:t>GET /api/v1/etiquettes/{id}</w:t>
            </w:r>
          </w:p>
        </w:tc>
        <w:tc>
          <w:tcPr>
            <w:tcW w:type="dxa" w:w="1701"/>
          </w:tcPr>
          <w:p>
            <w:pPr>
              <w:spacing w:after="40"/>
            </w:pPr>
            <w:r/>
            <w:r>
              <w:rPr>
                <w:sz w:val="18"/>
              </w:rPr>
              <w:t>Fiche d'une étiquette.</w:t>
            </w:r>
          </w:p>
        </w:tc>
        <w:tc>
          <w:tcPr>
            <w:tcW w:type="dxa" w:w="1814"/>
          </w:tcPr>
          <w:p>
            <w:pPr>
              <w:spacing w:after="40"/>
            </w:pPr>
            <w:r/>
            <w:r>
              <w:rPr>
                <w:sz w:val="18"/>
              </w:rPr>
              <w:t>Un identifiant.</w:t>
            </w:r>
          </w:p>
        </w:tc>
        <w:tc>
          <w:tcPr>
            <w:tcW w:type="dxa" w:w="1701"/>
          </w:tcPr>
          <w:p>
            <w:pPr>
              <w:spacing w:after="40"/>
            </w:pPr>
            <w:r/>
            <w:r>
              <w:rPr>
                <w:sz w:val="18"/>
              </w:rPr>
              <w:t>200.</w:t>
            </w:r>
          </w:p>
        </w:tc>
        <w:tc>
          <w:tcPr>
            <w:tcW w:type="dxa" w:w="2494"/>
          </w:tcPr>
          <w:p>
            <w:pPr>
              <w:spacing w:after="40"/>
            </w:pPr>
            <w:r/>
            <w:r>
              <w:rPr>
                <w:sz w:val="18"/>
              </w:rPr>
              <w:t>404 si l'étiquette n'existe pas. Une étiquette en corbeille est renvoyée normalement.</w:t>
            </w:r>
          </w:p>
        </w:tc>
      </w:tr>
      <w:tr>
        <w:tc>
          <w:tcPr>
            <w:tcW w:type="dxa" w:w="1928"/>
          </w:tcPr>
          <w:p>
            <w:pPr>
              <w:spacing w:after="40"/>
            </w:pPr>
            <w:r/>
            <w:r>
              <w:rPr>
                <w:sz w:val="18"/>
              </w:rPr>
              <w:t>POST /api/v1/etiquettes</w:t>
            </w:r>
          </w:p>
        </w:tc>
        <w:tc>
          <w:tcPr>
            <w:tcW w:type="dxa" w:w="1701"/>
          </w:tcPr>
          <w:p>
            <w:pPr>
              <w:spacing w:after="40"/>
            </w:pPr>
            <w:r/>
            <w:r>
              <w:rPr>
                <w:sz w:val="18"/>
              </w:rPr>
              <w:t>Crée une étiquette.</w:t>
            </w:r>
          </w:p>
        </w:tc>
        <w:tc>
          <w:tcPr>
            <w:tcW w:type="dxa" w:w="1814"/>
          </w:tcPr>
          <w:p>
            <w:pPr>
              <w:spacing w:after="40"/>
            </w:pPr>
            <w:r/>
            <w:r>
              <w:rPr>
                <w:sz w:val="18"/>
              </w:rPr>
              <w:t>Les trois champs : code, libellé, couleur.</w:t>
            </w:r>
          </w:p>
        </w:tc>
        <w:tc>
          <w:tcPr>
            <w:tcW w:type="dxa" w:w="1701"/>
          </w:tcPr>
          <w:p>
            <w:pPr>
              <w:spacing w:after="40"/>
            </w:pPr>
            <w:r/>
            <w:r>
              <w:rPr>
                <w:sz w:val="18"/>
              </w:rPr>
              <w:t>201 : la fiche créée.</w:t>
            </w:r>
          </w:p>
        </w:tc>
        <w:tc>
          <w:tcPr>
            <w:tcW w:type="dxa" w:w="2494"/>
          </w:tcPr>
          <w:p>
            <w:pPr>
              <w:spacing w:after="40"/>
            </w:pPr>
            <w:r/>
            <w:r>
              <w:rPr>
                <w:sz w:val="18"/>
              </w:rPr>
              <w:t>400 si l'un des trois manque ou si le code est déjà pris.</w:t>
            </w:r>
          </w:p>
        </w:tc>
      </w:tr>
      <w:tr>
        <w:tc>
          <w:tcPr>
            <w:tcW w:type="dxa" w:w="1928"/>
          </w:tcPr>
          <w:p>
            <w:pPr>
              <w:spacing w:after="40"/>
            </w:pPr>
            <w:r/>
            <w:r>
              <w:rPr>
                <w:sz w:val="18"/>
              </w:rPr>
              <w:t>PUT /api/v1/etiquettes/{id}</w:t>
            </w:r>
          </w:p>
        </w:tc>
        <w:tc>
          <w:tcPr>
            <w:tcW w:type="dxa" w:w="1701"/>
          </w:tcPr>
          <w:p>
            <w:pPr>
              <w:spacing w:after="40"/>
            </w:pPr>
            <w:r/>
            <w:r>
              <w:rPr>
                <w:sz w:val="18"/>
              </w:rPr>
              <w:t>Remplace les trois champs.</w:t>
            </w:r>
          </w:p>
        </w:tc>
        <w:tc>
          <w:tcPr>
            <w:tcW w:type="dxa" w:w="1814"/>
          </w:tcPr>
          <w:p>
            <w:pPr>
              <w:spacing w:after="40"/>
            </w:pPr>
            <w:r/>
            <w:r>
              <w:rPr>
                <w:sz w:val="18"/>
              </w:rPr>
              <w:t>Un identifiant et le même corps qu'à la création.</w:t>
            </w:r>
          </w:p>
        </w:tc>
        <w:tc>
          <w:tcPr>
            <w:tcW w:type="dxa" w:w="1701"/>
          </w:tcPr>
          <w:p>
            <w:pPr>
              <w:spacing w:after="40"/>
            </w:pPr>
            <w:r/>
            <w:r>
              <w:rPr>
                <w:sz w:val="18"/>
              </w:rPr>
              <w:t>200.</w:t>
            </w:r>
          </w:p>
        </w:tc>
        <w:tc>
          <w:tcPr>
            <w:tcW w:type="dxa" w:w="2494"/>
          </w:tcPr>
          <w:p>
            <w:pPr>
              <w:spacing w:after="40"/>
            </w:pPr>
            <w:r/>
            <w:r>
              <w:rPr>
                <w:sz w:val="18"/>
              </w:rPr>
              <w:t>404 si l'étiquette n'existe pas ; 400 dans les mêmes cas qu'à la création.</w:t>
            </w:r>
          </w:p>
        </w:tc>
      </w:tr>
      <w:tr>
        <w:tc>
          <w:tcPr>
            <w:tcW w:type="dxa" w:w="1928"/>
          </w:tcPr>
          <w:p>
            <w:pPr>
              <w:spacing w:after="40"/>
            </w:pPr>
            <w:r/>
            <w:r>
              <w:rPr>
                <w:sz w:val="18"/>
              </w:rPr>
              <w:t>DELETE /api/v1/etiquettes/{id}</w:t>
            </w:r>
          </w:p>
        </w:tc>
        <w:tc>
          <w:tcPr>
            <w:tcW w:type="dxa" w:w="1701"/>
          </w:tcPr>
          <w:p>
            <w:pPr>
              <w:spacing w:after="40"/>
            </w:pPr>
            <w:r/>
            <w:r>
              <w:rPr>
                <w:sz w:val="18"/>
              </w:rPr>
              <w:t>Met l'étiquette à la corbeille.</w:t>
            </w:r>
          </w:p>
        </w:tc>
        <w:tc>
          <w:tcPr>
            <w:tcW w:type="dxa" w:w="1814"/>
          </w:tcPr>
          <w:p>
            <w:pPr>
              <w:spacing w:after="40"/>
            </w:pPr>
            <w:r/>
            <w:r>
              <w:rPr>
                <w:sz w:val="18"/>
              </w:rPr>
              <w:t>Un identifiant.</w:t>
            </w:r>
          </w:p>
        </w:tc>
        <w:tc>
          <w:tcPr>
            <w:tcW w:type="dxa" w:w="1701"/>
          </w:tcPr>
          <w:p>
            <w:pPr>
              <w:spacing w:after="40"/>
            </w:pPr>
            <w:r/>
            <w:r>
              <w:rPr>
                <w:sz w:val="18"/>
              </w:rPr>
              <w:t>204.</w:t>
            </w:r>
          </w:p>
        </w:tc>
        <w:tc>
          <w:tcPr>
            <w:tcW w:type="dxa" w:w="2494"/>
          </w:tcPr>
          <w:p>
            <w:pPr>
              <w:spacing w:after="40"/>
            </w:pPr>
            <w:r/>
            <w:r>
              <w:rPr>
                <w:sz w:val="18"/>
              </w:rPr>
              <w:t>404 si l'étiquette n'existe pas. Aucune vérification du nombre de documents concernés.</w:t>
            </w:r>
          </w:p>
        </w:tc>
      </w:tr>
      <w:tr>
        <w:tc>
          <w:tcPr>
            <w:tcW w:type="dxa" w:w="1928"/>
          </w:tcPr>
          <w:p>
            <w:pPr>
              <w:spacing w:after="40"/>
            </w:pPr>
            <w:r/>
            <w:r>
              <w:rPr>
                <w:sz w:val="18"/>
              </w:rPr>
              <w:t>PATCH /api/v1/etiquettes/{id}/restore</w:t>
            </w:r>
          </w:p>
        </w:tc>
        <w:tc>
          <w:tcPr>
            <w:tcW w:type="dxa" w:w="1701"/>
          </w:tcPr>
          <w:p>
            <w:pPr>
              <w:spacing w:after="40"/>
            </w:pPr>
            <w:r/>
            <w:r>
              <w:rPr>
                <w:sz w:val="18"/>
              </w:rPr>
              <w:t>Sort l'étiquette de la corbeille.</w:t>
            </w:r>
          </w:p>
        </w:tc>
        <w:tc>
          <w:tcPr>
            <w:tcW w:type="dxa" w:w="1814"/>
          </w:tcPr>
          <w:p>
            <w:pPr>
              <w:spacing w:after="40"/>
            </w:pPr>
            <w:r/>
            <w:r>
              <w:rPr>
                <w:sz w:val="18"/>
              </w:rPr>
              <w:t>Un identifiant.</w:t>
            </w:r>
          </w:p>
        </w:tc>
        <w:tc>
          <w:tcPr>
            <w:tcW w:type="dxa" w:w="1701"/>
          </w:tcPr>
          <w:p>
            <w:pPr>
              <w:spacing w:after="40"/>
            </w:pPr>
            <w:r/>
            <w:r>
              <w:rPr>
                <w:sz w:val="18"/>
              </w:rPr>
              <w:t>204.</w:t>
            </w:r>
          </w:p>
        </w:tc>
        <w:tc>
          <w:tcPr>
            <w:tcW w:type="dxa" w:w="2494"/>
          </w:tcPr>
          <w:p>
            <w:pPr>
              <w:spacing w:after="40"/>
            </w:pPr>
            <w:r/>
            <w:r>
              <w:rPr>
                <w:sz w:val="18"/>
              </w:rPr>
              <w:t>404 si l'étiquette n'existe pas.</w:t>
            </w:r>
          </w:p>
        </w:tc>
      </w:tr>
      <w:tr>
        <w:tc>
          <w:tcPr>
            <w:tcW w:type="dxa" w:w="1928"/>
          </w:tcPr>
          <w:p>
            <w:pPr>
              <w:spacing w:after="40"/>
            </w:pPr>
            <w:r/>
            <w:r>
              <w:rPr>
                <w:sz w:val="18"/>
              </w:rPr>
              <w:t>DELETE /api/v1/etiquettes/multiple-delete</w:t>
            </w:r>
          </w:p>
        </w:tc>
        <w:tc>
          <w:tcPr>
            <w:tcW w:type="dxa" w:w="1701"/>
          </w:tcPr>
          <w:p>
            <w:pPr>
              <w:spacing w:after="40"/>
            </w:pPr>
            <w:r/>
            <w:r>
              <w:rPr>
                <w:sz w:val="18"/>
              </w:rPr>
              <w:t>Met à la corbeille toutes les étiquettes désignées.</w:t>
            </w:r>
          </w:p>
        </w:tc>
        <w:tc>
          <w:tcPr>
            <w:tcW w:type="dxa" w:w="1814"/>
          </w:tcPr>
          <w:p>
            <w:pPr>
              <w:spacing w:after="40"/>
            </w:pPr>
            <w:r/>
            <w:r>
              <w:rPr>
                <w:sz w:val="18"/>
              </w:rPr>
              <w:t>Une liste d'identifiants sous la clé « ids ».</w:t>
            </w:r>
          </w:p>
        </w:tc>
        <w:tc>
          <w:tcPr>
            <w:tcW w:type="dxa" w:w="1701"/>
          </w:tcPr>
          <w:p>
            <w:pPr>
              <w:spacing w:after="40"/>
            </w:pPr>
            <w:r/>
            <w:r>
              <w:rPr>
                <w:sz w:val="18"/>
              </w:rPr>
              <w:t>204.</w:t>
            </w:r>
          </w:p>
        </w:tc>
        <w:tc>
          <w:tcPr>
            <w:tcW w:type="dxa" w:w="2494"/>
          </w:tcPr>
          <w:p>
            <w:pPr>
              <w:spacing w:after="40"/>
            </w:pPr>
            <w:r/>
            <w:r>
              <w:rPr>
                <w:sz w:val="18"/>
              </w:rPr>
              <w:t>Rien : les identifiants inconnus ou déjà en corbeille sont ignorés.</w:t>
            </w:r>
          </w:p>
        </w:tc>
      </w:tr>
      <w:tr>
        <w:tc>
          <w:tcPr>
            <w:tcW w:type="dxa" w:w="1928"/>
          </w:tcPr>
          <w:p>
            <w:pPr>
              <w:spacing w:after="40"/>
            </w:pPr>
            <w:r/>
            <w:r>
              <w:rPr>
                <w:sz w:val="18"/>
              </w:rPr>
              <w:t>PATCH /api/v1/etiquettes/multiple-restore</w:t>
            </w:r>
          </w:p>
        </w:tc>
        <w:tc>
          <w:tcPr>
            <w:tcW w:type="dxa" w:w="1701"/>
          </w:tcPr>
          <w:p>
            <w:pPr>
              <w:spacing w:after="40"/>
            </w:pPr>
            <w:r/>
            <w:r>
              <w:rPr>
                <w:sz w:val="18"/>
              </w:rPr>
              <w:t>Restaure toutes les étiquettes désignées.</w:t>
            </w:r>
          </w:p>
        </w:tc>
        <w:tc>
          <w:tcPr>
            <w:tcW w:type="dxa" w:w="1814"/>
          </w:tcPr>
          <w:p>
            <w:pPr>
              <w:spacing w:after="40"/>
            </w:pPr>
            <w:r/>
            <w:r>
              <w:rPr>
                <w:sz w:val="18"/>
              </w:rPr>
              <w:t>Même corps.</w:t>
            </w:r>
          </w:p>
        </w:tc>
        <w:tc>
          <w:tcPr>
            <w:tcW w:type="dxa" w:w="1701"/>
          </w:tcPr>
          <w:p>
            <w:pPr>
              <w:spacing w:after="40"/>
            </w:pPr>
            <w:r/>
            <w:r>
              <w:rPr>
                <w:sz w:val="18"/>
              </w:rPr>
              <w:t>204.</w:t>
            </w:r>
          </w:p>
        </w:tc>
        <w:tc>
          <w:tcPr>
            <w:tcW w:type="dxa" w:w="2494"/>
          </w:tcPr>
          <w:p>
            <w:pPr>
              <w:spacing w:after="40"/>
            </w:pPr>
            <w:r/>
            <w:r>
              <w:rPr>
                <w:sz w:val="18"/>
              </w:rPr>
              <w:t>Rien, pour la même raison.</w:t>
            </w:r>
          </w:p>
        </w:tc>
      </w:tr>
    </w:tbl>
    <w:p>
      <w:pPr>
        <w:spacing w:after="80"/>
      </w:pPr>
    </w:p>
    <w:p>
      <w:pPr>
        <w:pStyle w:val="Heading2"/>
      </w:pPr>
      <w:r>
        <w:t>4.1 Les opérations qui appliquent une étiquette à un document</w:t>
      </w:r>
    </w:p>
    <w:p>
      <w:r>
        <w:rPr>
          <w:b w:val="0"/>
          <w:i w:val="0"/>
        </w:rPr>
        <w:t>Elles n'appartiennent pas à ce module mais il serait incomplet de ne pas les décrire, puisqu'elles sont la raison d'être des étiquettes. Deux opérations du module « Documents » écrivent la table de liaison.</w:t>
      </w:r>
    </w:p>
    <w:tbl>
      <w:tblPr>
        <w:tblStyle w:val="LightGrid-Accent1"/>
        <w:tblW w:type="auto" w:w="0"/>
        <w:jc w:val="center"/>
        <w:tblLayout w:type="fixed"/>
        <w:tblLook w:firstColumn="1" w:firstRow="1" w:lastColumn="0" w:lastRow="0" w:noHBand="0" w:noVBand="1" w:val="04A0"/>
      </w:tblPr>
      <w:tblGrid>
        <w:gridCol w:w="3213"/>
        <w:gridCol w:w="3213"/>
        <w:gridCol w:w="3213"/>
      </w:tblGrid>
      <w:tr>
        <w:tc>
          <w:tcPr>
            <w:tcW w:type="dxa" w:w="2381"/>
          </w:tcPr>
          <w:p>
            <w:pPr>
              <w:spacing w:after="40"/>
            </w:pPr>
            <w:r/>
            <w:r>
              <w:rPr>
                <w:b/>
                <w:sz w:val="18"/>
              </w:rPr>
              <w:t>Opération</w:t>
            </w:r>
          </w:p>
        </w:tc>
        <w:tc>
          <w:tcPr>
            <w:tcW w:type="dxa" w:w="3288"/>
          </w:tcPr>
          <w:p>
            <w:pPr>
              <w:spacing w:after="40"/>
            </w:pPr>
            <w:r/>
            <w:r>
              <w:rPr>
                <w:b/>
                <w:sz w:val="18"/>
              </w:rPr>
              <w:t>Comment les étiquettes sont transmises</w:t>
            </w:r>
          </w:p>
        </w:tc>
        <w:tc>
          <w:tcPr>
            <w:tcW w:type="dxa" w:w="3402"/>
          </w:tcPr>
          <w:p>
            <w:pPr>
              <w:spacing w:after="40"/>
            </w:pPr>
            <w:r/>
            <w:r>
              <w:rPr>
                <w:b/>
                <w:sz w:val="18"/>
              </w:rPr>
              <w:t>Comportement</w:t>
            </w:r>
          </w:p>
        </w:tc>
      </w:tr>
      <w:tr>
        <w:tc>
          <w:tcPr>
            <w:tcW w:type="dxa" w:w="2381"/>
          </w:tcPr>
          <w:p>
            <w:pPr>
              <w:spacing w:after="40"/>
            </w:pPr>
            <w:r/>
            <w:r>
              <w:rPr>
                <w:sz w:val="18"/>
              </w:rPr>
              <w:t>Dépôt d'un document</w:t>
            </w:r>
          </w:p>
        </w:tc>
        <w:tc>
          <w:tcPr>
            <w:tcW w:type="dxa" w:w="3288"/>
          </w:tcPr>
          <w:p>
            <w:pPr>
              <w:spacing w:after="40"/>
            </w:pPr>
            <w:r/>
            <w:r>
              <w:rPr>
                <w:sz w:val="18"/>
              </w:rPr>
              <w:t>Paramètre de formulaire multivalué, facultatif, accompagnant le fichier.</w:t>
            </w:r>
          </w:p>
        </w:tc>
        <w:tc>
          <w:tcPr>
            <w:tcW w:type="dxa" w:w="3402"/>
          </w:tcPr>
          <w:p>
            <w:pPr>
              <w:spacing w:after="40"/>
            </w:pPr>
            <w:r/>
            <w:r>
              <w:rPr>
                <w:sz w:val="18"/>
              </w:rPr>
              <w:t>Les étiquettes désignées sont posées sur le document nouvellement créé.</w:t>
            </w:r>
          </w:p>
        </w:tc>
      </w:tr>
      <w:tr>
        <w:tc>
          <w:tcPr>
            <w:tcW w:type="dxa" w:w="2381"/>
          </w:tcPr>
          <w:p>
            <w:pPr>
              <w:spacing w:after="40"/>
            </w:pPr>
            <w:r/>
            <w:r>
              <w:rPr>
                <w:sz w:val="18"/>
              </w:rPr>
              <w:t>Modification de la fiche d'un document</w:t>
            </w:r>
          </w:p>
        </w:tc>
        <w:tc>
          <w:tcPr>
            <w:tcW w:type="dxa" w:w="3288"/>
          </w:tcPr>
          <w:p>
            <w:pPr>
              <w:spacing w:after="40"/>
            </w:pPr>
            <w:r/>
            <w:r>
              <w:rPr>
                <w:sz w:val="18"/>
              </w:rPr>
              <w:t>Tableau d'identifiants dans le corps JSON.</w:t>
            </w:r>
          </w:p>
        </w:tc>
        <w:tc>
          <w:tcPr>
            <w:tcW w:type="dxa" w:w="3402"/>
          </w:tcPr>
          <w:p>
            <w:pPr>
              <w:spacing w:after="40"/>
            </w:pPr>
            <w:r/>
            <w:r>
              <w:rPr>
                <w:sz w:val="18"/>
              </w:rPr>
              <w:t>Remplacement complet : la liste actuelle est vidée puis remplie.</w:t>
            </w:r>
          </w:p>
        </w:tc>
      </w:tr>
    </w:tbl>
    <w:p>
      <w:pPr>
        <w:spacing w:after="80"/>
      </w:pPr>
    </w:p>
    <w:p>
      <w:r>
        <w:rPr>
          <w:b w:val="0"/>
          <w:i w:val="0"/>
        </w:rPr>
        <w:t>Le détail du remplacement mérite d'être précisé, car il distingue trois cas que l'on pourrait confondre. Si le tableau d'identifiants est absent de la requête, les étiquettes du document ne sont pas touchées. S'il est présent mais vide, toutes les étiquettes sont retirées. S'il est présent et rempli, la liste est intégralement remplacée par les étiquettes désignées ; les identifiants inconnus sont ignorés en silence.</w:t>
      </w:r>
    </w:p>
    <w:p>
      <w:r>
        <w:br w:type="page"/>
      </w:r>
    </w:p>
    <w:p>
      <w:pPr>
        <w:pStyle w:val="Heading1"/>
      </w:pPr>
      <w:r>
        <w:t>5. Les règles vérifiées côté serveur</w:t>
      </w:r>
    </w:p>
    <w:p>
      <w:pPr>
        <w:pStyle w:val="Heading2"/>
      </w:pPr>
      <w:r>
        <w:t>5.1 Règles de validité</w:t>
      </w:r>
    </w:p>
    <w:p>
      <w:pPr>
        <w:pStyle w:val="Heading3"/>
      </w:pPr>
      <w:r>
        <w:t>Règle 1 — Le libellé est obligatoire</w:t>
      </w:r>
    </w:p>
    <w:p>
      <w:r>
        <w:rPr>
          <w:b w:val="0"/>
          <w:i w:val="0"/>
        </w:rPr>
        <w:t>Un libellé absent, vide ou composé uniquement d'espaces est refusé, avec le message « Le libellé est obligatoire » rattaché au champ « tag ». Vérifiée aussi côté écran, avec le même message. Pourquoi : le libellé est la seule chose que l'utilisateur lit sur une étiquette ; une étiquette sans libellé serait une puce colorée sans signification.</w:t>
      </w:r>
    </w:p>
    <w:p>
      <w:pPr>
        <w:pStyle w:val="Heading3"/>
      </w:pPr>
      <w:r>
        <w:t>Règle 2 — Le code est obligatoire</w:t>
      </w:r>
    </w:p>
    <w:p>
      <w:r>
        <w:rPr>
          <w:b w:val="0"/>
          <w:i w:val="0"/>
        </w:rPr>
        <w:t>Message : « Le code est obligatoire », rattaché au champ « code ». Vérifiée aussi côté écran, avec le même message. Pourquoi : le code est le support de la contrainte d'unicité et le seul repère stable de l'étiquette.</w:t>
      </w:r>
    </w:p>
    <w:p>
      <w:pPr>
        <w:pStyle w:val="Heading3"/>
      </w:pPr>
      <w:r>
        <w:t>Règle 3 — La couleur est obligatoire</w:t>
      </w:r>
    </w:p>
    <w:p>
      <w:r>
        <w:rPr>
          <w:b w:val="0"/>
          <w:i w:val="0"/>
        </w:rPr>
        <w:t>Message : « La couleur est obligatoire », rattaché au champ « couleur ». Le contrôle porte uniquement sur la présence : aucune vérification de forme n'est effectuée. Côté écran, la règle est vérifiée différemment — le champ est simplement déclaré requis et pré-rempli avec une teinte de la marque, si bien qu'il n'est jamais vide en pratique. Pourquoi : une étiquette sans couleur ne se distinguerait d'aucune autre dans la liste des documents, où la couleur est le seul moyen de repérage rapide.</w:t>
      </w:r>
    </w:p>
    <w:p>
      <w:pPr>
        <w:pStyle w:val="Heading3"/>
      </w:pPr>
      <w:r>
        <w:t>Règle 4 — Le code doit être unique, sans égard à la casse</w:t>
      </w:r>
    </w:p>
    <w:p>
      <w:r>
        <w:rPr>
          <w:b w:val="0"/>
          <w:i w:val="0"/>
        </w:rPr>
        <w:t>Contrôlée à la création sur toute la table, et à la modification en excluant l'étiquette courante. Message construit : « Le code « TAG-URG » est déjà utilisé ». Règle serveur uniquement : l'écran ne connaît pas la liste des codes et se contente d'afficher le refus. Comme sur les autres modules, la vérification ne distingue pas les étiquettes en corbeille : un code n'est jamais libéré.</w:t>
      </w:r>
    </w:p>
    <w:p>
      <w:pPr>
        <w:pStyle w:val="Heading2"/>
      </w:pPr>
      <w:r>
        <w:t>5.2 Règles de lecture</w:t>
      </w:r>
    </w:p>
    <w:p>
      <w:pPr>
        <w:pStyle w:val="Heading3"/>
      </w:pPr>
      <w:r>
        <w:t>Règle 5 — Le tri n'est accepté que sur trois colonnes</w:t>
      </w:r>
    </w:p>
    <w:p>
      <w:r>
        <w:rPr>
          <w:b w:val="0"/>
          <w:i w:val="0"/>
        </w:rPr>
        <w:t>Identifiant, code et libellé. Toute autre valeur — la couleur, par exemple — est ignorée et la liste retombe sur son ordre par défaut, l'identifiant décroissant. Le tri textuel est insensible à la casse. Règle serveur uniquement. Pourquoi : un nom de colonne libre atteindrait directement le schéma de la table.</w:t>
      </w:r>
    </w:p>
    <w:p>
      <w:pPr>
        <w:pStyle w:val="Heading3"/>
      </w:pPr>
      <w:r>
        <w:t>Règle 6 — La recherche porte sur le seul libellé</w:t>
      </w:r>
    </w:p>
    <w:p>
      <w:r>
        <w:rPr>
          <w:b w:val="0"/>
          <w:i w:val="0"/>
        </w:rPr>
        <w:t>Recherche par inclusion, sans égard à la casse. Le code n'est pas interrogé, la couleur non plus. Règle serveur uniquement. Le choix est ici plus défendable que sur les autres écrans, puisque le libellé est précisément ce que l'utilisateur a en tête lorsqu'il cherche une étiquette.</w:t>
      </w:r>
    </w:p>
    <w:p>
      <w:pPr>
        <w:pStyle w:val="Heading3"/>
      </w:pPr>
      <w:r>
        <w:t>Règle 7 — La pagination est bornée des deux côtés</w:t>
      </w:r>
    </w:p>
    <w:p>
      <w:r>
        <w:rPr>
          <w:b w:val="0"/>
          <w:i w:val="0"/>
        </w:rPr>
        <w:t>Une taille de page inférieure à 1 est ramenée à 10, une taille supérieure à 200 est ramenée à 200. Un numéro de page négatif ou dont le décalage dépasse la capacité d'un entier est refusé avec la borne acceptable dans le message. Règle serveur uniquement. Ce plafond de 200 a une conséquence concrète sur les étiquettes, décrite en section 10.</w:t>
      </w:r>
    </w:p>
    <w:p>
      <w:pPr>
        <w:pStyle w:val="Heading2"/>
      </w:pPr>
      <w:r>
        <w:t>5.3 Les règles que ce module n'a pas</w:t>
      </w:r>
    </w:p>
    <w:p>
      <w:r>
        <w:rPr>
          <w:b w:val="0"/>
          <w:i w:val="0"/>
        </w:rPr>
        <w:t>Il est aussi instructif d'énumérer ce qui n'est pas vérifié, car la liste est courte et délibérément assumée pour partie.</w:t>
      </w:r>
    </w:p>
    <w:p>
      <w:pPr>
        <w:pStyle w:val="ListBullet"/>
        <w:spacing w:after="60"/>
      </w:pPr>
      <w:r>
        <w:t>Aucun contrôle de forme sur la couleur : « #16406b », « rouge », « 42 » et « rgb(0,0,0) » sont acceptés indifféremment.</w:t>
      </w:r>
    </w:p>
    <w:p>
      <w:pPr>
        <w:pStyle w:val="ListBullet"/>
        <w:spacing w:after="60"/>
      </w:pPr>
      <w:r>
        <w:t>Aucune unicité du libellé : deux étiquettes peuvent porter le même mot.</w:t>
      </w:r>
    </w:p>
    <w:p>
      <w:pPr>
        <w:pStyle w:val="ListBullet"/>
        <w:spacing w:after="60"/>
      </w:pPr>
      <w:r>
        <w:t>Aucune vérification d'usage avant la mise à la corbeille : le serveur ne compte pas les documents concernés.</w:t>
      </w:r>
    </w:p>
    <w:p>
      <w:pPr>
        <w:pStyle w:val="ListBullet"/>
        <w:spacing w:after="60"/>
      </w:pPr>
      <w:r>
        <w:t>Aucun filtrage de la corbeille lors de l'application d'une étiquette à un document : une étiquette supprimée peut être posée sur un document par un appel direct.</w:t>
      </w:r>
    </w:p>
    <w:p>
      <w:pPr>
        <w:pStyle w:val="ListBullet"/>
        <w:spacing w:after="60"/>
      </w:pPr>
      <w:r>
        <w:t>Aucune limite au nombre d'étiquettes posées sur un même document.</w:t>
      </w:r>
    </w:p>
    <w:p>
      <w:r>
        <w:br w:type="page"/>
      </w:r>
    </w:p>
    <w:p>
      <w:pPr>
        <w:pStyle w:val="Heading1"/>
      </w:pPr>
      <w:r>
        <w:t>6. Les erreurs et les réponses</w:t>
      </w:r>
    </w:p>
    <w:p>
      <w:r>
        <w:rPr>
          <w:b w:val="0"/>
          <w:i w:val="0"/>
        </w:rPr>
        <w:t>Les erreurs sont mises en forme par le gestionnaire commun à l'application. Le corps comporte toujours un horodatage, le code de statut répété et un message ; les erreurs de validation y ajoutent un dictionnaire nommant chaque champ fautif.</w:t>
      </w:r>
    </w:p>
    <w:tbl>
      <w:tblPr>
        <w:tblStyle w:val="LightGrid-Accent1"/>
        <w:tblW w:type="auto" w:w="0"/>
        <w:jc w:val="center"/>
        <w:tblLayout w:type="fixed"/>
        <w:tblLook w:firstColumn="1" w:firstRow="1" w:lastColumn="0" w:lastRow="0" w:noHBand="0" w:noVBand="1" w:val="04A0"/>
      </w:tblPr>
      <w:tblGrid>
        <w:gridCol w:w="2409"/>
        <w:gridCol w:w="2409"/>
        <w:gridCol w:w="2409"/>
        <w:gridCol w:w="2409"/>
      </w:tblGrid>
      <w:tr>
        <w:tc>
          <w:tcPr>
            <w:tcW w:type="dxa" w:w="2268"/>
          </w:tcPr>
          <w:p>
            <w:pPr>
              <w:spacing w:after="40"/>
            </w:pPr>
            <w:r/>
            <w:r>
              <w:rPr>
                <w:b/>
                <w:sz w:val="18"/>
              </w:rPr>
              <w:t>Situation</w:t>
            </w:r>
          </w:p>
        </w:tc>
        <w:tc>
          <w:tcPr>
            <w:tcW w:type="dxa" w:w="737"/>
          </w:tcPr>
          <w:p>
            <w:pPr>
              <w:spacing w:after="40"/>
            </w:pPr>
            <w:r/>
            <w:r>
              <w:rPr>
                <w:b/>
                <w:sz w:val="18"/>
              </w:rPr>
              <w:t>Code</w:t>
            </w:r>
          </w:p>
        </w:tc>
        <w:tc>
          <w:tcPr>
            <w:tcW w:type="dxa" w:w="3118"/>
          </w:tcPr>
          <w:p>
            <w:pPr>
              <w:spacing w:after="40"/>
            </w:pPr>
            <w:r/>
            <w:r>
              <w:rPr>
                <w:b/>
                <w:sz w:val="18"/>
              </w:rPr>
              <w:t>Message renvoyé</w:t>
            </w:r>
          </w:p>
        </w:tc>
        <w:tc>
          <w:tcPr>
            <w:tcW w:type="dxa" w:w="3515"/>
          </w:tcPr>
          <w:p>
            <w:pPr>
              <w:spacing w:after="40"/>
            </w:pPr>
            <w:r/>
            <w:r>
              <w:rPr>
                <w:b/>
                <w:sz w:val="18"/>
              </w:rPr>
              <w:t>Ce que l'écran en fait</w:t>
            </w:r>
          </w:p>
        </w:tc>
      </w:tr>
      <w:tr>
        <w:tc>
          <w:tcPr>
            <w:tcW w:type="dxa" w:w="2268"/>
          </w:tcPr>
          <w:p>
            <w:pPr>
              <w:spacing w:after="40"/>
            </w:pPr>
            <w:r/>
            <w:r>
              <w:rPr>
                <w:sz w:val="18"/>
              </w:rPr>
              <w:t>Appel sans jeton, ou avec un jeton expiré ou mal signé</w:t>
            </w:r>
          </w:p>
        </w:tc>
        <w:tc>
          <w:tcPr>
            <w:tcW w:type="dxa" w:w="737"/>
          </w:tcPr>
          <w:p>
            <w:pPr>
              <w:spacing w:after="40"/>
            </w:pPr>
            <w:r/>
            <w:r>
              <w:rPr>
                <w:sz w:val="18"/>
              </w:rPr>
              <w:t>401</w:t>
            </w:r>
          </w:p>
        </w:tc>
        <w:tc>
          <w:tcPr>
            <w:tcW w:type="dxa" w:w="3118"/>
          </w:tcPr>
          <w:p>
            <w:pPr>
              <w:spacing w:after="40"/>
            </w:pPr>
            <w:r/>
            <w:r>
              <w:rPr>
                <w:sz w:val="18"/>
              </w:rPr>
              <w:t>Aucun corps.</w:t>
            </w:r>
          </w:p>
        </w:tc>
        <w:tc>
          <w:tcPr>
            <w:tcW w:type="dxa" w:w="3515"/>
          </w:tcPr>
          <w:p>
            <w:pPr>
              <w:spacing w:after="40"/>
            </w:pPr>
            <w:r/>
            <w:r>
              <w:rPr>
                <w:sz w:val="18"/>
              </w:rPr>
              <w:t>L'intercepteur du frontend renvoie vers l'écran de connexion.</w:t>
            </w:r>
          </w:p>
        </w:tc>
      </w:tr>
      <w:tr>
        <w:tc>
          <w:tcPr>
            <w:tcW w:type="dxa" w:w="2268"/>
          </w:tcPr>
          <w:p>
            <w:pPr>
              <w:spacing w:after="40"/>
            </w:pPr>
            <w:r/>
            <w:r>
              <w:rPr>
                <w:sz w:val="18"/>
              </w:rPr>
              <w:t>Libellé manquant</w:t>
            </w:r>
          </w:p>
        </w:tc>
        <w:tc>
          <w:tcPr>
            <w:tcW w:type="dxa" w:w="737"/>
          </w:tcPr>
          <w:p>
            <w:pPr>
              <w:spacing w:after="40"/>
            </w:pPr>
            <w:r/>
            <w:r>
              <w:rPr>
                <w:sz w:val="18"/>
              </w:rPr>
              <w:t>400</w:t>
            </w:r>
          </w:p>
        </w:tc>
        <w:tc>
          <w:tcPr>
            <w:tcW w:type="dxa" w:w="3118"/>
          </w:tcPr>
          <w:p>
            <w:pPr>
              <w:spacing w:after="40"/>
            </w:pPr>
            <w:r/>
            <w:r>
              <w:rPr>
                <w:sz w:val="18"/>
              </w:rPr>
              <w:t>« Données invalides », avec « tag » dans le dictionnaire « errors ».</w:t>
            </w:r>
          </w:p>
        </w:tc>
        <w:tc>
          <w:tcPr>
            <w:tcW w:type="dxa" w:w="3515"/>
          </w:tcPr>
          <w:p>
            <w:pPr>
              <w:spacing w:after="40"/>
            </w:pPr>
            <w:r/>
            <w:r>
              <w:rPr>
                <w:sz w:val="18"/>
              </w:rPr>
              <w:t>Ne se produit pas en usage normal, le formulaire bloquant en amont.</w:t>
            </w:r>
          </w:p>
        </w:tc>
      </w:tr>
      <w:tr>
        <w:tc>
          <w:tcPr>
            <w:tcW w:type="dxa" w:w="2268"/>
          </w:tcPr>
          <w:p>
            <w:pPr>
              <w:spacing w:after="40"/>
            </w:pPr>
            <w:r/>
            <w:r>
              <w:rPr>
                <w:sz w:val="18"/>
              </w:rPr>
              <w:t>Code manquant</w:t>
            </w:r>
          </w:p>
        </w:tc>
        <w:tc>
          <w:tcPr>
            <w:tcW w:type="dxa" w:w="737"/>
          </w:tcPr>
          <w:p>
            <w:pPr>
              <w:spacing w:after="40"/>
            </w:pPr>
            <w:r/>
            <w:r>
              <w:rPr>
                <w:sz w:val="18"/>
              </w:rPr>
              <w:t>400</w:t>
            </w:r>
          </w:p>
        </w:tc>
        <w:tc>
          <w:tcPr>
            <w:tcW w:type="dxa" w:w="3118"/>
          </w:tcPr>
          <w:p>
            <w:pPr>
              <w:spacing w:after="40"/>
            </w:pPr>
            <w:r/>
            <w:r>
              <w:rPr>
                <w:sz w:val="18"/>
              </w:rPr>
              <w:t>« Données invalides », avec « code » dans le dictionnaire.</w:t>
            </w:r>
          </w:p>
        </w:tc>
        <w:tc>
          <w:tcPr>
            <w:tcW w:type="dxa" w:w="3515"/>
          </w:tcPr>
          <w:p>
            <w:pPr>
              <w:spacing w:after="40"/>
            </w:pPr>
            <w:r/>
            <w:r>
              <w:rPr>
                <w:sz w:val="18"/>
              </w:rPr>
              <w:t>Idem.</w:t>
            </w:r>
          </w:p>
        </w:tc>
      </w:tr>
      <w:tr>
        <w:tc>
          <w:tcPr>
            <w:tcW w:type="dxa" w:w="2268"/>
          </w:tcPr>
          <w:p>
            <w:pPr>
              <w:spacing w:after="40"/>
            </w:pPr>
            <w:r/>
            <w:r>
              <w:rPr>
                <w:sz w:val="18"/>
              </w:rPr>
              <w:t>Couleur manquante</w:t>
            </w:r>
          </w:p>
        </w:tc>
        <w:tc>
          <w:tcPr>
            <w:tcW w:type="dxa" w:w="737"/>
          </w:tcPr>
          <w:p>
            <w:pPr>
              <w:spacing w:after="40"/>
            </w:pPr>
            <w:r/>
            <w:r>
              <w:rPr>
                <w:sz w:val="18"/>
              </w:rPr>
              <w:t>400</w:t>
            </w:r>
          </w:p>
        </w:tc>
        <w:tc>
          <w:tcPr>
            <w:tcW w:type="dxa" w:w="3118"/>
          </w:tcPr>
          <w:p>
            <w:pPr>
              <w:spacing w:after="40"/>
            </w:pPr>
            <w:r/>
            <w:r>
              <w:rPr>
                <w:sz w:val="18"/>
              </w:rPr>
              <w:t>« Données invalides », avec « couleur » dans le dictionnaire.</w:t>
            </w:r>
          </w:p>
        </w:tc>
        <w:tc>
          <w:tcPr>
            <w:tcW w:type="dxa" w:w="3515"/>
          </w:tcPr>
          <w:p>
            <w:pPr>
              <w:spacing w:after="40"/>
            </w:pPr>
            <w:r/>
            <w:r>
              <w:rPr>
                <w:sz w:val="18"/>
              </w:rPr>
              <w:t>Idem : le champ est pré-rempli, il ne peut pas être vide.</w:t>
            </w:r>
          </w:p>
        </w:tc>
      </w:tr>
      <w:tr>
        <w:tc>
          <w:tcPr>
            <w:tcW w:type="dxa" w:w="2268"/>
          </w:tcPr>
          <w:p>
            <w:pPr>
              <w:spacing w:after="40"/>
            </w:pPr>
            <w:r/>
            <w:r>
              <w:rPr>
                <w:sz w:val="18"/>
              </w:rPr>
              <w:t>Code déjà utilisé</w:t>
            </w:r>
          </w:p>
        </w:tc>
        <w:tc>
          <w:tcPr>
            <w:tcW w:type="dxa" w:w="737"/>
          </w:tcPr>
          <w:p>
            <w:pPr>
              <w:spacing w:after="40"/>
            </w:pPr>
            <w:r/>
            <w:r>
              <w:rPr>
                <w:sz w:val="18"/>
              </w:rPr>
              <w:t>400</w:t>
            </w:r>
          </w:p>
        </w:tc>
        <w:tc>
          <w:tcPr>
            <w:tcW w:type="dxa" w:w="3118"/>
          </w:tcPr>
          <w:p>
            <w:pPr>
              <w:spacing w:after="40"/>
            </w:pPr>
            <w:r/>
            <w:r>
              <w:rPr>
                <w:sz w:val="18"/>
              </w:rPr>
              <w:t>« Le code « TAG-URG » est déjà utilisé »</w:t>
            </w:r>
          </w:p>
        </w:tc>
        <w:tc>
          <w:tcPr>
            <w:tcW w:type="dxa" w:w="3515"/>
          </w:tcPr>
          <w:p>
            <w:pPr>
              <w:spacing w:after="40"/>
            </w:pPr>
            <w:r/>
            <w:r>
              <w:rPr>
                <w:sz w:val="18"/>
              </w:rPr>
              <w:t>Affiché tel quel en pied de formulaire, qui reste ouvert.</w:t>
            </w:r>
          </w:p>
        </w:tc>
      </w:tr>
      <w:tr>
        <w:tc>
          <w:tcPr>
            <w:tcW w:type="dxa" w:w="2268"/>
          </w:tcPr>
          <w:p>
            <w:pPr>
              <w:spacing w:after="40"/>
            </w:pPr>
            <w:r/>
            <w:r>
              <w:rPr>
                <w:sz w:val="18"/>
              </w:rPr>
              <w:t>Identifiant inconnu, en lecture, modification, suppression ou restauration</w:t>
            </w:r>
          </w:p>
        </w:tc>
        <w:tc>
          <w:tcPr>
            <w:tcW w:type="dxa" w:w="737"/>
          </w:tcPr>
          <w:p>
            <w:pPr>
              <w:spacing w:after="40"/>
            </w:pPr>
            <w:r/>
            <w:r>
              <w:rPr>
                <w:sz w:val="18"/>
              </w:rPr>
              <w:t>404</w:t>
            </w:r>
          </w:p>
        </w:tc>
        <w:tc>
          <w:tcPr>
            <w:tcW w:type="dxa" w:w="3118"/>
          </w:tcPr>
          <w:p>
            <w:pPr>
              <w:spacing w:after="40"/>
            </w:pPr>
            <w:r/>
            <w:r>
              <w:rPr>
                <w:sz w:val="18"/>
              </w:rPr>
              <w:t>« Étiquette introuvable : 42 »</w:t>
            </w:r>
          </w:p>
        </w:tc>
        <w:tc>
          <w:tcPr>
            <w:tcW w:type="dxa" w:w="3515"/>
          </w:tcPr>
          <w:p>
            <w:pPr>
              <w:spacing w:after="40"/>
            </w:pPr>
            <w:r/>
            <w:r>
              <w:rPr>
                <w:sz w:val="18"/>
              </w:rPr>
              <w:t>Le formulaire affiche le message ; la liste se recharge.</w:t>
            </w:r>
          </w:p>
        </w:tc>
      </w:tr>
      <w:tr>
        <w:tc>
          <w:tcPr>
            <w:tcW w:type="dxa" w:w="2268"/>
          </w:tcPr>
          <w:p>
            <w:pPr>
              <w:spacing w:after="40"/>
            </w:pPr>
            <w:r/>
            <w:r>
              <w:rPr>
                <w:sz w:val="18"/>
              </w:rPr>
              <w:t>Valeur trop longue pour sa colonne</w:t>
            </w:r>
          </w:p>
        </w:tc>
        <w:tc>
          <w:tcPr>
            <w:tcW w:type="dxa" w:w="737"/>
          </w:tcPr>
          <w:p>
            <w:pPr>
              <w:spacing w:after="40"/>
            </w:pPr>
            <w:r/>
            <w:r>
              <w:rPr>
                <w:sz w:val="18"/>
              </w:rPr>
              <w:t>400</w:t>
            </w:r>
          </w:p>
        </w:tc>
        <w:tc>
          <w:tcPr>
            <w:tcW w:type="dxa" w:w="3118"/>
          </w:tcPr>
          <w:p>
            <w:pPr>
              <w:spacing w:after="40"/>
            </w:pPr>
            <w:r/>
            <w:r>
              <w:rPr>
                <w:sz w:val="18"/>
              </w:rPr>
              <w:t>« Donnée refusée par la base : une valeur dépasse la longueur autorisée pour sa colonne (255 caractères pour un champ texte). »</w:t>
            </w:r>
          </w:p>
        </w:tc>
        <w:tc>
          <w:tcPr>
            <w:tcW w:type="dxa" w:w="3515"/>
          </w:tcPr>
          <w:p>
            <w:pPr>
              <w:spacing w:after="40"/>
            </w:pPr>
            <w:r/>
            <w:r>
              <w:rPr>
                <w:sz w:val="18"/>
              </w:rPr>
              <w:t>Affiché tel quel. Le champ fautif n'est pas nommé.</w:t>
            </w:r>
          </w:p>
        </w:tc>
      </w:tr>
      <w:tr>
        <w:tc>
          <w:tcPr>
            <w:tcW w:type="dxa" w:w="2268"/>
          </w:tcPr>
          <w:p>
            <w:pPr>
              <w:spacing w:after="40"/>
            </w:pPr>
            <w:r/>
            <w:r>
              <w:rPr>
                <w:sz w:val="18"/>
              </w:rPr>
              <w:t>Numéro de page négatif ou hors limites</w:t>
            </w:r>
          </w:p>
        </w:tc>
        <w:tc>
          <w:tcPr>
            <w:tcW w:type="dxa" w:w="737"/>
          </w:tcPr>
          <w:p>
            <w:pPr>
              <w:spacing w:after="40"/>
            </w:pPr>
            <w:r/>
            <w:r>
              <w:rPr>
                <w:sz w:val="18"/>
              </w:rPr>
              <w:t>400</w:t>
            </w:r>
          </w:p>
        </w:tc>
        <w:tc>
          <w:tcPr>
            <w:tcW w:type="dxa" w:w="3118"/>
          </w:tcPr>
          <w:p>
            <w:pPr>
              <w:spacing w:after="40"/>
            </w:pPr>
            <w:r/>
            <w:r>
              <w:rPr>
                <w:sz w:val="18"/>
              </w:rPr>
              <w:t>Message nommant la borne acceptable.</w:t>
            </w:r>
          </w:p>
        </w:tc>
        <w:tc>
          <w:tcPr>
            <w:tcW w:type="dxa" w:w="3515"/>
          </w:tcPr>
          <w:p>
            <w:pPr>
              <w:spacing w:after="40"/>
            </w:pPr>
            <w:r/>
            <w:r>
              <w:rPr>
                <w:sz w:val="18"/>
              </w:rPr>
              <w:t>Cas d'appel direct de l'API.</w:t>
            </w:r>
          </w:p>
        </w:tc>
      </w:tr>
      <w:tr>
        <w:tc>
          <w:tcPr>
            <w:tcW w:type="dxa" w:w="2268"/>
          </w:tcPr>
          <w:p>
            <w:pPr>
              <w:spacing w:after="40"/>
            </w:pPr>
            <w:r/>
            <w:r>
              <w:rPr>
                <w:sz w:val="18"/>
              </w:rPr>
              <w:t>Panne non prévue</w:t>
            </w:r>
          </w:p>
        </w:tc>
        <w:tc>
          <w:tcPr>
            <w:tcW w:type="dxa" w:w="737"/>
          </w:tcPr>
          <w:p>
            <w:pPr>
              <w:spacing w:after="40"/>
            </w:pPr>
            <w:r/>
            <w:r>
              <w:rPr>
                <w:sz w:val="18"/>
              </w:rPr>
              <w:t>500</w:t>
            </w:r>
          </w:p>
        </w:tc>
        <w:tc>
          <w:tcPr>
            <w:tcW w:type="dxa" w:w="3118"/>
          </w:tcPr>
          <w:p>
            <w:pPr>
              <w:spacing w:after="40"/>
            </w:pPr>
            <w:r/>
            <w:r>
              <w:rPr>
                <w:sz w:val="18"/>
              </w:rPr>
              <w:t>Réponse d'erreur par défaut du socle.</w:t>
            </w:r>
          </w:p>
        </w:tc>
        <w:tc>
          <w:tcPr>
            <w:tcW w:type="dxa" w:w="3515"/>
          </w:tcPr>
          <w:p>
            <w:pPr>
              <w:spacing w:after="40"/>
            </w:pPr>
            <w:r/>
            <w:r>
              <w:rPr>
                <w:sz w:val="18"/>
              </w:rPr>
              <w:t>« Une erreur est survenue. »</w:t>
            </w:r>
          </w:p>
        </w:tc>
      </w:tr>
    </w:tbl>
    <w:p>
      <w:pPr>
        <w:spacing w:after="80"/>
      </w:pPr>
    </w:p>
    <w:p>
      <w:r>
        <w:rPr>
          <w:b w:val="0"/>
          <w:i w:val="0"/>
        </w:rPr>
        <w:t>Aucune erreur métier propre aux étiquettes n'existe en dehors de l'unicité du code. Il n'y a ni couleur refusée, ni libellé refusé, ni suppression empêchée : c'est cohérent avec un objet qui ne porte aucune valeur et n'entre dans aucun calcul.</w:t>
      </w:r>
    </w:p>
    <w:p>
      <w:r>
        <w:br w:type="page"/>
      </w:r>
    </w:p>
    <w:p>
      <w:pPr>
        <w:pStyle w:val="Heading1"/>
      </w:pPr>
      <w:r>
        <w:t>7. Ce qui est écrit, et dans quel ordre</w:t>
      </w:r>
    </w:p>
    <w:p>
      <w:r>
        <w:rPr>
          <w:b w:val="0"/>
          <w:i w:val="0"/>
        </w:rPr>
        <w:t>Le module ne touche qu'une table, et ses opérations sont les plus courtes de l'application. La séquence intéressante se situe ailleurs : dans l'application des étiquettes à un document, qui touche deux tables et qui s'insère au milieu d'une séquence plus longue.</w:t>
      </w:r>
    </w:p>
    <w:p>
      <w:pPr>
        <w:pStyle w:val="Heading2"/>
      </w:pPr>
      <w:r>
        <w:t>7.1 Création et modification d'une étiquette</w:t>
      </w:r>
    </w:p>
    <w:p>
      <w:pPr>
        <w:spacing w:after="0" w:before="0" w:line="240" w:lineRule="auto"/>
      </w:pPr>
      <w:r>
        <w:rPr>
          <w:rFonts w:ascii="Consolas" w:hAnsi="Consolas" w:cs="Consolas" w:eastAsia="Consolas"/>
          <w:sz w:val="18"/>
        </w:rPr>
        <w:t xml:space="preserve">  POST /api/v1/etiquettes</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1. Lecture du corps et validation : les trois champs presents</w:t>
      </w:r>
    </w:p>
    <w:p>
      <w:pPr>
        <w:spacing w:after="0" w:before="0" w:line="240" w:lineRule="auto"/>
      </w:pPr>
      <w:r>
        <w:rPr>
          <w:rFonts w:ascii="Consolas" w:hAnsi="Consolas" w:cs="Consolas" w:eastAsia="Consolas"/>
          <w:sz w:val="18"/>
        </w:rPr>
        <w:t xml:space="preserve">         echec -&gt; 400 avec le detail par champ, rien n'est ouvert</w:t>
      </w:r>
    </w:p>
    <w:p>
      <w:pPr>
        <w:spacing w:after="0" w:before="0" w:line="240" w:lineRule="auto"/>
      </w:pPr>
      <w:r>
        <w:rPr>
          <w:rFonts w:ascii="Consolas" w:hAnsi="Consolas" w:cs="Consolas" w:eastAsia="Consolas"/>
          <w:sz w:val="18"/>
        </w:rPr>
        <w:t xml:space="preserve">    2. Ouverture de la transaction</w:t>
      </w:r>
    </w:p>
    <w:p>
      <w:pPr>
        <w:spacing w:after="0" w:before="0" w:line="240" w:lineRule="auto"/>
      </w:pPr>
      <w:r>
        <w:rPr>
          <w:rFonts w:ascii="Consolas" w:hAnsi="Consolas" w:cs="Consolas" w:eastAsia="Consolas"/>
          <w:sz w:val="18"/>
        </w:rPr>
        <w:t xml:space="preserve">    3. Verification d'unicite du code</w:t>
      </w:r>
    </w:p>
    <w:p>
      <w:pPr>
        <w:spacing w:after="0" w:before="0" w:line="240" w:lineRule="auto"/>
      </w:pPr>
      <w:r>
        <w:rPr>
          <w:rFonts w:ascii="Consolas" w:hAnsi="Consolas" w:cs="Consolas" w:eastAsia="Consolas"/>
          <w:sz w:val="18"/>
        </w:rPr>
        <w:t xml:space="preserve">         echec -&gt; 400, transaction annulee</w:t>
      </w:r>
    </w:p>
    <w:p>
      <w:pPr>
        <w:spacing w:after="0" w:before="0" w:line="240" w:lineRule="auto"/>
      </w:pPr>
      <w:r>
        <w:rPr>
          <w:rFonts w:ascii="Consolas" w:hAnsi="Consolas" w:cs="Consolas" w:eastAsia="Consolas"/>
          <w:sz w:val="18"/>
        </w:rPr>
        <w:t xml:space="preserve">    4. Construction de l'entite avec les trois champs</w:t>
      </w:r>
    </w:p>
    <w:p>
      <w:pPr>
        <w:spacing w:after="0" w:before="0" w:line="240" w:lineRule="auto"/>
      </w:pPr>
      <w:r>
        <w:rPr>
          <w:rFonts w:ascii="Consolas" w:hAnsi="Consolas" w:cs="Consolas" w:eastAsia="Consolas"/>
          <w:sz w:val="18"/>
        </w:rPr>
        <w:t xml:space="preserve">    5. Enregistrement -&gt; INSERT, horodatages poses</w:t>
      </w:r>
    </w:p>
    <w:p>
      <w:pPr>
        <w:spacing w:after="0" w:before="0" w:line="240" w:lineRule="auto"/>
      </w:pPr>
      <w:r>
        <w:rPr>
          <w:rFonts w:ascii="Consolas" w:hAnsi="Consolas" w:cs="Consolas" w:eastAsia="Consolas"/>
          <w:sz w:val="18"/>
        </w:rPr>
        <w:t xml:space="preserve">    6. Fermeture de la transaction</w:t>
      </w:r>
    </w:p>
    <w:p>
      <w:pPr>
        <w:spacing w:after="0" w:before="0" w:line="240" w:lineRule="auto"/>
      </w:pPr>
      <w:r>
        <w:rPr>
          <w:rFonts w:ascii="Consolas" w:hAnsi="Consolas" w:cs="Consolas" w:eastAsia="Consolas"/>
          <w:sz w:val="18"/>
        </w:rPr>
        <w:t xml:space="preserve">    7. Reponse 201</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PUT /api/v1/etiquettes/{id}</w:t>
      </w:r>
    </w:p>
    <w:p>
      <w:pPr>
        <w:spacing w:after="0" w:before="0" w:line="240" w:lineRule="auto"/>
      </w:pPr>
      <w:r>
        <w:rPr>
          <w:rFonts w:ascii="Consolas" w:hAnsi="Consolas" w:cs="Consolas" w:eastAsia="Consolas"/>
          <w:sz w:val="18"/>
        </w:rPr>
        <w:t xml:space="preserve">    Meme sequence, precedee du chargement de l'etiquette (404 si</w:t>
      </w:r>
    </w:p>
    <w:p>
      <w:pPr>
        <w:spacing w:after="0" w:before="0" w:line="240" w:lineRule="auto"/>
      </w:pPr>
      <w:r>
        <w:rPr>
          <w:rFonts w:ascii="Consolas" w:hAnsi="Consolas" w:cs="Consolas" w:eastAsia="Consolas"/>
          <w:sz w:val="18"/>
        </w:rPr>
        <w:t xml:space="preserve">    inconnue) et avec une verification d'unicite qui exclut</w:t>
      </w:r>
    </w:p>
    <w:p>
      <w:pPr>
        <w:spacing w:after="0" w:before="0" w:line="240" w:lineRule="auto"/>
      </w:pPr>
      <w:r>
        <w:rPr>
          <w:rFonts w:ascii="Consolas" w:hAnsi="Consolas" w:cs="Consolas" w:eastAsia="Consolas"/>
          <w:sz w:val="18"/>
        </w:rPr>
        <w:t xml:space="preserve">    l'etiquette courante. Les trois champs sont reecrits.</w:t>
      </w:r>
    </w:p>
    <w:p>
      <w:pPr>
        <w:spacing w:after="0" w:before="0" w:line="240" w:lineRule="auto"/>
      </w:pPr>
      <w:r>
        <w:rPr>
          <w:rFonts w:ascii="Consolas" w:hAnsi="Consolas" w:cs="Consolas" w:eastAsia="Consolas"/>
          <w:sz w:val="18"/>
        </w:rPr>
        <w:t xml:space="preserve">    Contrairement aux autres modules, aucune normalisation n'est</w:t>
      </w:r>
    </w:p>
    <w:p>
      <w:pPr>
        <w:spacing w:after="0" w:before="0" w:line="240" w:lineRule="auto"/>
      </w:pPr>
      <w:r>
        <w:rPr>
          <w:rFonts w:ascii="Consolas" w:hAnsi="Consolas" w:cs="Consolas" w:eastAsia="Consolas"/>
          <w:sz w:val="18"/>
        </w:rPr>
        <w:t xml:space="preserve">    appliquee : les valeurs sont enregistrees telles quelles, espaces</w:t>
      </w:r>
    </w:p>
    <w:p>
      <w:pPr>
        <w:spacing w:after="0" w:before="0" w:line="240" w:lineRule="auto"/>
      </w:pPr>
      <w:r>
        <w:rPr>
          <w:rFonts w:ascii="Consolas" w:hAnsi="Consolas" w:cs="Consolas" w:eastAsia="Consolas"/>
          <w:sz w:val="18"/>
        </w:rPr>
        <w:t xml:space="preserve">    de bord compris.</w:t>
      </w:r>
    </w:p>
    <w:p>
      <w:pPr>
        <w:spacing w:after="80"/>
      </w:pPr>
    </w:p>
    <w:p>
      <w:pPr>
        <w:pStyle w:val="Heading2"/>
      </w:pPr>
      <w:r>
        <w:t>7.2 Mise à la corbeille, restauration, opérations groupées</w:t>
      </w:r>
    </w:p>
    <w:p>
      <w:r>
        <w:rPr>
          <w:b w:val="0"/>
          <w:i w:val="0"/>
        </w:rPr>
        <w:t>Ces opérations chargent l'entité — ou, pour les opérations groupées, l'ensemble des entités désignées se trouvant dans l'état de départ attendu — puis basculent l'indicateur de corbeille. La transaction écrit la modification à sa fermeture. Les opérations groupées sont atomiques : tout le lot est traité, ou rien ne l'est. Aucune ligne de la table de liaison n'est touchée.</w:t>
      </w:r>
    </w:p>
    <w:p>
      <w:pPr>
        <w:pStyle w:val="Heading2"/>
      </w:pPr>
      <w:r>
        <w:t>7.3 L'application des étiquettes à un document</w:t>
      </w:r>
    </w:p>
    <w:p>
      <w:r>
        <w:rPr>
          <w:b w:val="0"/>
          <w:i w:val="0"/>
        </w:rPr>
        <w:t>C'est la seule séquence où les étiquettes sont écrites en relation avec autre chose. Elle se produit à deux moments : au dépôt d'un document, et à la modification de sa fiche. Dans les deux cas, l'écriture des étiquettes est la dernière étape, et elle est couverte par la même transaction que tout le reste.</w:t>
      </w:r>
    </w:p>
    <w:p>
      <w:pPr>
        <w:spacing w:after="0" w:before="0" w:line="240" w:lineRule="auto"/>
      </w:pPr>
      <w:r>
        <w:rPr>
          <w:rFonts w:ascii="Consolas" w:hAnsi="Consolas" w:cs="Consolas" w:eastAsia="Consolas"/>
          <w:sz w:val="18"/>
        </w:rPr>
        <w:t xml:space="preserve">  Depot d'un document, sequence complete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1. Controles portes par le type : type vivant, format, taille</w:t>
      </w:r>
    </w:p>
    <w:p>
      <w:pPr>
        <w:spacing w:after="0" w:before="0" w:line="240" w:lineRule="auto"/>
      </w:pPr>
      <w:r>
        <w:rPr>
          <w:rFonts w:ascii="Consolas" w:hAnsi="Consolas" w:cs="Consolas" w:eastAsia="Consolas"/>
          <w:sz w:val="18"/>
        </w:rPr>
        <w:t xml:space="preserve">    2. Ecriture du fichier sur le disque</w:t>
      </w:r>
    </w:p>
    <w:p>
      <w:pPr>
        <w:spacing w:after="0" w:before="0" w:line="240" w:lineRule="auto"/>
      </w:pPr>
      <w:r>
        <w:rPr>
          <w:rFonts w:ascii="Consolas" w:hAnsi="Consolas" w:cs="Consolas" w:eastAsia="Consolas"/>
          <w:sz w:val="18"/>
        </w:rPr>
        <w:t xml:space="preserve">    3. Creation de la fiche du document en base</w:t>
      </w:r>
    </w:p>
    <w:p>
      <w:pPr>
        <w:spacing w:after="0" w:before="0" w:line="240" w:lineRule="auto"/>
      </w:pPr>
      <w:r>
        <w:rPr>
          <w:rFonts w:ascii="Consolas" w:hAnsi="Consolas" w:cs="Consolas" w:eastAsia="Consolas"/>
          <w:sz w:val="18"/>
        </w:rPr>
        <w:t xml:space="preserve">    4. APPLICATION DES ETIQUETTES</w:t>
      </w:r>
    </w:p>
    <w:p>
      <w:pPr>
        <w:spacing w:after="0" w:before="0" w:line="240" w:lineRule="auto"/>
      </w:pPr>
      <w:r>
        <w:rPr>
          <w:rFonts w:ascii="Consolas" w:hAnsi="Consolas" w:cs="Consolas" w:eastAsia="Consolas"/>
          <w:sz w:val="18"/>
        </w:rPr>
        <w:t xml:space="preserve">         liste absente  -&gt; aucun changement</w:t>
      </w:r>
    </w:p>
    <w:p>
      <w:pPr>
        <w:spacing w:after="0" w:before="0" w:line="240" w:lineRule="auto"/>
      </w:pPr>
      <w:r>
        <w:rPr>
          <w:rFonts w:ascii="Consolas" w:hAnsi="Consolas" w:cs="Consolas" w:eastAsia="Consolas"/>
          <w:sz w:val="18"/>
        </w:rPr>
        <w:t xml:space="preserve">         liste vide     -&gt; toutes les etiquettes sont retirees</w:t>
      </w:r>
    </w:p>
    <w:p>
      <w:pPr>
        <w:spacing w:after="0" w:before="0" w:line="240" w:lineRule="auto"/>
      </w:pPr>
      <w:r>
        <w:rPr>
          <w:rFonts w:ascii="Consolas" w:hAnsi="Consolas" w:cs="Consolas" w:eastAsia="Consolas"/>
          <w:sz w:val="18"/>
        </w:rPr>
        <w:t xml:space="preserve">         liste remplie  -&gt; chargement des etiquettes designees,</w:t>
      </w:r>
    </w:p>
    <w:p>
      <w:pPr>
        <w:spacing w:after="0" w:before="0" w:line="240" w:lineRule="auto"/>
      </w:pPr>
      <w:r>
        <w:rPr>
          <w:rFonts w:ascii="Consolas" w:hAnsi="Consolas" w:cs="Consolas" w:eastAsia="Consolas"/>
          <w:sz w:val="18"/>
        </w:rPr>
        <w:t xml:space="preserve">                           vidage puis remplissage de la liaison</w:t>
      </w:r>
    </w:p>
    <w:p>
      <w:pPr>
        <w:spacing w:after="0" w:before="0" w:line="240" w:lineRule="auto"/>
      </w:pPr>
      <w:r>
        <w:rPr>
          <w:rFonts w:ascii="Consolas" w:hAnsi="Consolas" w:cs="Consolas" w:eastAsia="Consolas"/>
          <w:sz w:val="18"/>
        </w:rPr>
        <w:t xml:space="preserve">         identifiants inconnus : ignores en silence</w:t>
      </w:r>
    </w:p>
    <w:p>
      <w:pPr>
        <w:spacing w:after="0" w:before="0" w:line="240" w:lineRule="auto"/>
      </w:pPr>
      <w:r>
        <w:rPr>
          <w:rFonts w:ascii="Consolas" w:hAnsi="Consolas" w:cs="Consolas" w:eastAsia="Consolas"/>
          <w:sz w:val="18"/>
        </w:rPr>
        <w:t xml:space="preserve">         etiquettes en corbeille : ACCEPTEES</w:t>
      </w:r>
    </w:p>
    <w:p>
      <w:pPr>
        <w:spacing w:after="0" w:before="0" w:line="240" w:lineRule="auto"/>
      </w:pPr>
      <w:r>
        <w:rPr>
          <w:rFonts w:ascii="Consolas" w:hAnsi="Consolas" w:cs="Consolas" w:eastAsia="Consolas"/>
          <w:sz w:val="18"/>
        </w:rPr>
        <w:t xml:space="preserve">    5. Fermeture de la transaction</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Si l'etape 4 echouait, l'ensemble serait annule en base — mais le</w:t>
      </w:r>
    </w:p>
    <w:p>
      <w:pPr>
        <w:spacing w:after="0" w:before="0" w:line="240" w:lineRule="auto"/>
      </w:pPr>
      <w:r>
        <w:rPr>
          <w:rFonts w:ascii="Consolas" w:hAnsi="Consolas" w:cs="Consolas" w:eastAsia="Consolas"/>
          <w:sz w:val="18"/>
        </w:rPr>
        <w:t xml:space="preserve">  fichier ecrit a l'etape 2 resterait sur le disque : le systeme de</w:t>
      </w:r>
    </w:p>
    <w:p>
      <w:pPr>
        <w:spacing w:after="0" w:before="0" w:line="240" w:lineRule="auto"/>
      </w:pPr>
      <w:r>
        <w:rPr>
          <w:rFonts w:ascii="Consolas" w:hAnsi="Consolas" w:cs="Consolas" w:eastAsia="Consolas"/>
          <w:sz w:val="18"/>
        </w:rPr>
        <w:t xml:space="preserve">  fichiers ne participe pas a la transaction.</w:t>
      </w:r>
    </w:p>
    <w:p>
      <w:pPr>
        <w:spacing w:after="80"/>
      </w:pPr>
    </w:p>
    <w:p>
      <w:r>
        <w:rPr>
          <w:b w:val="0"/>
          <w:i w:val="0"/>
        </w:rPr>
        <w:t>Le point de conception à retenir est que le vidage précède le remplissage. Il n'existe donc aucune opération d'ajout ou de retrait d'une étiquette isolée : chaque enregistrement d'une fiche redéclare l'ensemble. Deux modifications concurrentes de la même fiche ne fusionnent pas leurs étiquettes, la seconde écrase la première.</w:t>
      </w:r>
    </w:p>
    <w:p>
      <w:r>
        <w:br w:type="page"/>
      </w:r>
    </w:p>
    <w:p>
      <w:pPr>
        <w:pStyle w:val="Heading1"/>
      </w:pPr>
      <w:r>
        <w:t>8. Les effets de bord</w:t>
      </w:r>
    </w:p>
    <w:p>
      <w:pPr>
        <w:pStyle w:val="Heading2"/>
      </w:pPr>
      <w:r>
        <w:t>8.1 Dans ce module</w:t>
      </w:r>
    </w:p>
    <w:p>
      <w:r>
        <w:rPr>
          <w:b w:val="0"/>
          <w:i w:val="0"/>
        </w:rPr>
        <w:t>Le module n'écrit qu'une table. Aucun fichier n'est produit, aucun calcul n'est déclenché, aucun compteur n'est tenu. Les deux horodatages sont posés par la couche de persistance. C'est, de toute la chaîne de paramétrage, le module dont les écritures ont la portée la plus faible.</w:t>
      </w:r>
    </w:p>
    <w:p>
      <w:pPr>
        <w:pStyle w:val="Heading2"/>
      </w:pPr>
      <w:r>
        <w:t>8.2 Ailleurs, sans écriture</w:t>
      </w:r>
    </w:p>
    <w:p>
      <w:pPr>
        <w:pStyle w:val="ListBullet"/>
        <w:spacing w:after="60"/>
      </w:pPr>
      <w:r>
        <w:t>Modifier le libellé d'une étiquette change instantanément son affichage sur tous les documents qui la portent : le libellé n'est pas recopié sur le document, il est lu à travers la relation. Il n'y a donc aucune incohérence possible entre l'écran des étiquettes et celui des documents.</w:t>
      </w:r>
    </w:p>
    <w:p>
      <w:pPr>
        <w:pStyle w:val="ListBullet"/>
        <w:spacing w:after="60"/>
      </w:pPr>
      <w:r>
        <w:t>Modifier la couleur produit le même effet immédiat, sur les puces de la liste des documents comme sur celles de la fiche.</w:t>
      </w:r>
    </w:p>
    <w:p>
      <w:pPr>
        <w:pStyle w:val="ListBullet"/>
        <w:spacing w:after="60"/>
      </w:pPr>
      <w:r>
        <w:t>Créer une étiquette la rend disponible dans le sélecteur du dépôt au chargement suivant.</w:t>
      </w:r>
    </w:p>
    <w:p>
      <w:pPr>
        <w:pStyle w:val="ListBullet"/>
        <w:spacing w:after="60"/>
      </w:pPr>
      <w:r>
        <w:t>Mettre une étiquette à la corbeille la retire des sélecteurs, mais la laisse visible sur les documents qui la portent.</w:t>
      </w:r>
    </w:p>
    <w:p>
      <w:pPr>
        <w:pStyle w:val="Heading2"/>
      </w:pPr>
      <w:r>
        <w:t>8.3 Ce qui n'est jamais supprimé</w:t>
      </w:r>
    </w:p>
    <w:p>
      <w:pPr>
        <w:pStyle w:val="ListBullet"/>
        <w:spacing w:after="60"/>
      </w:pPr>
      <w:r>
        <w:t>Aucune ligne de la table des étiquettes : la suppression est une bascule d'indicateur, il n'existe aucune purge, ni en interface, ni dans l'API.</w:t>
      </w:r>
    </w:p>
    <w:p>
      <w:pPr>
        <w:pStyle w:val="ListBullet"/>
        <w:spacing w:after="60"/>
      </w:pPr>
      <w:r>
        <w:t>Aucune ligne de la table de liaison lors de la suppression d'une étiquette : les rattachements aux documents subsistent intégralement, ce qui permet à la restauration de tout retrouver.</w:t>
      </w:r>
    </w:p>
    <w:p>
      <w:pPr>
        <w:pStyle w:val="ListBullet"/>
        <w:spacing w:after="60"/>
      </w:pPr>
      <w:r>
        <w:t>Aucun document : c'est la garantie explicite de cet écran. Supprimer une étiquette ne supprime rien d'autre.</w:t>
      </w:r>
    </w:p>
    <w:p>
      <w:pPr>
        <w:pStyle w:val="ListBullet"/>
        <w:spacing w:after="60"/>
      </w:pPr>
      <w:r>
        <w:t>Aucun code : un code utilisé par une étiquette en corbeille reste réservé indéfiniment.</w:t>
      </w:r>
    </w:p>
    <w:p>
      <w:pPr>
        <w:pStyle w:val="Heading2"/>
      </w:pPr>
      <w:r>
        <w:t>8.4 Une conséquence à mesurer</w:t>
      </w:r>
    </w:p>
    <w:p>
      <w:r>
        <w:rPr>
          <w:b w:val="0"/>
          <w:i w:val="0"/>
        </w:rPr>
        <w:t>La conjonction de deux comportements — la table de liaison qui n'est pas nettoyée, et la restitution des documents qui ne filtre pas la corbeille — produit une situation qu'il faut avoir en tête. Une étiquette supprimée continue de s'afficher sur les documents. Ce n'est ni un défaut de cohérence ni une perte de données : c'est le prix de la réversibilité, et l'inverse — détacher l'étiquette de tous ses documents à la suppression — rendrait la restauration inutile puisqu'elle ne retrouverait plus rien. Le choix actuel est le bon ; il reste à le rendre lisible à l'écran, par exemple en distinguant visuellement une étiquette supprimée.</w:t>
      </w:r>
    </w:p>
    <w:p>
      <w:r>
        <w:br w:type="page"/>
      </w:r>
    </w:p>
    <w:p>
      <w:pPr>
        <w:pStyle w:val="Heading1"/>
      </w:pPr>
      <w:r>
        <w:t>9. Sécurité et contrôle d'accès</w:t>
      </w:r>
    </w:p>
    <w:p>
      <w:r>
        <w:rPr>
          <w:b w:val="0"/>
          <w:i w:val="0"/>
        </w:rPr>
        <w:t>L'application ne comporte qu'un seul compte : celui de l'administrateur. Les autres personnes visibles dans le produit — propriétaires d'espaces, approbateurs d'étapes, membres de groupes — sont des employés, c'est-à-dire des données ; elles ne se connectent pas. Il n'existe donc aucun mécanisme de rôles, de permissions ou de profils, et ce module, qui est le plus simple de tous, en est aussi l'illustration la plus nette.</w:t>
      </w:r>
    </w:p>
    <w:p>
      <w:pPr>
        <w:pStyle w:val="Heading2"/>
      </w:pPr>
      <w:r>
        <w:t>9.1 Le seul contrôle appliqué</w:t>
      </w:r>
    </w:p>
    <w:p>
      <w:r>
        <w:rPr>
          <w:b w:val="0"/>
          <w:i w:val="0"/>
        </w:rPr>
        <w:t>L'API est fermée par défaut : toute requête qui n'est pas explicitement ouverte doit porter un jeton valide. Aucune des dix adresses de ce module ne figure parmi les exceptions ; les lectures sont protégées au même titre que les écritures. Une fois le jeton validé, les dix opérations sont ouvertes sans distinction : il n'existe pas une seule annotation d'autorisation dans le module.</w:t>
      </w:r>
    </w:p>
    <w:p>
      <w:pPr>
        <w:pStyle w:val="Heading2"/>
      </w:pPr>
      <w:r>
        <w:t>9.2 Le socle sur lequel repose ce contrôle</w:t>
      </w:r>
    </w:p>
    <w:p>
      <w:pPr>
        <w:pStyle w:val="ListBullet"/>
        <w:spacing w:after="60"/>
      </w:pPr>
      <w:r>
        <w:t>Le jeton est un JWT signé en HMAC-SHA256, vérifié par un filtre placé avant le traitement de la requête. La clé de signature n'a aucune valeur par défaut versionnée : son absence empêche le démarrage en production.</w:t>
      </w:r>
    </w:p>
    <w:p>
      <w:pPr>
        <w:pStyle w:val="ListBullet"/>
        <w:spacing w:after="60"/>
      </w:pPr>
      <w:r>
        <w:t>La durée de vie du jeton est courte et sert aussi de borne haute à la vérification.</w:t>
      </w:r>
    </w:p>
    <w:p>
      <w:pPr>
        <w:pStyle w:val="ListBullet"/>
        <w:spacing w:after="60"/>
      </w:pPr>
      <w:r>
        <w:t>L'API est sans état : aucun cookie de session, donc aucune surface d'attaque par requête forgée entre sites.</w:t>
      </w:r>
    </w:p>
    <w:p>
      <w:pPr>
        <w:pStyle w:val="ListBullet"/>
        <w:spacing w:after="60"/>
      </w:pPr>
      <w:r>
        <w:t>Un appel non authentifié reçoit un code 401, jamais une redirection vers une page de connexion en HTML que le frontend prendrait pour une réponse valide.</w:t>
      </w:r>
    </w:p>
    <w:p>
      <w:pPr>
        <w:pStyle w:val="ListBullet"/>
        <w:spacing w:after="60"/>
      </w:pPr>
      <w:r>
        <w:t>Les origines autorisées à appeler l'API sont déclarées par configuration ; l'envoi d'identifiants d'origine croisée n'est pas autorisé.</w:t>
      </w:r>
    </w:p>
    <w:p>
      <w:pPr>
        <w:pStyle w:val="Heading2"/>
      </w:pPr>
      <w:r>
        <w:t>9.3 Ce que cela implique pour ce module</w:t>
      </w:r>
    </w:p>
    <w:p>
      <w:r>
        <w:rPr>
          <w:b w:val="0"/>
          <w:i w:val="0"/>
        </w:rPr>
        <w:t>Quiconque détient un jeton valide peut créer, renommer, recolorer, supprimer et restaurer n'importe quelle étiquette. L'impact reste contenu, puisqu'une étiquette ne porte aucune valeur et n'entre dans aucun calcul : le pire effet d'une modification est un classement transversal devenu faux, jamais une perte de document. C'est le seul module de la chaîne de paramétrage dont on peut le dire.</w:t>
      </w:r>
    </w:p>
    <w:p>
      <w:r>
        <w:rPr>
          <w:b w:val="0"/>
          <w:i w:val="0"/>
        </w:rPr>
        <w:t>Comme ailleurs, aucune trace nominative n'est conservée : les deux colonnes d'horodatage disent quand une étiquette a changé, jamais qui l'a changée.</w:t>
      </w:r>
    </w:p>
    <w:p>
      <w:r>
        <w:br w:type="page"/>
      </w:r>
    </w:p>
    <w:p>
      <w:pPr>
        <w:pStyle w:val="Heading1"/>
      </w:pPr>
      <w:r>
        <w:t>10. Points de vigilance et limites connues</w:t>
      </w:r>
    </w:p>
    <w:p>
      <w:pPr>
        <w:pStyle w:val="Heading2"/>
      </w:pPr>
      <w:r>
        <w:t>10.1 La couleur n'est vérifiée d'aucune façon</w:t>
      </w:r>
    </w:p>
    <w:p>
      <w:r>
        <w:rPr>
          <w:b w:val="0"/>
          <w:i w:val="0"/>
        </w:rPr>
        <w:t>Le serveur exige seulement que la couleur ne soit pas vide. Toute chaîne est acceptée et restituée telle quelle, puis reprise par l'écran pour peindre une pastille et pour afficher un code hexadécimal à côté d'elle. Trois conséquences en découlent. Une valeur qui n'est pas une couleur produit une pastille sans couleur, sans qu'aucun message ne l'explique. Le code affiché à côté de la pastille n'est alors pas un code hexadécimal, alors que la colonne s'intitule ainsi. Enfin, la valeur alimente une propriété de style : le rendu est protégé par le mécanisme d'assainissement du cadre applicatif du frontend, mais reposer sur cette protection plutôt que sur une validation d'entrée est un choix par défaut, non un choix. Une validation de forme à l'enregistrement — croisillon suivi de trois ou six chiffres hexadécimaux — coûterait une ligne.</w:t>
      </w:r>
    </w:p>
    <w:p>
      <w:pPr>
        <w:pStyle w:val="Heading2"/>
      </w:pPr>
      <w:r>
        <w:t>10.2 Le libellé n'est pas unique</w:t>
      </w:r>
    </w:p>
    <w:p>
      <w:r>
        <w:rPr>
          <w:b w:val="0"/>
          <w:i w:val="0"/>
        </w:rPr>
        <w:t>Rien n'empêche de créer deux étiquettes « Urgent » avec deux codes différents et deux couleurs différentes. Le sélecteur du dépôt les affiche alors toutes les deux, sous le même mot, sans moyen de les distinguer autrement que par la couleur — et le sélecteur, précisément, n'affiche pas la couleur. Le classement transversal, qui est la raison d'être des étiquettes, se scinde alors en deux sans que personne ne s'en aperçoive. C'est la limite la plus susceptible de se manifester en usage réel.</w:t>
      </w:r>
    </w:p>
    <w:p>
      <w:pPr>
        <w:pStyle w:val="Heading2"/>
      </w:pPr>
      <w:r>
        <w:t>10.3 La liste allégée ne transporte pas la couleur</w:t>
      </w:r>
    </w:p>
    <w:p>
      <w:r>
        <w:rPr>
          <w:b w:val="0"/>
          <w:i w:val="0"/>
        </w:rPr>
        <w:t>L'adresse de liste allégée renvoie l'identifiant et le libellé, mais pas la couleur. Elle est donc inutilisable pour un sélecteur qui voudrait afficher des puces colorées. Le formulaire de dépôt et la fiche d'un document contournent la difficulté en appelant la liste paginée complète avec une taille de page de 200. Le contournement fonctionne, mais il porte deux défauts : il transporte des données inutiles, et surtout il coïncide exactement avec le plafond de taille de page du serveur. Au-delà de 200 étiquettes actives, le sélecteur cesse silencieusement de proposer les suivantes. Ajouter la couleur à la liste allégée réglerait les deux problèmes d'un coup.</w:t>
      </w:r>
    </w:p>
    <w:p>
      <w:pPr>
        <w:pStyle w:val="Heading2"/>
      </w:pPr>
      <w:r>
        <w:t>10.4 Une étiquette en corbeille reste applicable par l'API</w:t>
      </w:r>
    </w:p>
    <w:p>
      <w:r>
        <w:rPr>
          <w:b w:val="0"/>
          <w:i w:val="0"/>
        </w:rPr>
        <w:t>L'application des étiquettes à un document charge les étiquettes désignées sans filtrer l'indicateur de corbeille. Un appel direct peut donc poser une étiquette supprimée sur un document. Le cas ne se produit pas depuis l'écran, dont le sélecteur est alimenté par la liste active, mais il est atteignable. C'est la même asymétrie que celle relevée sur les plans d'indexation, et elle se corrige de la même façon.</w:t>
      </w:r>
    </w:p>
    <w:p>
      <w:pPr>
        <w:pStyle w:val="Heading2"/>
      </w:pPr>
      <w:r>
        <w:t>10.5 La suppression ne dit pas combien de documents sont concernés</w:t>
      </w:r>
    </w:p>
    <w:p>
      <w:r>
        <w:rPr>
          <w:b w:val="0"/>
          <w:i w:val="0"/>
        </w:rPr>
        <w:t>Le serveur ne compte pas les documents rattachés avant de mettre une étiquette à la corbeille, et n'en informe pas l'écran. La confirmation nomme donc l'étiquette, comme le veut la règle commune, mais elle ne peut pas dire « cette étiquette est posée sur 340 documents ». L'information serait utile, et la requête pour l'obtenir est immédiate.</w:t>
      </w:r>
    </w:p>
    <w:p>
      <w:pPr>
        <w:pStyle w:val="Heading2"/>
      </w:pPr>
      <w:r>
        <w:t>10.6 Aucune normalisation des chaînes reçues</w:t>
      </w:r>
    </w:p>
    <w:p>
      <w:r>
        <w:rPr>
          <w:b w:val="0"/>
          <w:i w:val="0"/>
        </w:rPr>
        <w:t>Contrairement au module des index, qui remplace les chaînes vides par des absences et supprime les espaces de bord, ce module enregistre les trois champs tels quels. Un libellé saisi avec un espace final est stocké avec cet espace ; deux étiquettes « Urgent » et « Urgent » — la seconde suivie d'un espace — sont deux étiquettes distinctes que rien ne distingue à l'écran. La normalisation appliquée ailleurs devrait l'être ici aussi.</w:t>
      </w:r>
    </w:p>
    <w:p>
      <w:pPr>
        <w:pStyle w:val="Heading2"/>
      </w:pPr>
      <w:r>
        <w:t>10.7 Aucune borne applicative sur la longueur des chaînes</w:t>
      </w:r>
    </w:p>
    <w:p>
      <w:r>
        <w:rPr>
          <w:b w:val="0"/>
          <w:i w:val="0"/>
        </w:rPr>
        <w:t>Les trois colonnes acceptent 255 caractères, mais aucune borne n'est déclarée au niveau de la requête. Un dépassement n'est refusé que par la base, avec un message qui nomme la limite sans nommer le champ fautif. L'utilitaire prévu pour cela existe dans l'application et est employé dans d'autres modules.</w:t>
      </w:r>
    </w:p>
    <w:p>
      <w:pPr>
        <w:pStyle w:val="Heading2"/>
      </w:pPr>
      <w:r>
        <w:t>10.8 Le code est unique mais n'est utilisé nulle part</w:t>
      </w:r>
    </w:p>
    <w:p>
      <w:r>
        <w:rPr>
          <w:b w:val="0"/>
          <w:i w:val="0"/>
        </w:rPr>
        <w:t>Le code est le seul champ contraint à l'unicité, et c'est aussi le seul qui n'apparaît dans aucun autre écran que celui des étiquettes. La contrainte pèse donc sur l'utilisateur — qui doit inventer un identifiant pour chaque étiquette — sans rien lui rendre. Si le code devait un jour être supprimé du produit, il faudrait alors déplacer la contrainte d'unicité sur le libellé, ce qui réglerait du même coup le point 10.2.</w:t>
      </w:r>
    </w:p>
    <w:p>
      <w:pPr>
        <w:pStyle w:val="Heading2"/>
      </w:pPr>
      <w:r>
        <w:t>10.9 Ce qui n'est pas géré</w:t>
      </w:r>
    </w:p>
    <w:p>
      <w:pPr>
        <w:pStyle w:val="ListBullet"/>
        <w:spacing w:after="60"/>
      </w:pPr>
      <w:r>
        <w:t>Aucune purge définitive : la corbeille se remplit sans plafond ni date d'expiration.</w:t>
      </w:r>
    </w:p>
    <w:p>
      <w:pPr>
        <w:pStyle w:val="ListBullet"/>
        <w:spacing w:after="60"/>
      </w:pPr>
      <w:r>
        <w:t>Aucun ajout ou retrait d'une étiquette isolée sur un document : chaque enregistrement redéclare l'ensemble, et deux modifications concurrentes ne fusionnent pas.</w:t>
      </w:r>
    </w:p>
    <w:p>
      <w:pPr>
        <w:pStyle w:val="ListBullet"/>
        <w:spacing w:after="60"/>
      </w:pPr>
      <w:r>
        <w:t>Aucun regroupement ni hiérarchie d'étiquettes : la liste est plate, sans famille ni catégorie.</w:t>
      </w:r>
    </w:p>
    <w:p>
      <w:pPr>
        <w:pStyle w:val="ListBullet"/>
        <w:spacing w:after="60"/>
      </w:pPr>
      <w:r>
        <w:t>Aucune recherche de documents par étiquette exposée par ce module ; le classement transversal existe en base mais n'est pas interrogeable en tant que tel.</w:t>
      </w:r>
    </w:p>
    <w:p>
      <w:pPr>
        <w:pStyle w:val="ListBullet"/>
        <w:spacing w:after="60"/>
      </w:pPr>
      <w:r>
        <w:t>Aucun contrôle de concurrence : deux enregistrements simultanés de la même étiquette se succèdent, le dernier écrase le premier.</w:t>
      </w:r>
    </w:p>
    <w:p>
      <w:pPr>
        <w:pStyle w:val="ListBullet"/>
        <w:spacing w:after="60"/>
      </w:pPr>
      <w:r>
        <w:t>Aucune restitution de compte rendu sur les opérations groupées.</w:t>
      </w:r>
    </w:p>
    <w:p>
      <w:pPr>
        <w:pStyle w:val="ListBullet"/>
        <w:spacing w:after="60"/>
      </w:pPr>
      <w:r>
        <w:t>Aucune traçabilité nominative : les horodatages disent quand, jamais qui.</w:t>
      </w:r>
    </w:p>
    <w:sectPr w:rsidR="00FC693F" w:rsidRPr="0006063C" w:rsidSect="00034616">
      <w:footerReference w:type="default" r:id="rId9"/>
      <w:pgSz w:w="11906" w:h="16838"/>
      <w:pgMar w:top="1134" w:right="1134" w:bottom="1134" w:left="113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6"/>
      </w:rPr>
      <w:t xml:space="preserve">GED Marchica Med — 09 Étiquettes — volet backend    —    </w:t>
    </w:r>
    <w:r>
      <w:rPr>
        <w:color w:val="444444"/>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B57"/>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B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