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r>
        <w:rPr>
          <w:b/>
          <w:color w:val="1F355E"/>
          <w:sz w:val="26"/>
        </w:rPr>
        <w:t>GED Marchica Med</w:t>
      </w:r>
    </w:p>
    <w:p>
      <w:r>
        <w:rPr>
          <w:b w:val="0"/>
          <w:color w:val="606060"/>
          <w:sz w:val="20"/>
        </w:rPr>
        <w:t>Gestion électronique de documents</w:t>
      </w:r>
    </w:p>
    <w:p/>
    <w:p>
      <w:r>
        <w:rPr>
          <w:b/>
          <w:color w:val="1F355E"/>
          <w:sz w:val="52"/>
        </w:rPr>
        <w:t>Rapports d'analyse</w:t>
      </w:r>
    </w:p>
    <w:p>
      <w:r>
        <w:rPr>
          <w:b w:val="0"/>
          <w:color w:val="334466"/>
          <w:sz w:val="28"/>
        </w:rPr>
        <w:t>Sommaire de la livraison — volet fonctionnel et volet backend</w:t>
      </w:r>
    </w:p>
    <w:p/>
    <w:p/>
    <w:p/>
    <w:p/>
    <w:p/>
    <w:p/>
    <w:p/>
    <w:p/>
    <w:p/>
    <w:p>
      <w:r>
        <w:rPr>
          <w:b w:val="0"/>
          <w:color w:val="606060"/>
          <w:sz w:val="18"/>
        </w:rPr>
        <w:t>Document d'introduction. Il présente l'objet de la livraison, son organisation, la correspondance entre les treize interfaces et leurs rapports, et l'ordre de lecture conseillé. Il ne décrit aucune interface : il conduit vers celle qu'il faut lire.</w:t>
      </w:r>
    </w:p>
    <w:p/>
    <w:p>
      <w:pPr>
        <w:pStyle w:val="Heading1"/>
      </w:pPr>
      <w:r>
        <w:t>Sommaire</w:t>
      </w:r>
    </w:p>
    <w:p>
      <w:r>
        <w:rPr>
          <w:color w:val="606060"/>
          <w:sz w:val="19"/>
        </w:rPr>
        <w:t>Les sections ci-dessous se suivent dans l'ordre du document.</w:t>
      </w:r>
    </w:p>
    <w:p/>
    <w:p>
      <w:r>
        <w:rPr>
          <w:sz w:val="20"/>
        </w:rPr>
        <w:t xml:space="preserve">     1.  Objet de cette livraison</w:t>
      </w:r>
    </w:p>
    <w:p>
      <w:r>
        <w:rPr>
          <w:sz w:val="20"/>
        </w:rPr>
        <w:t xml:space="preserve">     2.  Comment la livraison est organisée</w:t>
      </w:r>
    </w:p>
    <w:p>
      <w:r>
        <w:rPr>
          <w:sz w:val="20"/>
        </w:rPr>
        <w:t xml:space="preserve">     2.1  Le volet fonctionnel</w:t>
      </w:r>
    </w:p>
    <w:p>
      <w:r>
        <w:rPr>
          <w:sz w:val="20"/>
        </w:rPr>
        <w:t xml:space="preserve">     2.2  Le volet backend</w:t>
      </w:r>
    </w:p>
    <w:p>
      <w:r>
        <w:rPr>
          <w:sz w:val="20"/>
        </w:rPr>
        <w:t xml:space="preserve">     2.3  Ce qui distingue les deux volets</w:t>
      </w:r>
    </w:p>
    <w:p>
      <w:r>
        <w:rPr>
          <w:sz w:val="20"/>
        </w:rPr>
        <w:t xml:space="preserve">     3.  Les treize interfaces et leurs rapports</w:t>
      </w:r>
    </w:p>
    <w:p>
      <w:r>
        <w:rPr>
          <w:sz w:val="20"/>
        </w:rPr>
        <w:t xml:space="preserve">     4.  Ordre de lecture conseillé</w:t>
      </w:r>
    </w:p>
    <w:p>
      <w:r>
        <w:rPr>
          <w:sz w:val="20"/>
        </w:rPr>
        <w:t xml:space="preserve">     4.1  La chaîne de paramétrage</w:t>
      </w:r>
    </w:p>
    <w:p>
      <w:r>
        <w:rPr>
          <w:sz w:val="20"/>
        </w:rPr>
        <w:t xml:space="preserve">     4.2  Les écrans hors chaîne</w:t>
      </w:r>
    </w:p>
    <w:p>
      <w:r>
        <w:rPr>
          <w:sz w:val="20"/>
        </w:rPr>
        <w:t xml:space="preserve">     5.  Avertissement à poser avant toute lecture</w:t>
      </w:r>
    </w:p>
    <w:p>
      <w:r>
        <w:rPr>
          <w:sz w:val="20"/>
        </w:rPr>
        <w:t xml:space="preserve">     5.1  L'application ne comporte qu'un seul compte</w:t>
      </w:r>
    </w:p>
    <w:p>
      <w:r>
        <w:rPr>
          <w:sz w:val="20"/>
        </w:rPr>
        <w:t xml:space="preserve">     5.2  Les « groupes d'accès » n'accordent aucun droit</w:t>
      </w:r>
    </w:p>
    <w:p>
      <w:r>
        <w:rPr>
          <w:sz w:val="20"/>
        </w:rPr>
        <w:t xml:space="preserve">     6.  Conventions communes aux rapports</w:t>
      </w:r>
    </w:p>
    <w:p/>
    <w:p>
      <w:pPr>
        <w:pStyle w:val="Heading1"/>
      </w:pPr>
      <w:r>
        <w:t>1. Objet de cette livraison</w:t>
      </w:r>
    </w:p>
    <w:p>
      <w:r>
        <w:rPr>
          <w:sz w:val="21"/>
        </w:rPr>
        <w:t>Cette livraison rassemble l'analyse écrite de l'application GED Marchica Med, interface par interface. Elle poursuit deux fins : établir une référence partagée entre l'équipe projet et le client sur ce que le produit fait réellement, et permettre à une équipe qui n'a pas construit l'application de la reprendre ou de la faire évoluer sans avoir à en relire le code.</w:t>
      </w:r>
    </w:p>
    <w:p>
      <w:r>
        <w:rPr>
          <w:sz w:val="21"/>
        </w:rPr>
        <w:t>Chaque interface fait l'objet de deux rapports distincts et complémentaires, l'un fonctionnel et l'autre backend. Les deux se lisent séparément : ils ne se répètent pas, ils observent le même écran depuis deux positions différentes. Vingt-six rapports au total, plus le présent document.</w:t>
      </w:r>
    </w:p>
    <w:p>
      <w:pPr>
        <w:pStyle w:val="Heading3"/>
      </w:pPr>
      <w:r>
        <w:t>Ce que cette livraison n'est pas</w:t>
      </w:r>
    </w:p>
    <w:p>
      <w:r>
        <w:rPr>
          <w:sz w:val="21"/>
        </w:rPr>
        <w:t>Elle n'est ni un manuel utilisateur, ni un cahier de recette, ni une spécification à réaliser. Elle décrit l'état constaté du produit, y compris ses limites, ses comportements surprenants et ses écarts avec le cahier des charges d'origine. Lorsqu'une consigne initiale n'a pas été suivie, le rapport le dit et expose ce que l'application fait à la place, plutôt que de décrire l'état souhaité.</w:t>
      </w:r>
    </w:p>
    <w:p>
      <w:pPr>
        <w:pStyle w:val="Heading1"/>
      </w:pPr>
      <w:r>
        <w:t>2. Comment la livraison est organisée</w:t>
      </w:r>
    </w:p>
    <w:p>
      <w:r>
        <w:rPr>
          <w:sz w:val="21"/>
        </w:rPr>
        <w:t>L'archive comporte le présent document à la racine et deux dossiers, un par volet. Les fichiers portent le même numéro et le même nom dans les deux dossiers : le rapport fonctionnel et le rapport backend d'une même interface se retrouvent donc par simple correspondance de nom.</w:t>
      </w:r>
    </w:p>
    <w:p/>
    <w:tbl>
      <w:tblPr>
        <w:tblStyle w:val="LightGrid-Accent1"/>
        <w:tblW w:type="auto" w:w="0"/>
        <w:tblLook w:firstColumn="1" w:firstRow="1" w:lastColumn="0" w:lastRow="0" w:noHBand="0" w:noVBand="1" w:val="04A0"/>
      </w:tblPr>
      <w:tblGrid>
        <w:gridCol w:w="4819"/>
        <w:gridCol w:w="4819"/>
      </w:tblGrid>
      <w:tr>
        <w:tc>
          <w:tcPr>
            <w:tcW w:type="dxa" w:w="2551"/>
          </w:tcPr>
          <w:p>
            <w:r/>
            <w:r>
              <w:rPr>
                <w:b/>
                <w:sz w:val="19"/>
              </w:rPr>
              <w:t>Emplacement</w:t>
            </w:r>
          </w:p>
        </w:tc>
        <w:tc>
          <w:tcPr>
            <w:tcW w:type="dxa" w:w="7087"/>
          </w:tcPr>
          <w:p>
            <w:r/>
            <w:r>
              <w:rPr>
                <w:b/>
                <w:sz w:val="19"/>
              </w:rPr>
              <w:t>Contenu</w:t>
            </w:r>
          </w:p>
        </w:tc>
      </w:tr>
      <w:tr>
        <w:tc>
          <w:tcPr>
            <w:tcW w:type="dxa" w:w="2551"/>
          </w:tcPr>
          <w:p>
            <w:r/>
            <w:r>
              <w:rPr>
                <w:sz w:val="19"/>
              </w:rPr>
              <w:t>00-SOMMAIRE.docx</w:t>
            </w:r>
          </w:p>
        </w:tc>
        <w:tc>
          <w:tcPr>
            <w:tcW w:type="dxa" w:w="7087"/>
          </w:tcPr>
          <w:p>
            <w:r/>
            <w:r>
              <w:rPr>
                <w:sz w:val="19"/>
              </w:rPr>
              <w:t>Le présent document d'introduction.</w:t>
            </w:r>
          </w:p>
        </w:tc>
      </w:tr>
      <w:tr>
        <w:tc>
          <w:tcPr>
            <w:tcW w:type="dxa" w:w="2551"/>
          </w:tcPr>
          <w:p>
            <w:r/>
            <w:r>
              <w:rPr>
                <w:sz w:val="19"/>
              </w:rPr>
              <w:t>fonctionnel/</w:t>
            </w:r>
          </w:p>
        </w:tc>
        <w:tc>
          <w:tcPr>
            <w:tcW w:type="dxa" w:w="7087"/>
          </w:tcPr>
          <w:p>
            <w:r/>
            <w:r>
              <w:rPr>
                <w:sz w:val="19"/>
              </w:rPr>
              <w:t>Treize rapports, un par interface, numérotés de 01 à 13.</w:t>
            </w:r>
          </w:p>
        </w:tc>
      </w:tr>
      <w:tr>
        <w:tc>
          <w:tcPr>
            <w:tcW w:type="dxa" w:w="2551"/>
          </w:tcPr>
          <w:p>
            <w:r/>
            <w:r>
              <w:rPr>
                <w:sz w:val="19"/>
              </w:rPr>
              <w:t>backend/</w:t>
            </w:r>
          </w:p>
        </w:tc>
        <w:tc>
          <w:tcPr>
            <w:tcW w:type="dxa" w:w="7087"/>
          </w:tcPr>
          <w:p>
            <w:r/>
            <w:r>
              <w:rPr>
                <w:sz w:val="19"/>
              </w:rPr>
              <w:t>Treize rapports, un par interface, même numérotation.</w:t>
            </w:r>
          </w:p>
        </w:tc>
      </w:tr>
    </w:tbl>
    <w:p/>
    <w:p>
      <w:pPr>
        <w:pStyle w:val="Heading2"/>
      </w:pPr>
      <w:r>
        <w:t>2.1 Le volet fonctionnel</w:t>
      </w:r>
    </w:p>
    <w:p>
      <w:r>
        <w:rPr>
          <w:sz w:val="21"/>
        </w:rPr>
        <w:t>Il s'adresse aux responsables métier, aux chefs de projet et aux consultants fonctionnels. Il décrit la logique et le processus de l'interface, et ne contient aucun élément technique : ni nom de table, ni route, ni code de réponse. Il répond à la question « que fait cet écran, et pourquoi ».</w:t>
      </w:r>
    </w:p>
    <w:p>
      <w:r>
        <w:rPr>
          <w:sz w:val="21"/>
        </w:rPr>
        <w:t>Chaque rapport fonctionnel suit un plan constant en dix sections :</w:t>
      </w:r>
    </w:p>
    <w:p/>
    <w:tbl>
      <w:tblPr>
        <w:tblStyle w:val="LightGrid-Accent1"/>
        <w:tblW w:type="auto" w:w="0"/>
        <w:tblLook w:firstColumn="1" w:firstRow="1" w:lastColumn="0" w:lastRow="0" w:noHBand="0" w:noVBand="1" w:val="04A0"/>
      </w:tblPr>
      <w:tblGrid>
        <w:gridCol w:w="4819"/>
        <w:gridCol w:w="4819"/>
      </w:tblGrid>
      <w:tr>
        <w:tc>
          <w:tcPr>
            <w:tcW w:type="dxa" w:w="3402"/>
          </w:tcPr>
          <w:p>
            <w:r/>
            <w:r>
              <w:rPr>
                <w:b/>
                <w:sz w:val="19"/>
              </w:rPr>
              <w:t>Section</w:t>
            </w:r>
          </w:p>
        </w:tc>
        <w:tc>
          <w:tcPr>
            <w:tcW w:type="dxa" w:w="6236"/>
          </w:tcPr>
          <w:p>
            <w:r/>
            <w:r>
              <w:rPr>
                <w:b/>
                <w:sz w:val="19"/>
              </w:rPr>
              <w:t>Ce qu'elle apporte</w:t>
            </w:r>
          </w:p>
        </w:tc>
      </w:tr>
      <w:tr>
        <w:tc>
          <w:tcPr>
            <w:tcW w:type="dxa" w:w="3402"/>
          </w:tcPr>
          <w:p>
            <w:r/>
            <w:r>
              <w:rPr>
                <w:sz w:val="19"/>
              </w:rPr>
              <w:t>1. Objet de l'interface</w:t>
            </w:r>
          </w:p>
        </w:tc>
        <w:tc>
          <w:tcPr>
            <w:tcW w:type="dxa" w:w="6236"/>
          </w:tcPr>
          <w:p>
            <w:r/>
            <w:r>
              <w:rPr>
                <w:sz w:val="19"/>
              </w:rPr>
              <w:t>À quoi sert l'écran et quel problème il règle.</w:t>
            </w:r>
          </w:p>
        </w:tc>
      </w:tr>
      <w:tr>
        <w:tc>
          <w:tcPr>
            <w:tcW w:type="dxa" w:w="3402"/>
          </w:tcPr>
          <w:p>
            <w:r/>
            <w:r>
              <w:rPr>
                <w:sz w:val="19"/>
              </w:rPr>
              <w:t>2. Les notions manipulées</w:t>
            </w:r>
          </w:p>
        </w:tc>
        <w:tc>
          <w:tcPr>
            <w:tcW w:type="dxa" w:w="6236"/>
          </w:tcPr>
          <w:p>
            <w:r/>
            <w:r>
              <w:rPr>
                <w:sz w:val="19"/>
              </w:rPr>
              <w:t>Le vocabulaire exact, terme par terme.</w:t>
            </w:r>
          </w:p>
        </w:tc>
      </w:tr>
      <w:tr>
        <w:tc>
          <w:tcPr>
            <w:tcW w:type="dxa" w:w="3402"/>
          </w:tcPr>
          <w:p>
            <w:r/>
            <w:r>
              <w:rPr>
                <w:sz w:val="19"/>
              </w:rPr>
              <w:t>3. Ce que l'utilisateur voit</w:t>
            </w:r>
          </w:p>
        </w:tc>
        <w:tc>
          <w:tcPr>
            <w:tcW w:type="dxa" w:w="6236"/>
          </w:tcPr>
          <w:p>
            <w:r/>
            <w:r>
              <w:rPr>
                <w:sz w:val="19"/>
              </w:rPr>
              <w:t>La description de l'écran tel qu'il s'affiche.</w:t>
            </w:r>
          </w:p>
        </w:tc>
      </w:tr>
      <w:tr>
        <w:tc>
          <w:tcPr>
            <w:tcW w:type="dxa" w:w="3402"/>
          </w:tcPr>
          <w:p>
            <w:r/>
            <w:r>
              <w:rPr>
                <w:sz w:val="19"/>
              </w:rPr>
              <w:t>4. Le processus, étape par étape</w:t>
            </w:r>
          </w:p>
        </w:tc>
        <w:tc>
          <w:tcPr>
            <w:tcW w:type="dxa" w:w="6236"/>
          </w:tcPr>
          <w:p>
            <w:r/>
            <w:r>
              <w:rPr>
                <w:sz w:val="19"/>
              </w:rPr>
              <w:t>L'enchaînement réel des actions.</w:t>
            </w:r>
          </w:p>
        </w:tc>
      </w:tr>
      <w:tr>
        <w:tc>
          <w:tcPr>
            <w:tcW w:type="dxa" w:w="3402"/>
          </w:tcPr>
          <w:p>
            <w:r/>
            <w:r>
              <w:rPr>
                <w:sz w:val="19"/>
              </w:rPr>
              <w:t>5. Les données saisies</w:t>
            </w:r>
          </w:p>
        </w:tc>
        <w:tc>
          <w:tcPr>
            <w:tcW w:type="dxa" w:w="6236"/>
          </w:tcPr>
          <w:p>
            <w:r/>
            <w:r>
              <w:rPr>
                <w:sz w:val="19"/>
              </w:rPr>
              <w:t>Les champs, leur nature et leur caractère obligatoire.</w:t>
            </w:r>
          </w:p>
        </w:tc>
      </w:tr>
      <w:tr>
        <w:tc>
          <w:tcPr>
            <w:tcW w:type="dxa" w:w="3402"/>
          </w:tcPr>
          <w:p>
            <w:r/>
            <w:r>
              <w:rPr>
                <w:sz w:val="19"/>
              </w:rPr>
              <w:t>6. Les règles de gestion</w:t>
            </w:r>
          </w:p>
        </w:tc>
        <w:tc>
          <w:tcPr>
            <w:tcW w:type="dxa" w:w="6236"/>
          </w:tcPr>
          <w:p>
            <w:r/>
            <w:r>
              <w:rPr>
                <w:sz w:val="19"/>
              </w:rPr>
              <w:t>Les règles numérotées, chacune assortie de sa raison.</w:t>
            </w:r>
          </w:p>
        </w:tc>
      </w:tr>
      <w:tr>
        <w:tc>
          <w:tcPr>
            <w:tcW w:type="dxa" w:w="3402"/>
          </w:tcPr>
          <w:p>
            <w:r/>
            <w:r>
              <w:rPr>
                <w:sz w:val="19"/>
              </w:rPr>
              <w:t>7. Les contrôles et les refus</w:t>
            </w:r>
          </w:p>
        </w:tc>
        <w:tc>
          <w:tcPr>
            <w:tcW w:type="dxa" w:w="6236"/>
          </w:tcPr>
          <w:p>
            <w:r/>
            <w:r>
              <w:rPr>
                <w:sz w:val="19"/>
              </w:rPr>
              <w:t>Ce que l'application refuse, et le message affiché.</w:t>
            </w:r>
          </w:p>
        </w:tc>
      </w:tr>
      <w:tr>
        <w:tc>
          <w:tcPr>
            <w:tcW w:type="dxa" w:w="3402"/>
          </w:tcPr>
          <w:p>
            <w:r/>
            <w:r>
              <w:rPr>
                <w:sz w:val="19"/>
              </w:rPr>
              <w:t>8. Les cas particuliers</w:t>
            </w:r>
          </w:p>
        </w:tc>
        <w:tc>
          <w:tcPr>
            <w:tcW w:type="dxa" w:w="6236"/>
          </w:tcPr>
          <w:p>
            <w:r/>
            <w:r>
              <w:rPr>
                <w:sz w:val="19"/>
              </w:rPr>
              <w:t>Les situations limites et les comportements inattendus.</w:t>
            </w:r>
          </w:p>
        </w:tc>
      </w:tr>
      <w:tr>
        <w:tc>
          <w:tcPr>
            <w:tcW w:type="dxa" w:w="3402"/>
          </w:tcPr>
          <w:p>
            <w:r/>
            <w:r>
              <w:rPr>
                <w:sz w:val="19"/>
              </w:rPr>
              <w:t>9. Enchaînement avec les autres interfaces</w:t>
            </w:r>
          </w:p>
        </w:tc>
        <w:tc>
          <w:tcPr>
            <w:tcW w:type="dxa" w:w="6236"/>
          </w:tcPr>
          <w:p>
            <w:r/>
            <w:r>
              <w:rPr>
                <w:sz w:val="19"/>
              </w:rPr>
              <w:t>Ce qui doit exister avant, ce qui dépend ensuite.</w:t>
            </w:r>
          </w:p>
        </w:tc>
      </w:tr>
      <w:tr>
        <w:tc>
          <w:tcPr>
            <w:tcW w:type="dxa" w:w="3402"/>
          </w:tcPr>
          <w:p>
            <w:r/>
            <w:r>
              <w:rPr>
                <w:sz w:val="19"/>
              </w:rPr>
              <w:t>10. Points de vigilance</w:t>
            </w:r>
          </w:p>
        </w:tc>
        <w:tc>
          <w:tcPr>
            <w:tcW w:type="dxa" w:w="6236"/>
          </w:tcPr>
          <w:p>
            <w:r/>
            <w:r>
              <w:rPr>
                <w:sz w:val="19"/>
              </w:rPr>
              <w:t>Les écarts, les limites et les pièges de présentation.</w:t>
            </w:r>
          </w:p>
        </w:tc>
      </w:tr>
    </w:tbl>
    <w:p/>
    <w:p>
      <w:pPr>
        <w:pStyle w:val="Heading2"/>
      </w:pPr>
      <w:r>
        <w:t>2.2 Le volet backend</w:t>
      </w:r>
    </w:p>
    <w:p>
      <w:r>
        <w:rPr>
          <w:sz w:val="21"/>
        </w:rPr>
        <w:t>Il s'adresse aux développeurs, aux intégrateurs et aux équipes d'exploitation. Il décrit le comportement du serveur : les données conservées, les opérations exposées, les règles vérifiées côté serveur, l'ordre des écritures et les effets de bord. Le socle technique décrit est Spring Boot, Java 17, JPA/Hibernate, MySQL et Flyway.</w:t>
      </w:r>
    </w:p>
    <w:p>
      <w:r>
        <w:rPr>
          <w:sz w:val="21"/>
        </w:rPr>
        <w:t>Chaque rapport backend suit lui aussi un plan constant en dix sections :</w:t>
      </w:r>
    </w:p>
    <w:p/>
    <w:tbl>
      <w:tblPr>
        <w:tblStyle w:val="LightGrid-Accent1"/>
        <w:tblW w:type="auto" w:w="0"/>
        <w:tblLook w:firstColumn="1" w:firstRow="1" w:lastColumn="0" w:lastRow="0" w:noHBand="0" w:noVBand="1" w:val="04A0"/>
      </w:tblPr>
      <w:tblGrid>
        <w:gridCol w:w="4819"/>
        <w:gridCol w:w="4819"/>
      </w:tblGrid>
      <w:tr>
        <w:tc>
          <w:tcPr>
            <w:tcW w:type="dxa" w:w="3402"/>
          </w:tcPr>
          <w:p>
            <w:r/>
            <w:r>
              <w:rPr>
                <w:b/>
                <w:sz w:val="19"/>
              </w:rPr>
              <w:t>Section</w:t>
            </w:r>
          </w:p>
        </w:tc>
        <w:tc>
          <w:tcPr>
            <w:tcW w:type="dxa" w:w="6236"/>
          </w:tcPr>
          <w:p>
            <w:r/>
            <w:r>
              <w:rPr>
                <w:b/>
                <w:sz w:val="19"/>
              </w:rPr>
              <w:t>Ce qu'elle apporte</w:t>
            </w:r>
          </w:p>
        </w:tc>
      </w:tr>
      <w:tr>
        <w:tc>
          <w:tcPr>
            <w:tcW w:type="dxa" w:w="3402"/>
          </w:tcPr>
          <w:p>
            <w:r/>
            <w:r>
              <w:rPr>
                <w:sz w:val="19"/>
              </w:rPr>
              <w:t>1. Rôle du serveur pour cette interface</w:t>
            </w:r>
          </w:p>
        </w:tc>
        <w:tc>
          <w:tcPr>
            <w:tcW w:type="dxa" w:w="6236"/>
          </w:tcPr>
          <w:p>
            <w:r/>
            <w:r>
              <w:rPr>
                <w:sz w:val="19"/>
              </w:rPr>
              <w:t>Ce que le serveur fournit, ce qu'il garantit, ce qu'il ne garantit pas.</w:t>
            </w:r>
          </w:p>
        </w:tc>
      </w:tr>
      <w:tr>
        <w:tc>
          <w:tcPr>
            <w:tcW w:type="dxa" w:w="3402"/>
          </w:tcPr>
          <w:p>
            <w:r/>
            <w:r>
              <w:rPr>
                <w:sz w:val="19"/>
              </w:rPr>
              <w:t>2. Les données conservées</w:t>
            </w:r>
          </w:p>
        </w:tc>
        <w:tc>
          <w:tcPr>
            <w:tcW w:type="dxa" w:w="6236"/>
          </w:tcPr>
          <w:p>
            <w:r/>
            <w:r>
              <w:rPr>
                <w:sz w:val="19"/>
              </w:rPr>
              <w:t>Les champs persistés et leur signification.</w:t>
            </w:r>
          </w:p>
        </w:tc>
      </w:tr>
      <w:tr>
        <w:tc>
          <w:tcPr>
            <w:tcW w:type="dxa" w:w="3402"/>
          </w:tcPr>
          <w:p>
            <w:r/>
            <w:r>
              <w:rPr>
                <w:sz w:val="19"/>
              </w:rPr>
              <w:t>3. Les relations</w:t>
            </w:r>
          </w:p>
        </w:tc>
        <w:tc>
          <w:tcPr>
            <w:tcW w:type="dxa" w:w="6236"/>
          </w:tcPr>
          <w:p>
            <w:r/>
            <w:r>
              <w:rPr>
                <w:sz w:val="19"/>
              </w:rPr>
              <w:t>Les liens avec les autres entités du modèle.</w:t>
            </w:r>
          </w:p>
        </w:tc>
      </w:tr>
      <w:tr>
        <w:tc>
          <w:tcPr>
            <w:tcW w:type="dxa" w:w="3402"/>
          </w:tcPr>
          <w:p>
            <w:r/>
            <w:r>
              <w:rPr>
                <w:sz w:val="19"/>
              </w:rPr>
              <w:t>4. Les opérations disponibles</w:t>
            </w:r>
          </w:p>
        </w:tc>
        <w:tc>
          <w:tcPr>
            <w:tcW w:type="dxa" w:w="6236"/>
          </w:tcPr>
          <w:p>
            <w:r/>
            <w:r>
              <w:rPr>
                <w:sz w:val="19"/>
              </w:rPr>
              <w:t>Les opérations exposées et leur contrat.</w:t>
            </w:r>
          </w:p>
        </w:tc>
      </w:tr>
      <w:tr>
        <w:tc>
          <w:tcPr>
            <w:tcW w:type="dxa" w:w="3402"/>
          </w:tcPr>
          <w:p>
            <w:r/>
            <w:r>
              <w:rPr>
                <w:sz w:val="19"/>
              </w:rPr>
              <w:t>5. Les règles vérifiées côté serveur</w:t>
            </w:r>
          </w:p>
        </w:tc>
        <w:tc>
          <w:tcPr>
            <w:tcW w:type="dxa" w:w="6236"/>
          </w:tcPr>
          <w:p>
            <w:r/>
            <w:r>
              <w:rPr>
                <w:sz w:val="19"/>
              </w:rPr>
              <w:t>Les contrôles qui tiennent même si l'écran est contourné.</w:t>
            </w:r>
          </w:p>
        </w:tc>
      </w:tr>
      <w:tr>
        <w:tc>
          <w:tcPr>
            <w:tcW w:type="dxa" w:w="3402"/>
          </w:tcPr>
          <w:p>
            <w:r/>
            <w:r>
              <w:rPr>
                <w:sz w:val="19"/>
              </w:rPr>
              <w:t>6. Les erreurs et les réponses</w:t>
            </w:r>
          </w:p>
        </w:tc>
        <w:tc>
          <w:tcPr>
            <w:tcW w:type="dxa" w:w="6236"/>
          </w:tcPr>
          <w:p>
            <w:r/>
            <w:r>
              <w:rPr>
                <w:sz w:val="19"/>
              </w:rPr>
              <w:t>Les cas d'échec et ce qui est renvoyé.</w:t>
            </w:r>
          </w:p>
        </w:tc>
      </w:tr>
      <w:tr>
        <w:tc>
          <w:tcPr>
            <w:tcW w:type="dxa" w:w="3402"/>
          </w:tcPr>
          <w:p>
            <w:r/>
            <w:r>
              <w:rPr>
                <w:sz w:val="19"/>
              </w:rPr>
              <w:t>7. Ce qui est écrit, et dans quel ordre</w:t>
            </w:r>
          </w:p>
        </w:tc>
        <w:tc>
          <w:tcPr>
            <w:tcW w:type="dxa" w:w="6236"/>
          </w:tcPr>
          <w:p>
            <w:r/>
            <w:r>
              <w:rPr>
                <w:sz w:val="19"/>
              </w:rPr>
              <w:t>La séquence des écritures et son incidence.</w:t>
            </w:r>
          </w:p>
        </w:tc>
      </w:tr>
      <w:tr>
        <w:tc>
          <w:tcPr>
            <w:tcW w:type="dxa" w:w="3402"/>
          </w:tcPr>
          <w:p>
            <w:r/>
            <w:r>
              <w:rPr>
                <w:sz w:val="19"/>
              </w:rPr>
              <w:t>8. Les effets de bord</w:t>
            </w:r>
          </w:p>
        </w:tc>
        <w:tc>
          <w:tcPr>
            <w:tcW w:type="dxa" w:w="6236"/>
          </w:tcPr>
          <w:p>
            <w:r/>
            <w:r>
              <w:rPr>
                <w:sz w:val="19"/>
              </w:rPr>
              <w:t>Ce qui est modifié au-delà de l'objet visé.</w:t>
            </w:r>
          </w:p>
        </w:tc>
      </w:tr>
      <w:tr>
        <w:tc>
          <w:tcPr>
            <w:tcW w:type="dxa" w:w="3402"/>
          </w:tcPr>
          <w:p>
            <w:r/>
            <w:r>
              <w:rPr>
                <w:sz w:val="19"/>
              </w:rPr>
              <w:t>9. Sécurité et contrôle d'accès</w:t>
            </w:r>
          </w:p>
        </w:tc>
        <w:tc>
          <w:tcPr>
            <w:tcW w:type="dxa" w:w="6236"/>
          </w:tcPr>
          <w:p>
            <w:r/>
            <w:r>
              <w:rPr>
                <w:sz w:val="19"/>
              </w:rPr>
              <w:t>Ce qui est vérifié, et ce qui ne l'est pas.</w:t>
            </w:r>
          </w:p>
        </w:tc>
      </w:tr>
      <w:tr>
        <w:tc>
          <w:tcPr>
            <w:tcW w:type="dxa" w:w="3402"/>
          </w:tcPr>
          <w:p>
            <w:r/>
            <w:r>
              <w:rPr>
                <w:sz w:val="19"/>
              </w:rPr>
              <w:t>10. Points de vigilance et limites connues</w:t>
            </w:r>
          </w:p>
        </w:tc>
        <w:tc>
          <w:tcPr>
            <w:tcW w:type="dxa" w:w="6236"/>
          </w:tcPr>
          <w:p>
            <w:r/>
            <w:r>
              <w:rPr>
                <w:sz w:val="19"/>
              </w:rPr>
              <w:t>Les fragilités identifiées et les dettes assumées.</w:t>
            </w:r>
          </w:p>
        </w:tc>
      </w:tr>
    </w:tbl>
    <w:p/>
    <w:p>
      <w:pPr>
        <w:pStyle w:val="Heading2"/>
      </w:pPr>
      <w:r>
        <w:t>2.3 Ce qui distingue les deux volets</w:t>
      </w:r>
    </w:p>
    <w:p>
      <w:r>
        <w:rPr>
          <w:sz w:val="21"/>
        </w:rPr>
        <w:t>La distinction n'est pas un découpage de confort : les deux volets ne répondent pas aux mêmes questions et ne s'adressent pas aux mêmes lecteurs.</w:t>
      </w:r>
    </w:p>
    <w:p/>
    <w:tbl>
      <w:tblPr>
        <w:tblStyle w:val="LightGrid-Accent1"/>
        <w:tblW w:type="auto" w:w="0"/>
        <w:tblLook w:firstColumn="1" w:firstRow="1" w:lastColumn="0" w:lastRow="0" w:noHBand="0" w:noVBand="1" w:val="04A0"/>
      </w:tblPr>
      <w:tblGrid>
        <w:gridCol w:w="3213"/>
        <w:gridCol w:w="3213"/>
        <w:gridCol w:w="3213"/>
      </w:tblGrid>
      <w:tr>
        <w:tc>
          <w:tcPr>
            <w:tcW w:type="dxa" w:w="2041"/>
          </w:tcPr>
          <w:p>
            <w:r/>
            <w:r>
              <w:rPr>
                <w:b/>
                <w:sz w:val="19"/>
              </w:rPr>
              <w:t>Critère</w:t>
            </w:r>
          </w:p>
        </w:tc>
        <w:tc>
          <w:tcPr>
            <w:tcW w:type="dxa" w:w="3798"/>
          </w:tcPr>
          <w:p>
            <w:r/>
            <w:r>
              <w:rPr>
                <w:b/>
                <w:sz w:val="19"/>
              </w:rPr>
              <w:t>Volet fonctionnel</w:t>
            </w:r>
          </w:p>
        </w:tc>
        <w:tc>
          <w:tcPr>
            <w:tcW w:type="dxa" w:w="3798"/>
          </w:tcPr>
          <w:p>
            <w:r/>
            <w:r>
              <w:rPr>
                <w:b/>
                <w:sz w:val="19"/>
              </w:rPr>
              <w:t>Volet backend</w:t>
            </w:r>
          </w:p>
        </w:tc>
      </w:tr>
      <w:tr>
        <w:tc>
          <w:tcPr>
            <w:tcW w:type="dxa" w:w="2041"/>
          </w:tcPr>
          <w:p>
            <w:r/>
            <w:r>
              <w:rPr>
                <w:sz w:val="19"/>
              </w:rPr>
              <w:t>Lecteur visé</w:t>
            </w:r>
          </w:p>
        </w:tc>
        <w:tc>
          <w:tcPr>
            <w:tcW w:type="dxa" w:w="3798"/>
          </w:tcPr>
          <w:p>
            <w:r/>
            <w:r>
              <w:rPr>
                <w:sz w:val="19"/>
              </w:rPr>
              <w:t>Responsable métier, chef de projet, consultant fonctionnel.</w:t>
            </w:r>
          </w:p>
        </w:tc>
        <w:tc>
          <w:tcPr>
            <w:tcW w:type="dxa" w:w="3798"/>
          </w:tcPr>
          <w:p>
            <w:r/>
            <w:r>
              <w:rPr>
                <w:sz w:val="19"/>
              </w:rPr>
              <w:t>Développeur, intégrateur, exploitant.</w:t>
            </w:r>
          </w:p>
        </w:tc>
      </w:tr>
      <w:tr>
        <w:tc>
          <w:tcPr>
            <w:tcW w:type="dxa" w:w="2041"/>
          </w:tcPr>
          <w:p>
            <w:r/>
            <w:r>
              <w:rPr>
                <w:sz w:val="19"/>
              </w:rPr>
              <w:t>Question traitée</w:t>
            </w:r>
          </w:p>
        </w:tc>
        <w:tc>
          <w:tcPr>
            <w:tcW w:type="dxa" w:w="3798"/>
          </w:tcPr>
          <w:p>
            <w:r/>
            <w:r>
              <w:rPr>
                <w:sz w:val="19"/>
              </w:rPr>
              <w:t>Que fait l'écran, et pourquoi ?</w:t>
            </w:r>
          </w:p>
        </w:tc>
        <w:tc>
          <w:tcPr>
            <w:tcW w:type="dxa" w:w="3798"/>
          </w:tcPr>
          <w:p>
            <w:r/>
            <w:r>
              <w:rPr>
                <w:sz w:val="19"/>
              </w:rPr>
              <w:t>Comment le serveur le tient, et à quelles conditions ?</w:t>
            </w:r>
          </w:p>
        </w:tc>
      </w:tr>
      <w:tr>
        <w:tc>
          <w:tcPr>
            <w:tcW w:type="dxa" w:w="2041"/>
          </w:tcPr>
          <w:p>
            <w:r/>
            <w:r>
              <w:rPr>
                <w:sz w:val="19"/>
              </w:rPr>
              <w:t>Point de vue</w:t>
            </w:r>
          </w:p>
        </w:tc>
        <w:tc>
          <w:tcPr>
            <w:tcW w:type="dxa" w:w="3798"/>
          </w:tcPr>
          <w:p>
            <w:r/>
            <w:r>
              <w:rPr>
                <w:sz w:val="19"/>
              </w:rPr>
              <w:t>Ce qui s'affiche et ce que l'opérateur perçoit.</w:t>
            </w:r>
          </w:p>
        </w:tc>
        <w:tc>
          <w:tcPr>
            <w:tcW w:type="dxa" w:w="3798"/>
          </w:tcPr>
          <w:p>
            <w:r/>
            <w:r>
              <w:rPr>
                <w:sz w:val="19"/>
              </w:rPr>
              <w:t>Ce qui est stocké, vérifié et écrit.</w:t>
            </w:r>
          </w:p>
        </w:tc>
      </w:tr>
      <w:tr>
        <w:tc>
          <w:tcPr>
            <w:tcW w:type="dxa" w:w="2041"/>
          </w:tcPr>
          <w:p>
            <w:r/>
            <w:r>
              <w:rPr>
                <w:sz w:val="19"/>
              </w:rPr>
              <w:t>Vocabulaire</w:t>
            </w:r>
          </w:p>
        </w:tc>
        <w:tc>
          <w:tcPr>
            <w:tcW w:type="dxa" w:w="3798"/>
          </w:tcPr>
          <w:p>
            <w:r/>
            <w:r>
              <w:rPr>
                <w:sz w:val="19"/>
              </w:rPr>
              <w:t>Termes métier et libellés de l'application.</w:t>
            </w:r>
          </w:p>
        </w:tc>
        <w:tc>
          <w:tcPr>
            <w:tcW w:type="dxa" w:w="3798"/>
          </w:tcPr>
          <w:p>
            <w:r/>
            <w:r>
              <w:rPr>
                <w:sz w:val="19"/>
              </w:rPr>
              <w:t>Entités, opérations, contraintes et transactions.</w:t>
            </w:r>
          </w:p>
        </w:tc>
      </w:tr>
      <w:tr>
        <w:tc>
          <w:tcPr>
            <w:tcW w:type="dxa" w:w="2041"/>
          </w:tcPr>
          <w:p>
            <w:r/>
            <w:r>
              <w:rPr>
                <w:sz w:val="19"/>
              </w:rPr>
              <w:t>Éléments techniques</w:t>
            </w:r>
          </w:p>
        </w:tc>
        <w:tc>
          <w:tcPr>
            <w:tcW w:type="dxa" w:w="3798"/>
          </w:tcPr>
          <w:p>
            <w:r/>
            <w:r>
              <w:rPr>
                <w:sz w:val="19"/>
              </w:rPr>
              <w:t>Aucun.</w:t>
            </w:r>
          </w:p>
        </w:tc>
        <w:tc>
          <w:tcPr>
            <w:tcW w:type="dxa" w:w="3798"/>
          </w:tcPr>
          <w:p>
            <w:r/>
            <w:r>
              <w:rPr>
                <w:sz w:val="19"/>
              </w:rPr>
              <w:t>Présents et assumés.</w:t>
            </w:r>
          </w:p>
        </w:tc>
      </w:tr>
      <w:tr>
        <w:tc>
          <w:tcPr>
            <w:tcW w:type="dxa" w:w="2041"/>
          </w:tcPr>
          <w:p>
            <w:r/>
            <w:r>
              <w:rPr>
                <w:sz w:val="19"/>
              </w:rPr>
              <w:t>Usage type</w:t>
            </w:r>
          </w:p>
        </w:tc>
        <w:tc>
          <w:tcPr>
            <w:tcW w:type="dxa" w:w="3798"/>
          </w:tcPr>
          <w:p>
            <w:r/>
            <w:r>
              <w:rPr>
                <w:sz w:val="19"/>
              </w:rPr>
              <w:t>Valider le périmètre, former, présenter au client.</w:t>
            </w:r>
          </w:p>
        </w:tc>
        <w:tc>
          <w:tcPr>
            <w:tcW w:type="dxa" w:w="3798"/>
          </w:tcPr>
          <w:p>
            <w:r/>
            <w:r>
              <w:rPr>
                <w:sz w:val="19"/>
              </w:rPr>
              <w:t>Reprendre, corriger, faire évoluer, exploiter.</w:t>
            </w:r>
          </w:p>
        </w:tc>
      </w:tr>
    </w:tbl>
    <w:p/>
    <w:p>
      <w:r>
        <w:rPr>
          <w:color w:val="606060"/>
          <w:sz w:val="19"/>
        </w:rPr>
        <w:t>Une règle énoncée dans le volet fonctionnel et retrouvée dans le volet backend n'est pas une redite : le premier dit ce que la règle protège, le second dit où elle est effectivement vérifiée. Les deux sont nécessaires, car une règle affirmée côté écran et absente côté serveur ne protège rien.</w:t>
      </w:r>
    </w:p>
    <w:p>
      <w:pPr>
        <w:pStyle w:val="Heading1"/>
      </w:pPr>
      <w:r>
        <w:t>3. Les treize interfaces et leurs rapports</w:t>
      </w:r>
    </w:p>
    <w:p>
      <w:r>
        <w:rPr>
          <w:sz w:val="21"/>
        </w:rPr>
        <w:t>Le tableau ci-dessous donne, pour chacune des treize interfaces, le nom du rapport fonctionnel et celui du rapport backend. La numérotation suit l'ordre des menus de l'application ; ce n'est pas l'ordre de lecture conseillé, qui fait l'objet de la section 4.</w:t>
      </w:r>
    </w:p>
    <w:p/>
    <w:tbl>
      <w:tblPr>
        <w:tblStyle w:val="LightGrid-Accent1"/>
        <w:tblW w:type="auto" w:w="0"/>
        <w:tblLook w:firstColumn="1" w:firstRow="1" w:lastColumn="0" w:lastRow="0" w:noHBand="0" w:noVBand="1" w:val="04A0"/>
      </w:tblPr>
      <w:tblGrid>
        <w:gridCol w:w="2409"/>
        <w:gridCol w:w="2409"/>
        <w:gridCol w:w="2409"/>
        <w:gridCol w:w="2409"/>
      </w:tblGrid>
      <w:tr>
        <w:tc>
          <w:tcPr>
            <w:tcW w:type="dxa" w:w="624"/>
          </w:tcPr>
          <w:p>
            <w:r/>
            <w:r>
              <w:rPr>
                <w:b/>
                <w:sz w:val="19"/>
              </w:rPr>
              <w:t>N°</w:t>
            </w:r>
          </w:p>
        </w:tc>
        <w:tc>
          <w:tcPr>
            <w:tcW w:type="dxa" w:w="2494"/>
          </w:tcPr>
          <w:p>
            <w:r/>
            <w:r>
              <w:rPr>
                <w:b/>
                <w:sz w:val="19"/>
              </w:rPr>
              <w:t>Interface</w:t>
            </w:r>
          </w:p>
        </w:tc>
        <w:tc>
          <w:tcPr>
            <w:tcW w:type="dxa" w:w="3260"/>
          </w:tcPr>
          <w:p>
            <w:r/>
            <w:r>
              <w:rPr>
                <w:b/>
                <w:sz w:val="19"/>
              </w:rPr>
              <w:t>Rapport fonctionnel</w:t>
            </w:r>
          </w:p>
        </w:tc>
        <w:tc>
          <w:tcPr>
            <w:tcW w:type="dxa" w:w="3260"/>
          </w:tcPr>
          <w:p>
            <w:r/>
            <w:r>
              <w:rPr>
                <w:b/>
                <w:sz w:val="19"/>
              </w:rPr>
              <w:t>Rapport backend</w:t>
            </w:r>
          </w:p>
        </w:tc>
      </w:tr>
      <w:tr>
        <w:tc>
          <w:tcPr>
            <w:tcW w:type="dxa" w:w="624"/>
          </w:tcPr>
          <w:p>
            <w:r/>
            <w:r>
              <w:rPr>
                <w:sz w:val="19"/>
              </w:rPr>
              <w:t>01</w:t>
            </w:r>
          </w:p>
        </w:tc>
        <w:tc>
          <w:tcPr>
            <w:tcW w:type="dxa" w:w="2494"/>
          </w:tcPr>
          <w:p>
            <w:r/>
            <w:r>
              <w:rPr>
                <w:sz w:val="19"/>
              </w:rPr>
              <w:t>Connexion</w:t>
            </w:r>
          </w:p>
        </w:tc>
        <w:tc>
          <w:tcPr>
            <w:tcW w:type="dxa" w:w="3260"/>
          </w:tcPr>
          <w:p>
            <w:r/>
            <w:r>
              <w:rPr>
                <w:sz w:val="19"/>
              </w:rPr>
              <w:t>fonctionnel/01-connexion.docx</w:t>
            </w:r>
          </w:p>
        </w:tc>
        <w:tc>
          <w:tcPr>
            <w:tcW w:type="dxa" w:w="3260"/>
          </w:tcPr>
          <w:p>
            <w:r/>
            <w:r>
              <w:rPr>
                <w:sz w:val="19"/>
              </w:rPr>
              <w:t>backend/01-connexion.docx</w:t>
            </w:r>
          </w:p>
        </w:tc>
      </w:tr>
      <w:tr>
        <w:tc>
          <w:tcPr>
            <w:tcW w:type="dxa" w:w="624"/>
          </w:tcPr>
          <w:p>
            <w:r/>
            <w:r>
              <w:rPr>
                <w:sz w:val="19"/>
              </w:rPr>
              <w:t>02</w:t>
            </w:r>
          </w:p>
        </w:tc>
        <w:tc>
          <w:tcPr>
            <w:tcW w:type="dxa" w:w="2494"/>
          </w:tcPr>
          <w:p>
            <w:r/>
            <w:r>
              <w:rPr>
                <w:sz w:val="19"/>
              </w:rPr>
              <w:t>Accueil</w:t>
            </w:r>
          </w:p>
        </w:tc>
        <w:tc>
          <w:tcPr>
            <w:tcW w:type="dxa" w:w="3260"/>
          </w:tcPr>
          <w:p>
            <w:r/>
            <w:r>
              <w:rPr>
                <w:sz w:val="19"/>
              </w:rPr>
              <w:t>fonctionnel/02-accueil.docx</w:t>
            </w:r>
          </w:p>
        </w:tc>
        <w:tc>
          <w:tcPr>
            <w:tcW w:type="dxa" w:w="3260"/>
          </w:tcPr>
          <w:p>
            <w:r/>
            <w:r>
              <w:rPr>
                <w:sz w:val="19"/>
              </w:rPr>
              <w:t>backend/02-accueil.docx</w:t>
            </w:r>
          </w:p>
        </w:tc>
      </w:tr>
      <w:tr>
        <w:tc>
          <w:tcPr>
            <w:tcW w:type="dxa" w:w="624"/>
          </w:tcPr>
          <w:p>
            <w:r/>
            <w:r>
              <w:rPr>
                <w:sz w:val="19"/>
              </w:rPr>
              <w:t>03</w:t>
            </w:r>
          </w:p>
        </w:tc>
        <w:tc>
          <w:tcPr>
            <w:tcW w:type="dxa" w:w="2494"/>
          </w:tcPr>
          <w:p>
            <w:r/>
            <w:r>
              <w:rPr>
                <w:sz w:val="19"/>
              </w:rPr>
              <w:t>Espaces de travail</w:t>
            </w:r>
          </w:p>
        </w:tc>
        <w:tc>
          <w:tcPr>
            <w:tcW w:type="dxa" w:w="3260"/>
          </w:tcPr>
          <w:p>
            <w:r/>
            <w:r>
              <w:rPr>
                <w:sz w:val="19"/>
              </w:rPr>
              <w:t>fonctionnel/03-espaces-de-travail.docx</w:t>
            </w:r>
          </w:p>
        </w:tc>
        <w:tc>
          <w:tcPr>
            <w:tcW w:type="dxa" w:w="3260"/>
          </w:tcPr>
          <w:p>
            <w:r/>
            <w:r>
              <w:rPr>
                <w:sz w:val="19"/>
              </w:rPr>
              <w:t>backend/03-espaces-de-travail.docx</w:t>
            </w:r>
          </w:p>
        </w:tc>
      </w:tr>
      <w:tr>
        <w:tc>
          <w:tcPr>
            <w:tcW w:type="dxa" w:w="624"/>
          </w:tcPr>
          <w:p>
            <w:r/>
            <w:r>
              <w:rPr>
                <w:sz w:val="19"/>
              </w:rPr>
              <w:t>04</w:t>
            </w:r>
          </w:p>
        </w:tc>
        <w:tc>
          <w:tcPr>
            <w:tcW w:type="dxa" w:w="2494"/>
          </w:tcPr>
          <w:p>
            <w:r/>
            <w:r>
              <w:rPr>
                <w:sz w:val="19"/>
              </w:rPr>
              <w:t>Règles de workflow</w:t>
            </w:r>
          </w:p>
        </w:tc>
        <w:tc>
          <w:tcPr>
            <w:tcW w:type="dxa" w:w="3260"/>
          </w:tcPr>
          <w:p>
            <w:r/>
            <w:r>
              <w:rPr>
                <w:sz w:val="19"/>
              </w:rPr>
              <w:t>fonctionnel/04-regles-de-workflow.docx</w:t>
            </w:r>
          </w:p>
        </w:tc>
        <w:tc>
          <w:tcPr>
            <w:tcW w:type="dxa" w:w="3260"/>
          </w:tcPr>
          <w:p>
            <w:r/>
            <w:r>
              <w:rPr>
                <w:sz w:val="19"/>
              </w:rPr>
              <w:t>backend/04-regles-de-workflow.docx</w:t>
            </w:r>
          </w:p>
        </w:tc>
      </w:tr>
      <w:tr>
        <w:tc>
          <w:tcPr>
            <w:tcW w:type="dxa" w:w="624"/>
          </w:tcPr>
          <w:p>
            <w:r/>
            <w:r>
              <w:rPr>
                <w:sz w:val="19"/>
              </w:rPr>
              <w:t>05</w:t>
            </w:r>
          </w:p>
        </w:tc>
        <w:tc>
          <w:tcPr>
            <w:tcW w:type="dxa" w:w="2494"/>
          </w:tcPr>
          <w:p>
            <w:r/>
            <w:r>
              <w:rPr>
                <w:sz w:val="19"/>
              </w:rPr>
              <w:t>Groupes d'accès</w:t>
            </w:r>
          </w:p>
        </w:tc>
        <w:tc>
          <w:tcPr>
            <w:tcW w:type="dxa" w:w="3260"/>
          </w:tcPr>
          <w:p>
            <w:r/>
            <w:r>
              <w:rPr>
                <w:sz w:val="19"/>
              </w:rPr>
              <w:t>fonctionnel/05-groupes-d-acces.docx</w:t>
            </w:r>
          </w:p>
        </w:tc>
        <w:tc>
          <w:tcPr>
            <w:tcW w:type="dxa" w:w="3260"/>
          </w:tcPr>
          <w:p>
            <w:r/>
            <w:r>
              <w:rPr>
                <w:sz w:val="19"/>
              </w:rPr>
              <w:t>backend/05-groupes-d-acces.docx</w:t>
            </w:r>
          </w:p>
        </w:tc>
      </w:tr>
      <w:tr>
        <w:tc>
          <w:tcPr>
            <w:tcW w:type="dxa" w:w="624"/>
          </w:tcPr>
          <w:p>
            <w:r/>
            <w:r>
              <w:rPr>
                <w:sz w:val="19"/>
              </w:rPr>
              <w:t>06</w:t>
            </w:r>
          </w:p>
        </w:tc>
        <w:tc>
          <w:tcPr>
            <w:tcW w:type="dxa" w:w="2494"/>
          </w:tcPr>
          <w:p>
            <w:r/>
            <w:r>
              <w:rPr>
                <w:sz w:val="19"/>
              </w:rPr>
              <w:t>Index</w:t>
            </w:r>
          </w:p>
        </w:tc>
        <w:tc>
          <w:tcPr>
            <w:tcW w:type="dxa" w:w="3260"/>
          </w:tcPr>
          <w:p>
            <w:r/>
            <w:r>
              <w:rPr>
                <w:sz w:val="19"/>
              </w:rPr>
              <w:t>fonctionnel/06-index.docx</w:t>
            </w:r>
          </w:p>
        </w:tc>
        <w:tc>
          <w:tcPr>
            <w:tcW w:type="dxa" w:w="3260"/>
          </w:tcPr>
          <w:p>
            <w:r/>
            <w:r>
              <w:rPr>
                <w:sz w:val="19"/>
              </w:rPr>
              <w:t>backend/06-index.docx</w:t>
            </w:r>
          </w:p>
        </w:tc>
      </w:tr>
      <w:tr>
        <w:tc>
          <w:tcPr>
            <w:tcW w:type="dxa" w:w="624"/>
          </w:tcPr>
          <w:p>
            <w:r/>
            <w:r>
              <w:rPr>
                <w:sz w:val="19"/>
              </w:rPr>
              <w:t>07</w:t>
            </w:r>
          </w:p>
        </w:tc>
        <w:tc>
          <w:tcPr>
            <w:tcW w:type="dxa" w:w="2494"/>
          </w:tcPr>
          <w:p>
            <w:r/>
            <w:r>
              <w:rPr>
                <w:sz w:val="19"/>
              </w:rPr>
              <w:t>Plans d'indexation</w:t>
            </w:r>
          </w:p>
        </w:tc>
        <w:tc>
          <w:tcPr>
            <w:tcW w:type="dxa" w:w="3260"/>
          </w:tcPr>
          <w:p>
            <w:r/>
            <w:r>
              <w:rPr>
                <w:sz w:val="19"/>
              </w:rPr>
              <w:t>fonctionnel/07-plans-d-indexation.docx</w:t>
            </w:r>
          </w:p>
        </w:tc>
        <w:tc>
          <w:tcPr>
            <w:tcW w:type="dxa" w:w="3260"/>
          </w:tcPr>
          <w:p>
            <w:r/>
            <w:r>
              <w:rPr>
                <w:sz w:val="19"/>
              </w:rPr>
              <w:t>backend/07-plans-d-indexation.docx</w:t>
            </w:r>
          </w:p>
        </w:tc>
      </w:tr>
      <w:tr>
        <w:tc>
          <w:tcPr>
            <w:tcW w:type="dxa" w:w="624"/>
          </w:tcPr>
          <w:p>
            <w:r/>
            <w:r>
              <w:rPr>
                <w:sz w:val="19"/>
              </w:rPr>
              <w:t>08</w:t>
            </w:r>
          </w:p>
        </w:tc>
        <w:tc>
          <w:tcPr>
            <w:tcW w:type="dxa" w:w="2494"/>
          </w:tcPr>
          <w:p>
            <w:r/>
            <w:r>
              <w:rPr>
                <w:sz w:val="19"/>
              </w:rPr>
              <w:t>Types de document</w:t>
            </w:r>
          </w:p>
        </w:tc>
        <w:tc>
          <w:tcPr>
            <w:tcW w:type="dxa" w:w="3260"/>
          </w:tcPr>
          <w:p>
            <w:r/>
            <w:r>
              <w:rPr>
                <w:sz w:val="19"/>
              </w:rPr>
              <w:t>fonctionnel/08-types-de-document.docx</w:t>
            </w:r>
          </w:p>
        </w:tc>
        <w:tc>
          <w:tcPr>
            <w:tcW w:type="dxa" w:w="3260"/>
          </w:tcPr>
          <w:p>
            <w:r/>
            <w:r>
              <w:rPr>
                <w:sz w:val="19"/>
              </w:rPr>
              <w:t>backend/08-types-de-document.docx</w:t>
            </w:r>
          </w:p>
        </w:tc>
      </w:tr>
      <w:tr>
        <w:tc>
          <w:tcPr>
            <w:tcW w:type="dxa" w:w="624"/>
          </w:tcPr>
          <w:p>
            <w:r/>
            <w:r>
              <w:rPr>
                <w:sz w:val="19"/>
              </w:rPr>
              <w:t>09</w:t>
            </w:r>
          </w:p>
        </w:tc>
        <w:tc>
          <w:tcPr>
            <w:tcW w:type="dxa" w:w="2494"/>
          </w:tcPr>
          <w:p>
            <w:r/>
            <w:r>
              <w:rPr>
                <w:sz w:val="19"/>
              </w:rPr>
              <w:t>Étiquettes</w:t>
            </w:r>
          </w:p>
        </w:tc>
        <w:tc>
          <w:tcPr>
            <w:tcW w:type="dxa" w:w="3260"/>
          </w:tcPr>
          <w:p>
            <w:r/>
            <w:r>
              <w:rPr>
                <w:sz w:val="19"/>
              </w:rPr>
              <w:t>fonctionnel/09-etiquettes.docx</w:t>
            </w:r>
          </w:p>
        </w:tc>
        <w:tc>
          <w:tcPr>
            <w:tcW w:type="dxa" w:w="3260"/>
          </w:tcPr>
          <w:p>
            <w:r/>
            <w:r>
              <w:rPr>
                <w:sz w:val="19"/>
              </w:rPr>
              <w:t>backend/09-etiquettes.docx</w:t>
            </w:r>
          </w:p>
        </w:tc>
      </w:tr>
      <w:tr>
        <w:tc>
          <w:tcPr>
            <w:tcW w:type="dxa" w:w="624"/>
          </w:tcPr>
          <w:p>
            <w:r/>
            <w:r>
              <w:rPr>
                <w:sz w:val="19"/>
              </w:rPr>
              <w:t>10</w:t>
            </w:r>
          </w:p>
        </w:tc>
        <w:tc>
          <w:tcPr>
            <w:tcW w:type="dxa" w:w="2494"/>
          </w:tcPr>
          <w:p>
            <w:r/>
            <w:r>
              <w:rPr>
                <w:sz w:val="19"/>
              </w:rPr>
              <w:t>Documents</w:t>
            </w:r>
          </w:p>
        </w:tc>
        <w:tc>
          <w:tcPr>
            <w:tcW w:type="dxa" w:w="3260"/>
          </w:tcPr>
          <w:p>
            <w:r/>
            <w:r>
              <w:rPr>
                <w:sz w:val="19"/>
              </w:rPr>
              <w:t>fonctionnel/10-documents.docx</w:t>
            </w:r>
          </w:p>
        </w:tc>
        <w:tc>
          <w:tcPr>
            <w:tcW w:type="dxa" w:w="3260"/>
          </w:tcPr>
          <w:p>
            <w:r/>
            <w:r>
              <w:rPr>
                <w:sz w:val="19"/>
              </w:rPr>
              <w:t>backend/10-documents.docx</w:t>
            </w:r>
          </w:p>
        </w:tc>
      </w:tr>
      <w:tr>
        <w:tc>
          <w:tcPr>
            <w:tcW w:type="dxa" w:w="624"/>
          </w:tcPr>
          <w:p>
            <w:r/>
            <w:r>
              <w:rPr>
                <w:sz w:val="19"/>
              </w:rPr>
              <w:t>11</w:t>
            </w:r>
          </w:p>
        </w:tc>
        <w:tc>
          <w:tcPr>
            <w:tcW w:type="dxa" w:w="2494"/>
          </w:tcPr>
          <w:p>
            <w:r/>
            <w:r>
              <w:rPr>
                <w:sz w:val="19"/>
              </w:rPr>
              <w:t>Dépôt et indexation</w:t>
            </w:r>
          </w:p>
        </w:tc>
        <w:tc>
          <w:tcPr>
            <w:tcW w:type="dxa" w:w="3260"/>
          </w:tcPr>
          <w:p>
            <w:r/>
            <w:r>
              <w:rPr>
                <w:sz w:val="19"/>
              </w:rPr>
              <w:t>fonctionnel/11-depot-et-indexation.docx</w:t>
            </w:r>
          </w:p>
        </w:tc>
        <w:tc>
          <w:tcPr>
            <w:tcW w:type="dxa" w:w="3260"/>
          </w:tcPr>
          <w:p>
            <w:r/>
            <w:r>
              <w:rPr>
                <w:sz w:val="19"/>
              </w:rPr>
              <w:t>backend/11-depot-et-indexation.docx</w:t>
            </w:r>
          </w:p>
        </w:tc>
      </w:tr>
      <w:tr>
        <w:tc>
          <w:tcPr>
            <w:tcW w:type="dxa" w:w="624"/>
          </w:tcPr>
          <w:p>
            <w:r/>
            <w:r>
              <w:rPr>
                <w:sz w:val="19"/>
              </w:rPr>
              <w:t>12</w:t>
            </w:r>
          </w:p>
        </w:tc>
        <w:tc>
          <w:tcPr>
            <w:tcW w:type="dxa" w:w="2494"/>
          </w:tcPr>
          <w:p>
            <w:r/>
            <w:r>
              <w:rPr>
                <w:sz w:val="19"/>
              </w:rPr>
              <w:t>Mes workflow</w:t>
            </w:r>
          </w:p>
        </w:tc>
        <w:tc>
          <w:tcPr>
            <w:tcW w:type="dxa" w:w="3260"/>
          </w:tcPr>
          <w:p>
            <w:r/>
            <w:r>
              <w:rPr>
                <w:sz w:val="19"/>
              </w:rPr>
              <w:t>fonctionnel/12-mes-workflow.docx</w:t>
            </w:r>
          </w:p>
        </w:tc>
        <w:tc>
          <w:tcPr>
            <w:tcW w:type="dxa" w:w="3260"/>
          </w:tcPr>
          <w:p>
            <w:r/>
            <w:r>
              <w:rPr>
                <w:sz w:val="19"/>
              </w:rPr>
              <w:t>backend/12-mes-workflow.docx</w:t>
            </w:r>
          </w:p>
        </w:tc>
      </w:tr>
      <w:tr>
        <w:tc>
          <w:tcPr>
            <w:tcW w:type="dxa" w:w="624"/>
          </w:tcPr>
          <w:p>
            <w:r/>
            <w:r>
              <w:rPr>
                <w:sz w:val="19"/>
              </w:rPr>
              <w:t>13</w:t>
            </w:r>
          </w:p>
        </w:tc>
        <w:tc>
          <w:tcPr>
            <w:tcW w:type="dxa" w:w="2494"/>
          </w:tcPr>
          <w:p>
            <w:r/>
            <w:r>
              <w:rPr>
                <w:sz w:val="19"/>
              </w:rPr>
              <w:t>Profil</w:t>
            </w:r>
          </w:p>
        </w:tc>
        <w:tc>
          <w:tcPr>
            <w:tcW w:type="dxa" w:w="3260"/>
          </w:tcPr>
          <w:p>
            <w:r/>
            <w:r>
              <w:rPr>
                <w:sz w:val="19"/>
              </w:rPr>
              <w:t>fonctionnel/13-profil.docx</w:t>
            </w:r>
          </w:p>
        </w:tc>
        <w:tc>
          <w:tcPr>
            <w:tcW w:type="dxa" w:w="3260"/>
          </w:tcPr>
          <w:p>
            <w:r/>
            <w:r>
              <w:rPr>
                <w:sz w:val="19"/>
              </w:rPr>
              <w:t>backend/13-profil.docx</w:t>
            </w:r>
          </w:p>
        </w:tc>
      </w:tr>
    </w:tbl>
    <w:p/>
    <w:p>
      <w:r>
        <w:rPr>
          <w:color w:val="606060"/>
          <w:sz w:val="19"/>
        </w:rPr>
        <w:t>Les deux dossiers contiennent exactement les mêmes treize noms de fichier. Une interface ne peut donc pas être documentée dans un volet et absente de l'autre.</w:t>
      </w:r>
    </w:p>
    <w:p>
      <w:pPr>
        <w:pStyle w:val="Heading1"/>
      </w:pPr>
      <w:r>
        <w:t>4. Ordre de lecture conseillé</w:t>
      </w:r>
    </w:p>
    <w:p>
      <w:r>
        <w:rPr>
          <w:sz w:val="21"/>
        </w:rPr>
        <w:t>L'ordre numérique des fichiers suit les menus de l'application, pas la logique du produit. Lire les rapports dans cet ordre conduit à rencontrer des notions avant les notions dont elles dépendent. L'ordre ci-dessous suit au contraire la chaîne de paramétrage : chaque maillon suppose que le précédent est en place.</w:t>
      </w:r>
    </w:p>
    <w:p>
      <w:pPr>
        <w:pStyle w:val="Heading3"/>
      </w:pPr>
      <w:r>
        <w:t>À lire en premier, quel que soit l'ordre retenu ensuite</w:t>
      </w:r>
    </w:p>
    <w:p>
      <w:r>
        <w:rPr>
          <w:sz w:val="21"/>
        </w:rPr>
        <w:t>Le rapport 01 — Connexion pose le cadrage qui conditionne la lecture de tout le reste : l'application ne comporte qu'un seul compte de connexion. Ce point est repris en section 5, mais il est traité au fond dans ce rapport.</w:t>
      </w:r>
    </w:p>
    <w:p>
      <w:pPr>
        <w:pStyle w:val="Heading2"/>
      </w:pPr>
      <w:r>
        <w:t>4.1 La chaîne de paramétrage</w:t>
      </w:r>
    </w:p>
    <w:p>
      <w:r>
        <w:rPr>
          <w:sz w:val="21"/>
        </w:rPr>
        <w:t>Rien ne peut être déposé tant que ce qui précède n'a pas été défini. C'est la seule progression qui permette de comprendre le produit sans revenir en arrière.</w:t>
      </w:r>
    </w:p>
    <w:p/>
    <w:tbl>
      <w:tblPr>
        <w:tblStyle w:val="LightGrid-Accent1"/>
        <w:tblW w:type="auto" w:w="0"/>
        <w:tblLook w:firstColumn="1" w:firstRow="1" w:lastColumn="0" w:lastRow="0" w:noHBand="0" w:noVBand="1" w:val="04A0"/>
      </w:tblPr>
      <w:tblGrid>
        <w:gridCol w:w="2409"/>
        <w:gridCol w:w="2409"/>
        <w:gridCol w:w="2409"/>
        <w:gridCol w:w="2409"/>
      </w:tblGrid>
      <w:tr>
        <w:tc>
          <w:tcPr>
            <w:tcW w:type="dxa" w:w="680"/>
          </w:tcPr>
          <w:p>
            <w:r/>
            <w:r>
              <w:rPr>
                <w:b/>
                <w:sz w:val="19"/>
              </w:rPr>
              <w:t>Rang</w:t>
            </w:r>
          </w:p>
        </w:tc>
        <w:tc>
          <w:tcPr>
            <w:tcW w:type="dxa" w:w="1984"/>
          </w:tcPr>
          <w:p>
            <w:r/>
            <w:r>
              <w:rPr>
                <w:b/>
                <w:sz w:val="19"/>
              </w:rPr>
              <w:t>Maillon</w:t>
            </w:r>
          </w:p>
        </w:tc>
        <w:tc>
          <w:tcPr>
            <w:tcW w:type="dxa" w:w="2438"/>
          </w:tcPr>
          <w:p>
            <w:r/>
            <w:r>
              <w:rPr>
                <w:b/>
                <w:sz w:val="19"/>
              </w:rPr>
              <w:t>Rapports à lire</w:t>
            </w:r>
          </w:p>
        </w:tc>
        <w:tc>
          <w:tcPr>
            <w:tcW w:type="dxa" w:w="4535"/>
          </w:tcPr>
          <w:p>
            <w:r/>
            <w:r>
              <w:rPr>
                <w:b/>
                <w:sz w:val="19"/>
              </w:rPr>
              <w:t>Ce que le maillon apporte</w:t>
            </w:r>
          </w:p>
        </w:tc>
      </w:tr>
      <w:tr>
        <w:tc>
          <w:tcPr>
            <w:tcW w:type="dxa" w:w="680"/>
          </w:tcPr>
          <w:p>
            <w:r/>
            <w:r>
              <w:rPr>
                <w:sz w:val="19"/>
              </w:rPr>
              <w:t>1</w:t>
            </w:r>
          </w:p>
        </w:tc>
        <w:tc>
          <w:tcPr>
            <w:tcW w:type="dxa" w:w="1984"/>
          </w:tcPr>
          <w:p>
            <w:r/>
            <w:r>
              <w:rPr>
                <w:sz w:val="19"/>
              </w:rPr>
              <w:t>Index</w:t>
            </w:r>
          </w:p>
        </w:tc>
        <w:tc>
          <w:tcPr>
            <w:tcW w:type="dxa" w:w="2438"/>
          </w:tcPr>
          <w:p>
            <w:r/>
            <w:r>
              <w:rPr>
                <w:sz w:val="19"/>
              </w:rPr>
              <w:t>06 — Index</w:t>
            </w:r>
          </w:p>
        </w:tc>
        <w:tc>
          <w:tcPr>
            <w:tcW w:type="dxa" w:w="4535"/>
          </w:tcPr>
          <w:p>
            <w:r/>
            <w:r>
              <w:rPr>
                <w:sz w:val="19"/>
              </w:rPr>
              <w:t>Le champ élémentaire d'indexation : la plus petite information que l'on décide de conserver sur une pièce.</w:t>
            </w:r>
          </w:p>
        </w:tc>
      </w:tr>
      <w:tr>
        <w:tc>
          <w:tcPr>
            <w:tcW w:type="dxa" w:w="680"/>
          </w:tcPr>
          <w:p>
            <w:r/>
            <w:r>
              <w:rPr>
                <w:sz w:val="19"/>
              </w:rPr>
              <w:t>2</w:t>
            </w:r>
          </w:p>
        </w:tc>
        <w:tc>
          <w:tcPr>
            <w:tcW w:type="dxa" w:w="1984"/>
          </w:tcPr>
          <w:p>
            <w:r/>
            <w:r>
              <w:rPr>
                <w:sz w:val="19"/>
              </w:rPr>
              <w:t>Plan d'indexation</w:t>
            </w:r>
          </w:p>
        </w:tc>
        <w:tc>
          <w:tcPr>
            <w:tcW w:type="dxa" w:w="2438"/>
          </w:tcPr>
          <w:p>
            <w:r/>
            <w:r>
              <w:rPr>
                <w:sz w:val="19"/>
              </w:rPr>
              <w:t>07 — Plans d'indexation</w:t>
            </w:r>
          </w:p>
        </w:tc>
        <w:tc>
          <w:tcPr>
            <w:tcW w:type="dxa" w:w="4535"/>
          </w:tcPr>
          <w:p>
            <w:r/>
            <w:r>
              <w:rPr>
                <w:sz w:val="19"/>
              </w:rPr>
              <w:t>Le regroupement ordonné d'index, avec la charte de nommage, les jetons système, le séparateur et la casse.</w:t>
            </w:r>
          </w:p>
        </w:tc>
      </w:tr>
      <w:tr>
        <w:tc>
          <w:tcPr>
            <w:tcW w:type="dxa" w:w="680"/>
          </w:tcPr>
          <w:p>
            <w:r/>
            <w:r>
              <w:rPr>
                <w:sz w:val="19"/>
              </w:rPr>
              <w:t>3</w:t>
            </w:r>
          </w:p>
        </w:tc>
        <w:tc>
          <w:tcPr>
            <w:tcW w:type="dxa" w:w="1984"/>
          </w:tcPr>
          <w:p>
            <w:r/>
            <w:r>
              <w:rPr>
                <w:sz w:val="19"/>
              </w:rPr>
              <w:t>Type de document</w:t>
            </w:r>
          </w:p>
        </w:tc>
        <w:tc>
          <w:tcPr>
            <w:tcW w:type="dxa" w:w="2438"/>
          </w:tcPr>
          <w:p>
            <w:r/>
            <w:r>
              <w:rPr>
                <w:sz w:val="19"/>
              </w:rPr>
              <w:t>08 — Types de document</w:t>
            </w:r>
          </w:p>
        </w:tc>
        <w:tc>
          <w:tcPr>
            <w:tcW w:type="dxa" w:w="4535"/>
          </w:tcPr>
          <w:p>
            <w:r/>
            <w:r>
              <w:rPr>
                <w:sz w:val="19"/>
              </w:rPr>
              <w:t>La nature de pièce, à laquelle un plan d'indexation est rattaché.</w:t>
            </w:r>
          </w:p>
        </w:tc>
      </w:tr>
      <w:tr>
        <w:tc>
          <w:tcPr>
            <w:tcW w:type="dxa" w:w="680"/>
          </w:tcPr>
          <w:p>
            <w:r/>
            <w:r>
              <w:rPr>
                <w:sz w:val="19"/>
              </w:rPr>
              <w:t>4</w:t>
            </w:r>
          </w:p>
        </w:tc>
        <w:tc>
          <w:tcPr>
            <w:tcW w:type="dxa" w:w="1984"/>
          </w:tcPr>
          <w:p>
            <w:r/>
            <w:r>
              <w:rPr>
                <w:sz w:val="19"/>
              </w:rPr>
              <w:t>Règle de workflow</w:t>
            </w:r>
          </w:p>
        </w:tc>
        <w:tc>
          <w:tcPr>
            <w:tcW w:type="dxa" w:w="2438"/>
          </w:tcPr>
          <w:p>
            <w:r/>
            <w:r>
              <w:rPr>
                <w:sz w:val="19"/>
              </w:rPr>
              <w:t>04 — Règles de workflow</w:t>
            </w:r>
          </w:p>
        </w:tc>
        <w:tc>
          <w:tcPr>
            <w:tcW w:type="dxa" w:w="4535"/>
          </w:tcPr>
          <w:p>
            <w:r/>
            <w:r>
              <w:rPr>
                <w:sz w:val="19"/>
              </w:rPr>
              <w:t>La suite d'étapes de validation, chacune assignée, qui sera appliquée aux pièces déposées.</w:t>
            </w:r>
          </w:p>
        </w:tc>
      </w:tr>
      <w:tr>
        <w:tc>
          <w:tcPr>
            <w:tcW w:type="dxa" w:w="680"/>
          </w:tcPr>
          <w:p>
            <w:r/>
            <w:r>
              <w:rPr>
                <w:sz w:val="19"/>
              </w:rPr>
              <w:t>5</w:t>
            </w:r>
          </w:p>
        </w:tc>
        <w:tc>
          <w:tcPr>
            <w:tcW w:type="dxa" w:w="1984"/>
          </w:tcPr>
          <w:p>
            <w:r/>
            <w:r>
              <w:rPr>
                <w:sz w:val="19"/>
              </w:rPr>
              <w:t>Espace de travail</w:t>
            </w:r>
          </w:p>
        </w:tc>
        <w:tc>
          <w:tcPr>
            <w:tcW w:type="dxa" w:w="2438"/>
          </w:tcPr>
          <w:p>
            <w:r/>
            <w:r>
              <w:rPr>
                <w:sz w:val="19"/>
              </w:rPr>
              <w:t>03 — Espaces de travail</w:t>
            </w:r>
          </w:p>
        </w:tc>
        <w:tc>
          <w:tcPr>
            <w:tcW w:type="dxa" w:w="4535"/>
          </w:tcPr>
          <w:p>
            <w:r/>
            <w:r>
              <w:rPr>
                <w:sz w:val="19"/>
              </w:rPr>
              <w:t>Le dossier de rangement, qui porte le type de document et, le cas échéant, la règle de workflow.</w:t>
            </w:r>
          </w:p>
        </w:tc>
      </w:tr>
      <w:tr>
        <w:tc>
          <w:tcPr>
            <w:tcW w:type="dxa" w:w="680"/>
          </w:tcPr>
          <w:p>
            <w:r/>
            <w:r>
              <w:rPr>
                <w:sz w:val="19"/>
              </w:rPr>
              <w:t>6</w:t>
            </w:r>
          </w:p>
        </w:tc>
        <w:tc>
          <w:tcPr>
            <w:tcW w:type="dxa" w:w="1984"/>
          </w:tcPr>
          <w:p>
            <w:r/>
            <w:r>
              <w:rPr>
                <w:sz w:val="19"/>
              </w:rPr>
              <w:t>Dépôt</w:t>
            </w:r>
          </w:p>
        </w:tc>
        <w:tc>
          <w:tcPr>
            <w:tcW w:type="dxa" w:w="2438"/>
          </w:tcPr>
          <w:p>
            <w:r/>
            <w:r>
              <w:rPr>
                <w:sz w:val="19"/>
              </w:rPr>
              <w:t>11 — Dépôt et indexation</w:t>
            </w:r>
          </w:p>
        </w:tc>
        <w:tc>
          <w:tcPr>
            <w:tcW w:type="dxa" w:w="4535"/>
          </w:tcPr>
          <w:p>
            <w:r/>
            <w:r>
              <w:rPr>
                <w:sz w:val="19"/>
              </w:rPr>
              <w:t>L'acte qui crée le document, applique le plan d'indexation et ouvre le circuit de validation de l'espace.</w:t>
            </w:r>
          </w:p>
        </w:tc>
      </w:tr>
      <w:tr>
        <w:tc>
          <w:tcPr>
            <w:tcW w:type="dxa" w:w="680"/>
          </w:tcPr>
          <w:p>
            <w:r/>
            <w:r>
              <w:rPr>
                <w:sz w:val="19"/>
              </w:rPr>
              <w:t>7</w:t>
            </w:r>
          </w:p>
        </w:tc>
        <w:tc>
          <w:tcPr>
            <w:tcW w:type="dxa" w:w="1984"/>
          </w:tcPr>
          <w:p>
            <w:r/>
            <w:r>
              <w:rPr>
                <w:sz w:val="19"/>
              </w:rPr>
              <w:t>Signatures</w:t>
            </w:r>
          </w:p>
        </w:tc>
        <w:tc>
          <w:tcPr>
            <w:tcW w:type="dxa" w:w="2438"/>
          </w:tcPr>
          <w:p>
            <w:r/>
            <w:r>
              <w:rPr>
                <w:sz w:val="19"/>
              </w:rPr>
              <w:t>12 — Mes workflow</w:t>
            </w:r>
          </w:p>
        </w:tc>
        <w:tc>
          <w:tcPr>
            <w:tcW w:type="dxa" w:w="4535"/>
          </w:tcPr>
          <w:p>
            <w:r/>
            <w:r>
              <w:rPr>
                <w:sz w:val="19"/>
              </w:rPr>
              <w:t>La file des demandes de signature ouvertes par le dépôt : signer, rejeter avec motif, relancer.</w:t>
            </w:r>
          </w:p>
        </w:tc>
      </w:tr>
      <w:tr>
        <w:tc>
          <w:tcPr>
            <w:tcW w:type="dxa" w:w="680"/>
          </w:tcPr>
          <w:p>
            <w:r/>
            <w:r>
              <w:rPr>
                <w:sz w:val="19"/>
              </w:rPr>
              <w:t>8</w:t>
            </w:r>
          </w:p>
        </w:tc>
        <w:tc>
          <w:tcPr>
            <w:tcW w:type="dxa" w:w="1984"/>
          </w:tcPr>
          <w:p>
            <w:r/>
            <w:r>
              <w:rPr>
                <w:sz w:val="19"/>
              </w:rPr>
              <w:t>Documents</w:t>
            </w:r>
          </w:p>
        </w:tc>
        <w:tc>
          <w:tcPr>
            <w:tcW w:type="dxa" w:w="2438"/>
          </w:tcPr>
          <w:p>
            <w:r/>
            <w:r>
              <w:rPr>
                <w:sz w:val="19"/>
              </w:rPr>
              <w:t>10 — Documents</w:t>
            </w:r>
          </w:p>
        </w:tc>
        <w:tc>
          <w:tcPr>
            <w:tcW w:type="dxa" w:w="4535"/>
          </w:tcPr>
          <w:p>
            <w:r/>
            <w:r>
              <w:rPr>
                <w:sz w:val="19"/>
              </w:rPr>
              <w:t>Le fonds constitué : la consultation, la recherche et le cycle de vie des pièces une fois le circuit achevé.</w:t>
            </w:r>
          </w:p>
        </w:tc>
      </w:tr>
    </w:tbl>
    <w:p/>
    <w:p>
      <w:r>
        <w:rPr>
          <w:color w:val="606060"/>
          <w:sz w:val="19"/>
        </w:rPr>
        <w:t>Pour chaque rang, lire d'abord le rapport fonctionnel puis, si le besoin est technique, le rapport backend de même numéro. L'inverse fonctionne mal : le volet backend suppose acquis le vocabulaire posé par le volet fonctionnel.</w:t>
      </w:r>
    </w:p>
    <w:p/>
    <w:p>
      <w:r>
        <w:rPr>
          <w:sz w:val="21"/>
        </w:rPr>
        <w:t>Le point de bascule de la chaîne est le rang 6. Avant le dépôt, tout est paramétrage et rien n'est irréversible ; à partir du dépôt, une pièce existe, elle porte une indexation et elle entre dans un circuit. Un lecteur pressé qui ne pourrait lire que deux rapports devrait lire ceux du rang 6.</w:t>
      </w:r>
    </w:p>
    <w:p>
      <w:pPr>
        <w:pStyle w:val="Heading2"/>
      </w:pPr>
      <w:r>
        <w:t>4.2 Les écrans hors chaîne</w:t>
      </w:r>
    </w:p>
    <w:p>
      <w:r>
        <w:rPr>
          <w:sz w:val="21"/>
        </w:rPr>
        <w:t>Quatre interfaces ne participent pas à la chaîne de paramétrage. Elles se lisent à part, dans n'importe quel ordre, une fois la chaîne parcourue.</w:t>
      </w:r>
    </w:p>
    <w:p/>
    <w:tbl>
      <w:tblPr>
        <w:tblStyle w:val="LightGrid-Accent1"/>
        <w:tblW w:type="auto" w:w="0"/>
        <w:tblLook w:firstColumn="1" w:firstRow="1" w:lastColumn="0" w:lastRow="0" w:noHBand="0" w:noVBand="1" w:val="04A0"/>
      </w:tblPr>
      <w:tblGrid>
        <w:gridCol w:w="4819"/>
        <w:gridCol w:w="4819"/>
      </w:tblGrid>
      <w:tr>
        <w:tc>
          <w:tcPr>
            <w:tcW w:type="dxa" w:w="2551"/>
          </w:tcPr>
          <w:p>
            <w:r/>
            <w:r>
              <w:rPr>
                <w:b/>
                <w:sz w:val="19"/>
              </w:rPr>
              <w:t>Rapports</w:t>
            </w:r>
          </w:p>
        </w:tc>
        <w:tc>
          <w:tcPr>
            <w:tcW w:type="dxa" w:w="7087"/>
          </w:tcPr>
          <w:p>
            <w:r/>
            <w:r>
              <w:rPr>
                <w:b/>
                <w:sz w:val="19"/>
              </w:rPr>
              <w:t>Pourquoi hors chaîne</w:t>
            </w:r>
          </w:p>
        </w:tc>
      </w:tr>
      <w:tr>
        <w:tc>
          <w:tcPr>
            <w:tcW w:type="dxa" w:w="2551"/>
          </w:tcPr>
          <w:p>
            <w:r/>
            <w:r>
              <w:rPr>
                <w:sz w:val="19"/>
              </w:rPr>
              <w:t>02 — Accueil</w:t>
            </w:r>
          </w:p>
        </w:tc>
        <w:tc>
          <w:tcPr>
            <w:tcW w:type="dxa" w:w="7087"/>
          </w:tcPr>
          <w:p>
            <w:r/>
            <w:r>
              <w:rPr>
                <w:sz w:val="19"/>
              </w:rPr>
              <w:t>Point d'entrée et restitution de l'état courant. Il n'est le préalable d'aucun autre écran.</w:t>
            </w:r>
          </w:p>
        </w:tc>
      </w:tr>
      <w:tr>
        <w:tc>
          <w:tcPr>
            <w:tcW w:type="dxa" w:w="2551"/>
          </w:tcPr>
          <w:p>
            <w:r/>
            <w:r>
              <w:rPr>
                <w:sz w:val="19"/>
              </w:rPr>
              <w:t>09 — Étiquettes</w:t>
            </w:r>
          </w:p>
        </w:tc>
        <w:tc>
          <w:tcPr>
            <w:tcW w:type="dxa" w:w="7087"/>
          </w:tcPr>
          <w:p>
            <w:r/>
            <w:r>
              <w:rPr>
                <w:sz w:val="19"/>
              </w:rPr>
              <w:t>Qualification transversale des pièces, indépendante du plan d'indexation et du circuit de validation.</w:t>
            </w:r>
          </w:p>
        </w:tc>
      </w:tr>
      <w:tr>
        <w:tc>
          <w:tcPr>
            <w:tcW w:type="dxa" w:w="2551"/>
          </w:tcPr>
          <w:p>
            <w:r/>
            <w:r>
              <w:rPr>
                <w:sz w:val="19"/>
              </w:rPr>
              <w:t>05 — Groupes d'accès</w:t>
            </w:r>
          </w:p>
        </w:tc>
        <w:tc>
          <w:tcPr>
            <w:tcW w:type="dxa" w:w="7087"/>
          </w:tcPr>
          <w:p>
            <w:r/>
            <w:r>
              <w:rPr>
                <w:sz w:val="19"/>
              </w:rPr>
              <w:t>Module descriptif, non structurant. Aucune autre interface n'en dépend. Voir l'avertissement en section 5.2.</w:t>
            </w:r>
          </w:p>
        </w:tc>
      </w:tr>
      <w:tr>
        <w:tc>
          <w:tcPr>
            <w:tcW w:type="dxa" w:w="2551"/>
          </w:tcPr>
          <w:p>
            <w:r/>
            <w:r>
              <w:rPr>
                <w:sz w:val="19"/>
              </w:rPr>
              <w:t>13 — Profil</w:t>
            </w:r>
          </w:p>
        </w:tc>
        <w:tc>
          <w:tcPr>
            <w:tcW w:type="dxa" w:w="7087"/>
          </w:tcPr>
          <w:p>
            <w:r/>
            <w:r>
              <w:rPr>
                <w:sz w:val="19"/>
              </w:rPr>
              <w:t>Données du compte en cours. Sans incidence sur le paramétrage documentaire.</w:t>
            </w:r>
          </w:p>
        </w:tc>
      </w:tr>
    </w:tbl>
    <w:p>
      <w:pPr>
        <w:pStyle w:val="Heading1"/>
      </w:pPr>
      <w:r>
        <w:t>5. Avertissement à poser avant toute lecture</w:t>
      </w:r>
    </w:p>
    <w:p>
      <w:r>
        <w:rPr>
          <w:sz w:val="21"/>
        </w:rPr>
        <w:t>Deux points doivent être établis avant d'ouvrir le moindre rapport. Ils ne relèvent pas du détail de vocabulaire : les ignorer conduit à se construire une représentation fausse du produit, et à la transmettre au client.</w:t>
      </w:r>
    </w:p>
    <w:p>
      <w:pPr>
        <w:pStyle w:val="Heading2"/>
      </w:pPr>
      <w:r>
        <w:t>5.1 L'application ne comporte qu'un seul compte</w:t>
      </w:r>
    </w:p>
    <w:p>
      <w:r>
        <w:rPr>
          <w:sz w:val="21"/>
        </w:rPr>
        <w:t>L'application ne comporte qu'un seul compte de connexion, celui de l'administrateur. Il n'existe ni création de compte, ni notion de rôle, ni vérification de droits nulle part dans le produit. Tout ce que l'application propose est ouvert à ce compte unique.</w:t>
      </w:r>
    </w:p>
    <w:p>
      <w:r>
        <w:rPr>
          <w:sz w:val="21"/>
        </w:rPr>
        <w:t>Les employés cités dans l'application — notamment comme assignés d'une étape de workflow — ne se connectent pas. Ils sont des noms portés par des étapes, pas des utilisateurs. La file de signatures présentée par l'interface 12 est celle de l'employé rattaché au compte administrateur, et d'aucun autre.</w:t>
      </w:r>
    </w:p>
    <w:p>
      <w:pPr>
        <w:pStyle w:val="Heading3"/>
      </w:pPr>
      <w:r>
        <w:t>Conséquence sur le vocabulaire</w:t>
      </w:r>
    </w:p>
    <w:p>
      <w:r>
        <w:rPr>
          <w:sz w:val="21"/>
        </w:rPr>
        <w:t>L'expression « les utilisateurs de la GED » doit être bannie des échanges et des présentations : elle laisse croire à une gestion multi-comptes qui n'existe pas. On parlera de « l'administrateur », seul titulaire d'un accès, et d'« employés » pour les personnes nommées par le paramétrage.</w:t>
      </w:r>
    </w:p>
    <w:p>
      <w:pPr>
        <w:pStyle w:val="Heading2"/>
      </w:pPr>
      <w:r>
        <w:t>5.2 Les « groupes d'accès » n'accordent aucun droit</w:t>
      </w:r>
    </w:p>
    <w:p>
      <w:r>
        <w:rPr>
          <w:sz w:val="21"/>
        </w:rPr>
        <w:t>Un groupe d'accès n'accorde aucun droit et n'en retire aucun. Le nom du module vient du cahier des charges et évoque une gestion de permissions qui n'existe pas dans ce produit. Le module est descriptif, non structurant.</w:t>
      </w:r>
    </w:p>
    <w:p>
      <w:r>
        <w:rPr>
          <w:sz w:val="21"/>
        </w:rPr>
        <w:t>Concrètement, un groupe d'accès :</w:t>
      </w:r>
    </w:p>
    <w:p/>
    <w:tbl>
      <w:tblPr>
        <w:tblStyle w:val="LightGrid-Accent1"/>
        <w:tblW w:type="auto" w:w="0"/>
        <w:tblLook w:firstColumn="1" w:firstRow="1" w:lastColumn="0" w:lastRow="0" w:noHBand="0" w:noVBand="1" w:val="04A0"/>
      </w:tblPr>
      <w:tblGrid>
        <w:gridCol w:w="4819"/>
        <w:gridCol w:w="4819"/>
      </w:tblGrid>
      <w:tr>
        <w:tc>
          <w:tcPr>
            <w:tcW w:type="dxa" w:w="3969"/>
          </w:tcPr>
          <w:p>
            <w:r/>
            <w:r>
              <w:rPr>
                <w:b/>
                <w:sz w:val="19"/>
              </w:rPr>
              <w:t>Ce qu'un groupe d'accès ne fait pas</w:t>
            </w:r>
          </w:p>
        </w:tc>
        <w:tc>
          <w:tcPr>
            <w:tcW w:type="dxa" w:w="5669"/>
          </w:tcPr>
          <w:p>
            <w:r/>
            <w:r>
              <w:rPr>
                <w:b/>
                <w:sz w:val="19"/>
              </w:rPr>
              <w:t>Portée</w:t>
            </w:r>
          </w:p>
        </w:tc>
      </w:tr>
      <w:tr>
        <w:tc>
          <w:tcPr>
            <w:tcW w:type="dxa" w:w="3969"/>
          </w:tcPr>
          <w:p>
            <w:r/>
            <w:r>
              <w:rPr>
                <w:sz w:val="19"/>
              </w:rPr>
              <w:t>Il n'accorde ni ne retire aucun droit.</w:t>
            </w:r>
          </w:p>
        </w:tc>
        <w:tc>
          <w:tcPr>
            <w:tcW w:type="dxa" w:w="5669"/>
          </w:tcPr>
          <w:p>
            <w:r/>
            <w:r>
              <w:rPr>
                <w:sz w:val="19"/>
              </w:rPr>
              <w:t>Sur aucun écran, aucun dossier, aucun document.</w:t>
            </w:r>
          </w:p>
        </w:tc>
      </w:tr>
      <w:tr>
        <w:tc>
          <w:tcPr>
            <w:tcW w:type="dxa" w:w="3969"/>
          </w:tcPr>
          <w:p>
            <w:r/>
            <w:r>
              <w:rPr>
                <w:sz w:val="19"/>
              </w:rPr>
              <w:t>Il ne filtre aucune liste.</w:t>
            </w:r>
          </w:p>
        </w:tc>
        <w:tc>
          <w:tcPr>
            <w:tcW w:type="dxa" w:w="5669"/>
          </w:tcPr>
          <w:p>
            <w:r/>
            <w:r>
              <w:rPr>
                <w:sz w:val="19"/>
              </w:rPr>
              <w:t>Les documents et dossiers visibles sont les mêmes quel que soit le groupe.</w:t>
            </w:r>
          </w:p>
        </w:tc>
      </w:tr>
      <w:tr>
        <w:tc>
          <w:tcPr>
            <w:tcW w:type="dxa" w:w="3969"/>
          </w:tcPr>
          <w:p>
            <w:r/>
            <w:r>
              <w:rPr>
                <w:sz w:val="19"/>
              </w:rPr>
              <w:t>Il ne crée ni ne modifie aucun employé.</w:t>
            </w:r>
          </w:p>
        </w:tc>
        <w:tc>
          <w:tcPr>
            <w:tcW w:type="dxa" w:w="5669"/>
          </w:tcPr>
          <w:p>
            <w:r/>
            <w:r>
              <w:rPr>
                <w:sz w:val="19"/>
              </w:rPr>
              <w:t>Il ne fait que les citer.</w:t>
            </w:r>
          </w:p>
        </w:tc>
      </w:tr>
      <w:tr>
        <w:tc>
          <w:tcPr>
            <w:tcW w:type="dxa" w:w="3969"/>
          </w:tcPr>
          <w:p>
            <w:r/>
            <w:r>
              <w:rPr>
                <w:sz w:val="19"/>
              </w:rPr>
              <w:t>Il n'envoie aucune notification.</w:t>
            </w:r>
          </w:p>
        </w:tc>
        <w:tc>
          <w:tcPr>
            <w:tcW w:type="dxa" w:w="5669"/>
          </w:tcPr>
          <w:p>
            <w:r/>
            <w:r>
              <w:rPr>
                <w:sz w:val="19"/>
              </w:rPr>
              <w:t>Les membres cités ne se connectent pas.</w:t>
            </w:r>
          </w:p>
        </w:tc>
      </w:tr>
      <w:tr>
        <w:tc>
          <w:tcPr>
            <w:tcW w:type="dxa" w:w="3969"/>
          </w:tcPr>
          <w:p>
            <w:r/>
            <w:r>
              <w:rPr>
                <w:sz w:val="19"/>
              </w:rPr>
              <w:t>Il n'est le préalable d'aucun autre écran.</w:t>
            </w:r>
          </w:p>
        </w:tc>
        <w:tc>
          <w:tcPr>
            <w:tcW w:type="dxa" w:w="5669"/>
          </w:tcPr>
          <w:p>
            <w:r/>
            <w:r>
              <w:rPr>
                <w:sz w:val="19"/>
              </w:rPr>
              <w:t>Ni le dépôt, ni les signatures, ni la recherche, ni les listes de documents ne le consultent.</w:t>
            </w:r>
          </w:p>
        </w:tc>
      </w:tr>
    </w:tbl>
    <w:p/>
    <w:p>
      <w:r>
        <w:rPr>
          <w:sz w:val="21"/>
        </w:rPr>
        <w:t>Aucun maillon de la chaîne de paramétrage décrite en section 4.1 ne dépend d'un groupe d'accès. Le fonds documentaire fonctionne à l'identique sans aucun groupe.</w:t>
      </w:r>
    </w:p>
    <w:p>
      <w:pPr>
        <w:pStyle w:val="Heading3"/>
      </w:pPr>
      <w:r>
        <w:t>Pourquoi cette précision est exposée ici</w:t>
      </w:r>
    </w:p>
    <w:p>
      <w:r>
        <w:rPr>
          <w:sz w:val="21"/>
        </w:rPr>
        <w:t>Un écran qui laisse croire qu'il protège quelque chose est plus dangereux qu'un écran qui n'existe pas : il produit un faux sentiment de sécurité. Toute présentation de ce module doit commencer par cette mise au point. Si un besoin de cloisonnement est réel, il doit être traité comme une évolution distincte, avec ce qu'elle suppose : plusieurs comptes de connexion, une notion de rôle et une vérification effective des droits.</w:t>
      </w:r>
    </w:p>
    <w:p>
      <w:pPr>
        <w:pStyle w:val="Heading1"/>
      </w:pPr>
      <w:r>
        <w:t>6. Conventions communes aux rapports</w:t>
      </w:r>
    </w:p>
    <w:p>
      <w:r>
        <w:rPr>
          <w:sz w:val="21"/>
        </w:rPr>
        <w:t>Les vingt-six rapports partagent la même présentation et les mêmes conventions d'écriture.</w:t>
      </w:r>
    </w:p>
    <w:p/>
    <w:tbl>
      <w:tblPr>
        <w:tblStyle w:val="LightGrid-Accent1"/>
        <w:tblW w:type="auto" w:w="0"/>
        <w:tblLook w:firstColumn="1" w:firstRow="1" w:lastColumn="0" w:lastRow="0" w:noHBand="0" w:noVBand="1" w:val="04A0"/>
      </w:tblPr>
      <w:tblGrid>
        <w:gridCol w:w="4819"/>
        <w:gridCol w:w="4819"/>
      </w:tblGrid>
      <w:tr>
        <w:tc>
          <w:tcPr>
            <w:tcW w:type="dxa" w:w="2551"/>
          </w:tcPr>
          <w:p>
            <w:r/>
            <w:r>
              <w:rPr>
                <w:b/>
                <w:sz w:val="19"/>
              </w:rPr>
              <w:t>Convention</w:t>
            </w:r>
          </w:p>
        </w:tc>
        <w:tc>
          <w:tcPr>
            <w:tcW w:type="dxa" w:w="7087"/>
          </w:tcPr>
          <w:p>
            <w:r/>
            <w:r>
              <w:rPr>
                <w:b/>
                <w:sz w:val="19"/>
              </w:rPr>
              <w:t>Détail</w:t>
            </w:r>
          </w:p>
        </w:tc>
      </w:tr>
      <w:tr>
        <w:tc>
          <w:tcPr>
            <w:tcW w:type="dxa" w:w="2551"/>
          </w:tcPr>
          <w:p>
            <w:r/>
            <w:r>
              <w:rPr>
                <w:sz w:val="19"/>
              </w:rPr>
              <w:t>Format</w:t>
            </w:r>
          </w:p>
        </w:tc>
        <w:tc>
          <w:tcPr>
            <w:tcW w:type="dxa" w:w="7087"/>
          </w:tcPr>
          <w:p>
            <w:r/>
            <w:r>
              <w:rPr>
                <w:sz w:val="19"/>
              </w:rPr>
              <w:t>A4 portrait, marges de 2 cm sur les quatre côtés.</w:t>
            </w:r>
          </w:p>
        </w:tc>
      </w:tr>
      <w:tr>
        <w:tc>
          <w:tcPr>
            <w:tcW w:type="dxa" w:w="2551"/>
          </w:tcPr>
          <w:p>
            <w:r/>
            <w:r>
              <w:rPr>
                <w:sz w:val="19"/>
              </w:rPr>
              <w:t>Structure</w:t>
            </w:r>
          </w:p>
        </w:tc>
        <w:tc>
          <w:tcPr>
            <w:tcW w:type="dxa" w:w="7087"/>
          </w:tcPr>
          <w:p>
            <w:r/>
            <w:r>
              <w:rPr>
                <w:sz w:val="19"/>
              </w:rPr>
              <w:t>Page de garde, sommaire, puis dix sections numérotées.</w:t>
            </w:r>
          </w:p>
        </w:tc>
      </w:tr>
      <w:tr>
        <w:tc>
          <w:tcPr>
            <w:tcW w:type="dxa" w:w="2551"/>
          </w:tcPr>
          <w:p>
            <w:r/>
            <w:r>
              <w:rPr>
                <w:sz w:val="19"/>
              </w:rPr>
              <w:t>Titres</w:t>
            </w:r>
          </w:p>
        </w:tc>
        <w:tc>
          <w:tcPr>
            <w:tcW w:type="dxa" w:w="7087"/>
          </w:tcPr>
          <w:p>
            <w:r/>
            <w:r>
              <w:rPr>
                <w:sz w:val="19"/>
              </w:rPr>
              <w:t>Trois niveaux hiérarchisés, numérotés de manière continue.</w:t>
            </w:r>
          </w:p>
        </w:tc>
      </w:tr>
      <w:tr>
        <w:tc>
          <w:tcPr>
            <w:tcW w:type="dxa" w:w="2551"/>
          </w:tcPr>
          <w:p>
            <w:r/>
            <w:r>
              <w:rPr>
                <w:sz w:val="19"/>
              </w:rPr>
              <w:t>Tableaux</w:t>
            </w:r>
          </w:p>
        </w:tc>
        <w:tc>
          <w:tcPr>
            <w:tcW w:type="dxa" w:w="7087"/>
          </w:tcPr>
          <w:p>
            <w:r/>
            <w:r>
              <w:rPr>
                <w:sz w:val="19"/>
              </w:rPr>
              <w:t>Style unique « Light Grid Accent 1 ».</w:t>
            </w:r>
          </w:p>
        </w:tc>
      </w:tr>
      <w:tr>
        <w:tc>
          <w:tcPr>
            <w:tcW w:type="dxa" w:w="2551"/>
          </w:tcPr>
          <w:p>
            <w:r/>
            <w:r>
              <w:rPr>
                <w:sz w:val="19"/>
              </w:rPr>
              <w:t>Pied de page</w:t>
            </w:r>
          </w:p>
        </w:tc>
        <w:tc>
          <w:tcPr>
            <w:tcW w:type="dxa" w:w="7087"/>
          </w:tcPr>
          <w:p>
            <w:r/>
            <w:r>
              <w:rPr>
                <w:sz w:val="19"/>
              </w:rPr>
              <w:t>Titre du rapport, volet concerné et numéro de page.</w:t>
            </w:r>
          </w:p>
        </w:tc>
      </w:tr>
      <w:tr>
        <w:tc>
          <w:tcPr>
            <w:tcW w:type="dxa" w:w="2551"/>
          </w:tcPr>
          <w:p>
            <w:r/>
            <w:r>
              <w:rPr>
                <w:sz w:val="19"/>
              </w:rPr>
              <w:t>Libellés d'écran</w:t>
            </w:r>
          </w:p>
        </w:tc>
        <w:tc>
          <w:tcPr>
            <w:tcW w:type="dxa" w:w="7087"/>
          </w:tcPr>
          <w:p>
            <w:r/>
            <w:r>
              <w:rPr>
                <w:sz w:val="19"/>
              </w:rPr>
              <w:t>Cités entre guillemets, dans leur orthographe exacte, y compris fautive.</w:t>
            </w:r>
          </w:p>
        </w:tc>
      </w:tr>
      <w:tr>
        <w:tc>
          <w:tcPr>
            <w:tcW w:type="dxa" w:w="2551"/>
          </w:tcPr>
          <w:p>
            <w:r/>
            <w:r>
              <w:rPr>
                <w:sz w:val="19"/>
              </w:rPr>
              <w:t>Règles de gestion</w:t>
            </w:r>
          </w:p>
        </w:tc>
        <w:tc>
          <w:tcPr>
            <w:tcW w:type="dxa" w:w="7087"/>
          </w:tcPr>
          <w:p>
            <w:r/>
            <w:r>
              <w:rPr>
                <w:sz w:val="19"/>
              </w:rPr>
              <w:t>Numérotées et systématiquement suivies de leur justification.</w:t>
            </w:r>
          </w:p>
        </w:tc>
      </w:tr>
    </w:tbl>
    <w:p/>
    <w:p>
      <w:r>
        <w:rPr>
          <w:color w:val="606060"/>
          <w:sz w:val="19"/>
        </w:rPr>
        <w:t>Lorsqu'un rapport signale un écart avec le cahier des charges d'origine, il décrit la consigne initiale, puis ce que l'application fait à la place. Ces passages sont les plus utiles à relire avant une réunion de recette.</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t xml:space="preserve">GED Marchica Med — Sommaire de la livraison  ·  page </w:t>
    </w:r>
    <w:r>
      <w:rPr>
        <w:color w:val="606060"/>
        <w:sz w:val="16"/>
      </w:rPr>
      <w:fldChar w:fldCharType="begin"/>
    </w:r>
    <w:r>
      <w:rPr>
        <w:color w:val="606060"/>
        <w:sz w:val="16"/>
      </w:rPr>
      <w:instrText xml:space="preserve">PAGE</w:instrText>
    </w:r>
    <w:r>
      <w:rPr>
        <w:color w:val="606060"/>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55E"/>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55E"/>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3344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