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44444"/>
          <w:sz w:val="26"/>
        </w:rPr>
        <w:t>GED Marchica Med</w:t>
      </w:r>
    </w:p>
    <w:p>
      <w:pPr>
        <w:jc w:val="center"/>
      </w:pPr>
      <w:r>
        <w:rPr>
          <w:color w:val="666666"/>
          <w:sz w:val="22"/>
        </w:rPr>
        <w:t>Rapport technique de conception — volet backend</w:t>
      </w:r>
    </w:p>
    <w:p/>
    <w:p>
      <w:pPr>
        <w:jc w:val="center"/>
      </w:pPr>
      <w:r>
        <w:rPr>
          <w:b/>
          <w:color w:val="1F3353"/>
          <w:sz w:val="48"/>
        </w:rPr>
        <w:t>Interface 03 — Espaces de travail</w:t>
      </w:r>
    </w:p>
    <w:p>
      <w:pPr>
        <w:jc w:val="center"/>
      </w:pPr>
      <w:r>
        <w:rPr>
          <w:i/>
          <w:color w:val="444444"/>
          <w:sz w:val="24"/>
        </w:rPr>
        <w:t>Hiérarchie, propriétaire, circuit, statut, archivage, déplacement et corbeille</w:t>
      </w:r>
    </w:p>
    <w:p/>
    <w:p/>
    <w:p/>
    <w:p/>
    <w:p/>
    <w:p/>
    <w:tbl>
      <w:tblPr>
        <w:tblStyle w:val="LightGrid-Accent1"/>
        <w:tblW w:type="auto" w:w="0"/>
        <w:jc w:val="center"/>
        <w:tblLook w:firstColumn="1" w:firstRow="1" w:lastColumn="0" w:lastRow="0" w:noHBand="0" w:noVBand="1" w:val="04A0"/>
      </w:tblPr>
      <w:tblGrid>
        <w:gridCol w:w="4819"/>
        <w:gridCol w:w="4819"/>
      </w:tblGrid>
      <w:tr>
        <w:tc>
          <w:tcPr>
            <w:tcW w:type="dxa" w:w="4819"/>
          </w:tcPr>
          <w:p>
            <w:r>
              <w:rPr>
                <w:b/>
                <w:sz w:val="20"/>
              </w:rPr>
              <w:t>Application</w:t>
            </w:r>
          </w:p>
        </w:tc>
        <w:tc>
          <w:tcPr>
            <w:tcW w:type="dxa" w:w="4819"/>
          </w:tcPr>
          <w:p>
            <w:r>
              <w:rPr>
                <w:sz w:val="20"/>
              </w:rPr>
              <w:t>GED Marchica Med</w:t>
            </w:r>
          </w:p>
        </w:tc>
      </w:tr>
      <w:tr>
        <w:tc>
          <w:tcPr>
            <w:tcW w:type="dxa" w:w="4819"/>
          </w:tcPr>
          <w:p>
            <w:r>
              <w:rPr>
                <w:b/>
                <w:sz w:val="20"/>
              </w:rPr>
              <w:t>Interface documentée</w:t>
            </w:r>
          </w:p>
        </w:tc>
        <w:tc>
          <w:tcPr>
            <w:tcW w:type="dxa" w:w="4819"/>
          </w:tcPr>
          <w:p>
            <w:r>
              <w:rPr>
                <w:sz w:val="20"/>
              </w:rPr>
              <w:t>03 — Espaces de travail</w:t>
            </w:r>
          </w:p>
        </w:tc>
      </w:tr>
      <w:tr>
        <w:tc>
          <w:tcPr>
            <w:tcW w:type="dxa" w:w="4819"/>
          </w:tcPr>
          <w:p>
            <w:r>
              <w:rPr>
                <w:b/>
                <w:sz w:val="20"/>
              </w:rPr>
              <w:t>Volet</w:t>
            </w:r>
          </w:p>
        </w:tc>
        <w:tc>
          <w:tcPr>
            <w:tcW w:type="dxa" w:w="4819"/>
          </w:tcPr>
          <w:p>
            <w:r>
              <w:rPr>
                <w:sz w:val="20"/>
              </w:rPr>
              <w:t>Volet backend — ce que le serveur fait derrière l'écran</w:t>
            </w:r>
          </w:p>
        </w:tc>
      </w:tr>
      <w:tr>
        <w:tc>
          <w:tcPr>
            <w:tcW w:type="dxa" w:w="4819"/>
          </w:tcPr>
          <w:p>
            <w:r>
              <w:rPr>
                <w:b/>
                <w:sz w:val="20"/>
              </w:rPr>
              <w:t>Date d'édition</w:t>
            </w:r>
          </w:p>
        </w:tc>
        <w:tc>
          <w:tcPr>
            <w:tcW w:type="dxa" w:w="4819"/>
          </w:tcPr>
          <w:p>
            <w:r>
              <w:rPr>
                <w:sz w:val="20"/>
              </w:rPr>
              <w:t>13 août 2026</w:t>
            </w:r>
          </w:p>
        </w:tc>
      </w:tr>
    </w:tbl>
    <w:p/>
    <w:p/>
    <w:p/>
    <w:p/>
    <w:p>
      <w:pPr>
        <w:jc w:val="center"/>
      </w:pPr>
      <w:r>
        <w:rPr>
          <w:i/>
          <w:color w:val="666666"/>
          <w:sz w:val="18"/>
        </w:rPr>
        <w:t>Document rédigé à partir de la lecture du code source du backend (Spring Boot 3.4.1 / Java 17) et des migrations de base de données. Aucune valeur, aucun libellé et aucun code de réponse n'y figure sans avoir été relevé dans le code.</w:t>
      </w:r>
    </w:p>
    <w:p>
      <w:r>
        <w:br w:type="page"/>
      </w:r>
    </w:p>
    <w:p>
      <w:pPr>
        <w:pStyle w:val="Heading1"/>
      </w:pPr>
      <w:r>
        <w:t>Sommaire</w:t>
      </w:r>
    </w:p>
    <w:p>
      <w:pPr>
        <w:spacing w:after="60"/>
      </w:pPr>
      <w:r>
        <w:rPr>
          <w:b/>
          <w:sz w:val="21"/>
        </w:rPr>
        <w:t>1. Rôle du serveur pour cette interface</w:t>
      </w:r>
      <w:r>
        <w:rPr>
          <w:color w:val="444444"/>
          <w:sz w:val="19"/>
        </w:rPr>
        <w:t xml:space="preserve">  —  l'espace de travail comme pivot du classement et porteur du circuit de validation.</w:t>
      </w:r>
    </w:p>
    <w:p>
      <w:pPr>
        <w:spacing w:after="60"/>
      </w:pPr>
      <w:r>
        <w:rPr>
          <w:b/>
          <w:sz w:val="21"/>
        </w:rPr>
        <w:t>2. Les données conservées</w:t>
      </w:r>
      <w:r>
        <w:rPr>
          <w:color w:val="444444"/>
          <w:sz w:val="19"/>
        </w:rPr>
        <w:t xml:space="preserve">  —  les huit informations persistées, leurs contraintes et leur raison d'être.</w:t>
      </w:r>
    </w:p>
    <w:p>
      <w:pPr>
        <w:spacing w:after="60"/>
      </w:pPr>
      <w:r>
        <w:rPr>
          <w:b/>
          <w:sz w:val="21"/>
        </w:rPr>
        <w:t>3. Les relations</w:t>
      </w:r>
      <w:r>
        <w:rPr>
          <w:color w:val="444444"/>
          <w:sz w:val="19"/>
        </w:rPr>
        <w:t xml:space="preserve">  —  auto-référence hiérarchique, propriétaire, circuit, types, documents et groupes.</w:t>
      </w:r>
    </w:p>
    <w:p>
      <w:pPr>
        <w:spacing w:after="60"/>
      </w:pPr>
      <w:r>
        <w:rPr>
          <w:b/>
          <w:sz w:val="21"/>
        </w:rPr>
        <w:t>4. Les opérations disponibles</w:t>
      </w:r>
      <w:r>
        <w:rPr>
          <w:color w:val="444444"/>
          <w:sz w:val="19"/>
        </w:rPr>
        <w:t xml:space="preserve">  —  douze opérations, de la liste paginée au déplacement de sous-arborescence.</w:t>
      </w:r>
    </w:p>
    <w:p>
      <w:pPr>
        <w:spacing w:after="60"/>
      </w:pPr>
      <w:r>
        <w:rPr>
          <w:b/>
          <w:sz w:val="21"/>
        </w:rPr>
        <w:t>5. Les règles vérifiées côté serveur</w:t>
      </w:r>
      <w:r>
        <w:rPr>
          <w:color w:val="444444"/>
          <w:sz w:val="19"/>
        </w:rPr>
        <w:t xml:space="preserve">  —  douze règles, dont l'unicité du code, l'anti-cycle et le verrou de la corbeille.</w:t>
      </w:r>
    </w:p>
    <w:p>
      <w:pPr>
        <w:spacing w:after="60"/>
      </w:pPr>
      <w:r>
        <w:rPr>
          <w:b/>
          <w:sz w:val="21"/>
        </w:rPr>
        <w:t>6. Les erreurs et les réponses</w:t>
      </w:r>
      <w:r>
        <w:rPr>
          <w:color w:val="444444"/>
          <w:sz w:val="19"/>
        </w:rPr>
        <w:t xml:space="preserve">  —  chaque refus, son code, son message et le comportement de l'écran.</w:t>
      </w:r>
    </w:p>
    <w:p>
      <w:pPr>
        <w:spacing w:after="60"/>
      </w:pPr>
      <w:r>
        <w:rPr>
          <w:b/>
          <w:sz w:val="21"/>
        </w:rPr>
        <w:t>7. Ce qui est écrit, et dans quel ordre</w:t>
      </w:r>
      <w:r>
        <w:rPr>
          <w:color w:val="444444"/>
          <w:sz w:val="19"/>
        </w:rPr>
        <w:t xml:space="preserve">  —  création, modification, déplacement, archivage et opérations groupées.</w:t>
      </w:r>
    </w:p>
    <w:p>
      <w:pPr>
        <w:spacing w:after="60"/>
      </w:pPr>
      <w:r>
        <w:rPr>
          <w:b/>
          <w:sz w:val="21"/>
        </w:rPr>
        <w:t>8. Les effets de bord</w:t>
      </w:r>
      <w:r>
        <w:rPr>
          <w:color w:val="444444"/>
          <w:sz w:val="19"/>
        </w:rPr>
        <w:t xml:space="preserve">  —  orphelins promus à la racine, comptages recalculés, données jamais supprimées.</w:t>
      </w:r>
    </w:p>
    <w:p>
      <w:pPr>
        <w:spacing w:after="60"/>
      </w:pPr>
      <w:r>
        <w:rPr>
          <w:b/>
          <w:sz w:val="21"/>
        </w:rPr>
        <w:t>9. Sécurité et contrôle d'accès</w:t>
      </w:r>
      <w:r>
        <w:rPr>
          <w:color w:val="444444"/>
          <w:sz w:val="19"/>
        </w:rPr>
        <w:t xml:space="preserve">  —  un propriétaire est une donnée, pas un droit.</w:t>
      </w:r>
    </w:p>
    <w:p>
      <w:pPr>
        <w:spacing w:after="60"/>
      </w:pPr>
      <w:r>
        <w:rPr>
          <w:b/>
          <w:sz w:val="21"/>
        </w:rPr>
        <w:t>10. Points de vigilance et limites connues</w:t>
      </w:r>
      <w:r>
        <w:rPr>
          <w:color w:val="444444"/>
          <w:sz w:val="19"/>
        </w:rPr>
        <w:t xml:space="preserve">  —  cycles possibles à la modification, recherche limitée au nom, statut intermédiaire perdu.</w:t>
      </w:r>
    </w:p>
    <w:p>
      <w:r>
        <w:br w:type="page"/>
      </w:r>
    </w:p>
    <w:p>
      <w:pPr>
        <w:pStyle w:val="Heading1"/>
      </w:pPr>
      <w:r>
        <w:t>1. Rôle du serveur pour cette interface</w:t>
      </w:r>
    </w:p>
    <w:p>
      <w:r>
        <w:rPr>
          <w:b w:val="0"/>
          <w:i w:val="0"/>
        </w:rPr>
        <w:t>L'espace de travail est le pivot de l'application. Il répond à la question « où ce document est-il rangé », et par voie de conséquence à la question « qui doit le valider » : le circuit de validation n'est jamais attaché à un document, il est attaché à l'espace, et c'est l'espace qui l'impose à ce qu'il contient. Un espace porte donc trois choses indissociables : une place dans une hiérarchie, un responsable, et une règle de workflow.</w:t>
      </w:r>
    </w:p>
    <w:p>
      <w:pPr>
        <w:pStyle w:val="Heading2"/>
      </w:pPr>
      <w:r>
        <w:t>1.1. Ce que le serveur fournit</w:t>
      </w:r>
    </w:p>
    <w:p>
      <w:pPr>
        <w:pStyle w:val="ListBullet"/>
        <w:spacing w:after="60"/>
      </w:pPr>
      <w:r>
        <w:rPr>
          <w:b/>
        </w:rPr>
        <w:t>Une liste paginée, filtrée et triée.</w:t>
      </w:r>
      <w:r>
        <w:t xml:space="preserve"> Avec sa contrepartie « corbeille », qui restitue les espaces supprimés selon les mêmes règles.</w:t>
      </w:r>
    </w:p>
    <w:p>
      <w:pPr>
        <w:pStyle w:val="ListBullet"/>
        <w:spacing w:after="60"/>
      </w:pPr>
      <w:r>
        <w:rPr>
          <w:b/>
        </w:rPr>
        <w:t>Une représentation hiérarchique.</w:t>
      </w:r>
      <w:r>
        <w:t xml:space="preserve"> Une forêt de nœuds imbriqués, construite en mémoire à partir d'une seule lecture, et non par une série de requêtes par niveau.</w:t>
      </w:r>
    </w:p>
    <w:p>
      <w:pPr>
        <w:pStyle w:val="ListBullet"/>
        <w:spacing w:after="60"/>
      </w:pPr>
      <w:r>
        <w:rPr>
          <w:b/>
        </w:rPr>
        <w:t>Une liste allégée pour les sélecteurs.</w:t>
      </w:r>
      <w:r>
        <w:t xml:space="preserve"> Identifiant et nom uniquement, destinée au choix du dossier parent et aux autres écrans qui doivent désigner un espace.</w:t>
      </w:r>
    </w:p>
    <w:p>
      <w:pPr>
        <w:pStyle w:val="ListBullet"/>
        <w:spacing w:after="60"/>
      </w:pPr>
      <w:r>
        <w:rPr>
          <w:b/>
        </w:rPr>
        <w:t>Le détail d'un espace.</w:t>
      </w:r>
      <w:r>
        <w:t xml:space="preserve"> Avec ses références résolues — propriétaire, parent, circuit — son nombre de sous-dossiers vivants, ses groupes de rattachement et son état de corbeille.</w:t>
      </w:r>
    </w:p>
    <w:p>
      <w:pPr>
        <w:pStyle w:val="ListBullet"/>
        <w:spacing w:after="60"/>
      </w:pPr>
      <w:r>
        <w:rPr>
          <w:b/>
        </w:rPr>
        <w:t>Les gestes de structure.</w:t>
      </w:r>
      <w:r>
        <w:t xml:space="preserve"> Déplacement sous un nouveau parent, bascule d'archivage, mise à la corbeille et restauration, à l'unité comme en lot.</w:t>
      </w:r>
    </w:p>
    <w:p>
      <w:pPr>
        <w:pStyle w:val="Heading2"/>
      </w:pPr>
      <w:r>
        <w:t>1.2. Ce que le serveur garantit</w:t>
      </w:r>
    </w:p>
    <w:p>
      <w:pPr>
        <w:pStyle w:val="ListBullet"/>
        <w:spacing w:after="60"/>
      </w:pPr>
      <w:r>
        <w:rPr>
          <w:b/>
        </w:rPr>
        <w:t>Une source unique pour le tableau et pour l'arbre.</w:t>
      </w:r>
      <w:r>
        <w:t xml:space="preserve"> Les deux vues sont servies par le même modèle de données. Écrites séparément, elles divergeraient dès la première modification et l'utilisateur ne saurait plus laquelle dit vrai.</w:t>
      </w:r>
    </w:p>
    <w:p>
      <w:pPr>
        <w:pStyle w:val="ListBullet"/>
        <w:spacing w:after="60"/>
      </w:pPr>
      <w:r>
        <w:rPr>
          <w:b/>
        </w:rPr>
        <w:t>Une hiérarchie portée par le parent nommé.</w:t>
      </w:r>
      <w:r>
        <w:t xml:space="preserve"> Jamais par l'ordre des lignes. Trier le tableau par nom ne modifie donc pas l'arbre.</w:t>
      </w:r>
    </w:p>
    <w:p>
      <w:pPr>
        <w:pStyle w:val="ListBullet"/>
        <w:spacing w:after="60"/>
      </w:pPr>
      <w:r>
        <w:rPr>
          <w:b/>
        </w:rPr>
        <w:t>Un déplacement qui emporte la sous-arborescence.</w:t>
      </w:r>
      <w:r>
        <w:t xml:space="preserve"> Les enfants ne portent pas de chemin : ils désignent leur parent. Déplacer un nœud déplace mécaniquement tout ce qui est en dessous, sans qu'aucune ligne enfant soit réécrite.</w:t>
      </w:r>
    </w:p>
    <w:p>
      <w:pPr>
        <w:pStyle w:val="ListBullet"/>
        <w:spacing w:after="60"/>
      </w:pPr>
      <w:r>
        <w:rPr>
          <w:b/>
        </w:rPr>
        <w:t>Un code unique.</w:t>
      </w:r>
      <w:r>
        <w:t xml:space="preserve"> Insensible à la casse, vérifié avant écriture et garanti par une contrainte d'unicité en base.</w:t>
      </w:r>
    </w:p>
    <w:p>
      <w:pPr>
        <w:pStyle w:val="ListBullet"/>
        <w:spacing w:after="60"/>
      </w:pPr>
      <w:r>
        <w:rPr>
          <w:b/>
        </w:rPr>
        <w:t>Deux mécanismes indépendants et jamais confondus.</w:t>
      </w:r>
      <w:r>
        <w:t xml:space="preserve"> Le statut répond à « ce dossier est-il en service ? », la corbeille répond à « ce dossier existe-t-il encore ? ». Un dossier peut être archivé sans être supprimé, et inversement. Les deux informations figurent séparément dans chaque réponse.</w:t>
      </w:r>
    </w:p>
    <w:p>
      <w:pPr>
        <w:pStyle w:val="ListBullet"/>
        <w:spacing w:after="60"/>
      </w:pPr>
      <w:r>
        <w:rPr>
          <w:b/>
        </w:rPr>
        <w:t>Aucune suppression définitive.</w:t>
      </w:r>
      <w:r>
        <w:t xml:space="preserve"> Supprimer marque, cela n'efface pas. Aucune opération de l'API n'efface une ligne d'espace de travail.</w:t>
      </w:r>
    </w:p>
    <w:p>
      <w:pPr>
        <w:pStyle w:val="Heading1"/>
      </w:pPr>
      <w:r>
        <w:t>2. Les données conservées</w:t>
      </w:r>
    </w:p>
    <w:p>
      <w:r>
        <w:rPr>
          <w:b w:val="0"/>
          <w:i w:val="0"/>
        </w:rPr>
        <w:t>Table « work_spaces ».</w:t>
      </w: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c>
          <w:tcPr>
            <w:tcW w:type="dxa" w:w="1474"/>
          </w:tcPr>
          <w:p>
            <w:pPr>
              <w:spacing w:after="40"/>
            </w:pPr>
            <w:r/>
            <w:r>
              <w:rPr>
                <w:b/>
                <w:sz w:val="18"/>
              </w:rPr>
              <w:t>Nom métier</w:t>
            </w:r>
          </w:p>
        </w:tc>
        <w:tc>
          <w:tcPr>
            <w:tcW w:type="dxa" w:w="1587"/>
          </w:tcPr>
          <w:p>
            <w:pPr>
              <w:spacing w:after="40"/>
            </w:pPr>
            <w:r/>
            <w:r>
              <w:rPr>
                <w:b/>
                <w:sz w:val="18"/>
              </w:rPr>
              <w:t>Nature</w:t>
            </w:r>
          </w:p>
        </w:tc>
        <w:tc>
          <w:tcPr>
            <w:tcW w:type="dxa" w:w="850"/>
          </w:tcPr>
          <w:p>
            <w:pPr>
              <w:spacing w:after="40"/>
            </w:pPr>
            <w:r/>
            <w:r>
              <w:rPr>
                <w:b/>
                <w:sz w:val="18"/>
              </w:rPr>
              <w:t>Obligatoire</w:t>
            </w:r>
          </w:p>
        </w:tc>
        <w:tc>
          <w:tcPr>
            <w:tcW w:type="dxa" w:w="794"/>
          </w:tcPr>
          <w:p>
            <w:pPr>
              <w:spacing w:after="40"/>
            </w:pPr>
            <w:r/>
            <w:r>
              <w:rPr>
                <w:b/>
                <w:sz w:val="18"/>
              </w:rPr>
              <w:t>Défaut</w:t>
            </w:r>
          </w:p>
        </w:tc>
        <w:tc>
          <w:tcPr>
            <w:tcW w:type="dxa" w:w="1247"/>
          </w:tcPr>
          <w:p>
            <w:pPr>
              <w:spacing w:after="40"/>
            </w:pPr>
            <w:r/>
            <w:r>
              <w:rPr>
                <w:b/>
                <w:sz w:val="18"/>
              </w:rPr>
              <w:t>Unicité</w:t>
            </w:r>
          </w:p>
        </w:tc>
        <w:tc>
          <w:tcPr>
            <w:tcW w:type="dxa" w:w="3685"/>
          </w:tcPr>
          <w:p>
            <w:pPr>
              <w:spacing w:after="40"/>
            </w:pPr>
            <w:r/>
            <w:r>
              <w:rPr>
                <w:b/>
                <w:sz w:val="18"/>
              </w:rPr>
              <w:t>À quoi cela sert</w:t>
            </w:r>
          </w:p>
        </w:tc>
      </w:tr>
      <w:tr>
        <w:tc>
          <w:tcPr>
            <w:tcW w:type="dxa" w:w="1474"/>
          </w:tcPr>
          <w:p>
            <w:pPr>
              <w:spacing w:after="40"/>
            </w:pPr>
            <w:r/>
            <w:r>
              <w:rPr>
                <w:sz w:val="18"/>
              </w:rPr>
              <w:t>Identifiant</w:t>
            </w:r>
          </w:p>
        </w:tc>
        <w:tc>
          <w:tcPr>
            <w:tcW w:type="dxa" w:w="1587"/>
          </w:tcPr>
          <w:p>
            <w:pPr>
              <w:spacing w:after="40"/>
            </w:pPr>
            <w:r/>
            <w:r>
              <w:rPr>
                <w:sz w:val="18"/>
              </w:rPr>
              <w:t>Entier long auto-incrémenté</w:t>
            </w:r>
          </w:p>
        </w:tc>
        <w:tc>
          <w:tcPr>
            <w:tcW w:type="dxa" w:w="850"/>
          </w:tcPr>
          <w:p>
            <w:pPr>
              <w:spacing w:after="40"/>
            </w:pPr>
            <w:r/>
            <w:r>
              <w:rPr>
                <w:sz w:val="18"/>
              </w:rPr>
              <w:t>Oui</w:t>
            </w:r>
          </w:p>
        </w:tc>
        <w:tc>
          <w:tcPr>
            <w:tcW w:type="dxa" w:w="794"/>
          </w:tcPr>
          <w:p>
            <w:pPr>
              <w:spacing w:after="40"/>
            </w:pPr>
            <w:r/>
            <w:r>
              <w:rPr>
                <w:sz w:val="18"/>
              </w:rPr>
              <w:t>Généré</w:t>
            </w:r>
          </w:p>
        </w:tc>
        <w:tc>
          <w:tcPr>
            <w:tcW w:type="dxa" w:w="1247"/>
          </w:tcPr>
          <w:p>
            <w:pPr>
              <w:spacing w:after="40"/>
            </w:pPr>
            <w:r/>
            <w:r>
              <w:rPr>
                <w:sz w:val="18"/>
              </w:rPr>
              <w:t>Clé primaire</w:t>
            </w:r>
          </w:p>
        </w:tc>
        <w:tc>
          <w:tcPr>
            <w:tcW w:type="dxa" w:w="3685"/>
          </w:tcPr>
          <w:p>
            <w:pPr>
              <w:spacing w:after="40"/>
            </w:pPr>
            <w:r/>
            <w:r>
              <w:rPr>
                <w:sz w:val="18"/>
              </w:rPr>
              <w:t>Désigner l'espace dans toutes les autres tables. Sert aussi d'ordre de repli des listes.</w:t>
            </w:r>
          </w:p>
        </w:tc>
      </w:tr>
      <w:tr>
        <w:tc>
          <w:tcPr>
            <w:tcW w:type="dxa" w:w="1474"/>
          </w:tcPr>
          <w:p>
            <w:pPr>
              <w:spacing w:after="40"/>
            </w:pPr>
            <w:r/>
            <w:r>
              <w:rPr>
                <w:sz w:val="18"/>
              </w:rPr>
              <w:t>Nom du dossier</w:t>
            </w:r>
          </w:p>
        </w:tc>
        <w:tc>
          <w:tcPr>
            <w:tcW w:type="dxa" w:w="1587"/>
          </w:tcPr>
          <w:p>
            <w:pPr>
              <w:spacing w:after="40"/>
            </w:pPr>
            <w:r/>
            <w:r>
              <w:rPr>
                <w:sz w:val="18"/>
              </w:rPr>
              <w:t>Texte, 255 caractères</w:t>
            </w:r>
          </w:p>
        </w:tc>
        <w:tc>
          <w:tcPr>
            <w:tcW w:type="dxa" w:w="850"/>
          </w:tcPr>
          <w:p>
            <w:pPr>
              <w:spacing w:after="40"/>
            </w:pPr>
            <w:r/>
            <w:r>
              <w:rPr>
                <w:sz w:val="18"/>
              </w:rPr>
              <w:t>Oui</w:t>
            </w:r>
          </w:p>
        </w:tc>
        <w:tc>
          <w:tcPr>
            <w:tcW w:type="dxa" w:w="794"/>
          </w:tcPr>
          <w:p>
            <w:pPr>
              <w:spacing w:after="40"/>
            </w:pPr>
            <w:r/>
            <w:r>
              <w:rPr>
                <w:sz w:val="18"/>
              </w:rPr>
              <w:t>—</w:t>
            </w:r>
          </w:p>
        </w:tc>
        <w:tc>
          <w:tcPr>
            <w:tcW w:type="dxa" w:w="1247"/>
          </w:tcPr>
          <w:p>
            <w:pPr>
              <w:spacing w:after="40"/>
            </w:pPr>
            <w:r/>
            <w:r>
              <w:rPr>
                <w:sz w:val="18"/>
              </w:rPr>
              <w:t>Non</w:t>
            </w:r>
          </w:p>
        </w:tc>
        <w:tc>
          <w:tcPr>
            <w:tcW w:type="dxa" w:w="3685"/>
          </w:tcPr>
          <w:p>
            <w:pPr>
              <w:spacing w:after="40"/>
            </w:pPr>
            <w:r/>
            <w:r>
              <w:rPr>
                <w:sz w:val="18"/>
              </w:rPr>
              <w:t>Libellé affiché dans le tableau, dans l'arbre et dans tous les sélecteurs. C'est également le seul champ sur lequel porte la recherche.</w:t>
            </w:r>
          </w:p>
        </w:tc>
      </w:tr>
      <w:tr>
        <w:tc>
          <w:tcPr>
            <w:tcW w:type="dxa" w:w="1474"/>
          </w:tcPr>
          <w:p>
            <w:pPr>
              <w:spacing w:after="40"/>
            </w:pPr>
            <w:r/>
            <w:r>
              <w:rPr>
                <w:sz w:val="18"/>
              </w:rPr>
              <w:t>Code</w:t>
            </w:r>
          </w:p>
        </w:tc>
        <w:tc>
          <w:tcPr>
            <w:tcW w:type="dxa" w:w="1587"/>
          </w:tcPr>
          <w:p>
            <w:pPr>
              <w:spacing w:after="40"/>
            </w:pPr>
            <w:r/>
            <w:r>
              <w:rPr>
                <w:sz w:val="18"/>
              </w:rPr>
              <w:t>Texte, 255 caractères</w:t>
            </w:r>
          </w:p>
        </w:tc>
        <w:tc>
          <w:tcPr>
            <w:tcW w:type="dxa" w:w="850"/>
          </w:tcPr>
          <w:p>
            <w:pPr>
              <w:spacing w:after="40"/>
            </w:pPr>
            <w:r/>
            <w:r>
              <w:rPr>
                <w:sz w:val="18"/>
              </w:rPr>
              <w:t>Oui</w:t>
            </w:r>
          </w:p>
        </w:tc>
        <w:tc>
          <w:tcPr>
            <w:tcW w:type="dxa" w:w="794"/>
          </w:tcPr>
          <w:p>
            <w:pPr>
              <w:spacing w:after="40"/>
            </w:pPr>
            <w:r/>
            <w:r>
              <w:rPr>
                <w:sz w:val="18"/>
              </w:rPr>
              <w:t>—</w:t>
            </w:r>
          </w:p>
        </w:tc>
        <w:tc>
          <w:tcPr>
            <w:tcW w:type="dxa" w:w="1247"/>
          </w:tcPr>
          <w:p>
            <w:pPr>
              <w:spacing w:after="40"/>
            </w:pPr>
            <w:r/>
            <w:r>
              <w:rPr>
                <w:sz w:val="18"/>
              </w:rPr>
              <w:t>Unique, insensible à la casse</w:t>
            </w:r>
          </w:p>
        </w:tc>
        <w:tc>
          <w:tcPr>
            <w:tcW w:type="dxa" w:w="3685"/>
          </w:tcPr>
          <w:p>
            <w:pPr>
              <w:spacing w:after="40"/>
            </w:pPr>
            <w:r/>
            <w:r>
              <w:rPr>
                <w:sz w:val="18"/>
              </w:rPr>
              <w:t>Référence stable et courte du dossier. L'unicité est vérifiée par le service avant écriture, et garantie par la base en dernier recours.</w:t>
            </w:r>
          </w:p>
        </w:tc>
      </w:tr>
      <w:tr>
        <w:tc>
          <w:tcPr>
            <w:tcW w:type="dxa" w:w="1474"/>
          </w:tcPr>
          <w:p>
            <w:pPr>
              <w:spacing w:after="40"/>
            </w:pPr>
            <w:r/>
            <w:r>
              <w:rPr>
                <w:sz w:val="18"/>
              </w:rPr>
              <w:t>Description</w:t>
            </w:r>
          </w:p>
        </w:tc>
        <w:tc>
          <w:tcPr>
            <w:tcW w:type="dxa" w:w="1587"/>
          </w:tcPr>
          <w:p>
            <w:pPr>
              <w:spacing w:after="40"/>
            </w:pPr>
            <w:r/>
            <w:r>
              <w:rPr>
                <w:sz w:val="18"/>
              </w:rPr>
              <w:t>Texte, 255 caractères</w:t>
            </w:r>
          </w:p>
        </w:tc>
        <w:tc>
          <w:tcPr>
            <w:tcW w:type="dxa" w:w="850"/>
          </w:tcPr>
          <w:p>
            <w:pPr>
              <w:spacing w:after="40"/>
            </w:pPr>
            <w:r/>
            <w:r>
              <w:rPr>
                <w:sz w:val="18"/>
              </w:rPr>
              <w:t>Non</w:t>
            </w:r>
          </w:p>
        </w:tc>
        <w:tc>
          <w:tcPr>
            <w:tcW w:type="dxa" w:w="794"/>
          </w:tcPr>
          <w:p>
            <w:pPr>
              <w:spacing w:after="40"/>
            </w:pPr>
            <w:r/>
            <w:r>
              <w:rPr>
                <w:sz w:val="18"/>
              </w:rPr>
              <w:t>Vide</w:t>
            </w:r>
          </w:p>
        </w:tc>
        <w:tc>
          <w:tcPr>
            <w:tcW w:type="dxa" w:w="1247"/>
          </w:tcPr>
          <w:p>
            <w:pPr>
              <w:spacing w:after="40"/>
            </w:pPr>
            <w:r/>
            <w:r>
              <w:rPr>
                <w:sz w:val="18"/>
              </w:rPr>
              <w:t>Non</w:t>
            </w:r>
          </w:p>
        </w:tc>
        <w:tc>
          <w:tcPr>
            <w:tcW w:type="dxa" w:w="3685"/>
          </w:tcPr>
          <w:p>
            <w:pPr>
              <w:spacing w:after="40"/>
            </w:pPr>
            <w:r/>
            <w:r>
              <w:rPr>
                <w:sz w:val="18"/>
              </w:rPr>
              <w:t>Précision libre affichée en colonne. Attention : la colonne est un texte court, pas un texte long, malgré l'intitulé « texte long » du formulaire.</w:t>
            </w:r>
          </w:p>
        </w:tc>
      </w:tr>
      <w:tr>
        <w:tc>
          <w:tcPr>
            <w:tcW w:type="dxa" w:w="1474"/>
          </w:tcPr>
          <w:p>
            <w:pPr>
              <w:spacing w:after="40"/>
            </w:pPr>
            <w:r/>
            <w:r>
              <w:rPr>
                <w:sz w:val="18"/>
              </w:rPr>
              <w:t>Statut</w:t>
            </w:r>
          </w:p>
        </w:tc>
        <w:tc>
          <w:tcPr>
            <w:tcW w:type="dxa" w:w="1587"/>
          </w:tcPr>
          <w:p>
            <w:pPr>
              <w:spacing w:after="40"/>
            </w:pPr>
            <w:r/>
            <w:r>
              <w:rPr>
                <w:sz w:val="18"/>
              </w:rPr>
              <w:t>Énumération : ACTIF, INACTIF, ARCHIVE</w:t>
            </w:r>
          </w:p>
        </w:tc>
        <w:tc>
          <w:tcPr>
            <w:tcW w:type="dxa" w:w="850"/>
          </w:tcPr>
          <w:p>
            <w:pPr>
              <w:spacing w:after="40"/>
            </w:pPr>
            <w:r/>
            <w:r>
              <w:rPr>
                <w:sz w:val="18"/>
              </w:rPr>
              <w:t>Oui</w:t>
            </w:r>
          </w:p>
        </w:tc>
        <w:tc>
          <w:tcPr>
            <w:tcW w:type="dxa" w:w="794"/>
          </w:tcPr>
          <w:p>
            <w:pPr>
              <w:spacing w:after="40"/>
            </w:pPr>
            <w:r/>
            <w:r>
              <w:rPr>
                <w:sz w:val="18"/>
              </w:rPr>
              <w:t>ACTIF</w:t>
            </w:r>
          </w:p>
        </w:tc>
        <w:tc>
          <w:tcPr>
            <w:tcW w:type="dxa" w:w="1247"/>
          </w:tcPr>
          <w:p>
            <w:pPr>
              <w:spacing w:after="40"/>
            </w:pPr>
            <w:r/>
            <w:r>
              <w:rPr>
                <w:sz w:val="18"/>
              </w:rPr>
              <w:t>Non</w:t>
            </w:r>
          </w:p>
        </w:tc>
        <w:tc>
          <w:tcPr>
            <w:tcW w:type="dxa" w:w="3685"/>
          </w:tcPr>
          <w:p>
            <w:pPr>
              <w:spacing w:after="40"/>
            </w:pPr>
            <w:r/>
            <w:r>
              <w:rPr>
                <w:sz w:val="18"/>
              </w:rPr>
              <w:t>Dit si le dossier est en service. Un espace archivé reste consultable dans le tableau mais disparaît de l'arbre.</w:t>
            </w:r>
          </w:p>
        </w:tc>
      </w:tr>
      <w:tr>
        <w:tc>
          <w:tcPr>
            <w:tcW w:type="dxa" w:w="1474"/>
          </w:tcPr>
          <w:p>
            <w:pPr>
              <w:spacing w:after="40"/>
            </w:pPr>
            <w:r/>
            <w:r>
              <w:rPr>
                <w:sz w:val="18"/>
              </w:rPr>
              <w:t>Propriétaire</w:t>
            </w:r>
          </w:p>
        </w:tc>
        <w:tc>
          <w:tcPr>
            <w:tcW w:type="dxa" w:w="1587"/>
          </w:tcPr>
          <w:p>
            <w:pPr>
              <w:spacing w:after="40"/>
            </w:pPr>
            <w:r/>
            <w:r>
              <w:rPr>
                <w:sz w:val="18"/>
              </w:rPr>
              <w:t>Référence vers un employé</w:t>
            </w:r>
          </w:p>
        </w:tc>
        <w:tc>
          <w:tcPr>
            <w:tcW w:type="dxa" w:w="850"/>
          </w:tcPr>
          <w:p>
            <w:pPr>
              <w:spacing w:after="40"/>
            </w:pPr>
            <w:r/>
            <w:r>
              <w:rPr>
                <w:sz w:val="18"/>
              </w:rPr>
              <w:t>Oui</w:t>
            </w:r>
          </w:p>
        </w:tc>
        <w:tc>
          <w:tcPr>
            <w:tcW w:type="dxa" w:w="794"/>
          </w:tcPr>
          <w:p>
            <w:pPr>
              <w:spacing w:after="40"/>
            </w:pPr>
            <w:r/>
            <w:r>
              <w:rPr>
                <w:sz w:val="18"/>
              </w:rPr>
              <w:t>—</w:t>
            </w:r>
          </w:p>
        </w:tc>
        <w:tc>
          <w:tcPr>
            <w:tcW w:type="dxa" w:w="1247"/>
          </w:tcPr>
          <w:p>
            <w:pPr>
              <w:spacing w:after="40"/>
            </w:pPr>
            <w:r/>
            <w:r>
              <w:rPr>
                <w:sz w:val="18"/>
              </w:rPr>
              <w:t>Non</w:t>
            </w:r>
          </w:p>
        </w:tc>
        <w:tc>
          <w:tcPr>
            <w:tcW w:type="dxa" w:w="3685"/>
          </w:tcPr>
          <w:p>
            <w:pPr>
              <w:spacing w:after="40"/>
            </w:pPr>
            <w:r/>
            <w:r>
              <w:rPr>
                <w:sz w:val="18"/>
              </w:rPr>
              <w:t>Responsable du dossier. Un dossier sans responsable serait orphelin : personne à qui s'adresser quand une question se pose sur son contenu.</w:t>
            </w:r>
          </w:p>
        </w:tc>
      </w:tr>
      <w:tr>
        <w:tc>
          <w:tcPr>
            <w:tcW w:type="dxa" w:w="1474"/>
          </w:tcPr>
          <w:p>
            <w:pPr>
              <w:spacing w:after="40"/>
            </w:pPr>
            <w:r/>
            <w:r>
              <w:rPr>
                <w:sz w:val="18"/>
              </w:rPr>
              <w:t>Dossier parent</w:t>
            </w:r>
          </w:p>
        </w:tc>
        <w:tc>
          <w:tcPr>
            <w:tcW w:type="dxa" w:w="1587"/>
          </w:tcPr>
          <w:p>
            <w:pPr>
              <w:spacing w:after="40"/>
            </w:pPr>
            <w:r/>
            <w:r>
              <w:rPr>
                <w:sz w:val="18"/>
              </w:rPr>
              <w:t>Référence vers un autre espace</w:t>
            </w:r>
          </w:p>
        </w:tc>
        <w:tc>
          <w:tcPr>
            <w:tcW w:type="dxa" w:w="850"/>
          </w:tcPr>
          <w:p>
            <w:pPr>
              <w:spacing w:after="40"/>
            </w:pPr>
            <w:r/>
            <w:r>
              <w:rPr>
                <w:sz w:val="18"/>
              </w:rPr>
              <w:t>Non</w:t>
            </w:r>
          </w:p>
        </w:tc>
        <w:tc>
          <w:tcPr>
            <w:tcW w:type="dxa" w:w="794"/>
          </w:tcPr>
          <w:p>
            <w:pPr>
              <w:spacing w:after="40"/>
            </w:pPr>
            <w:r/>
            <w:r>
              <w:rPr>
                <w:sz w:val="18"/>
              </w:rPr>
              <w:t>Vide (racine)</w:t>
            </w:r>
          </w:p>
        </w:tc>
        <w:tc>
          <w:tcPr>
            <w:tcW w:type="dxa" w:w="1247"/>
          </w:tcPr>
          <w:p>
            <w:pPr>
              <w:spacing w:after="40"/>
            </w:pPr>
            <w:r/>
            <w:r>
              <w:rPr>
                <w:sz w:val="18"/>
              </w:rPr>
              <w:t>Non</w:t>
            </w:r>
          </w:p>
        </w:tc>
        <w:tc>
          <w:tcPr>
            <w:tcW w:type="dxa" w:w="3685"/>
          </w:tcPr>
          <w:p>
            <w:pPr>
              <w:spacing w:after="40"/>
            </w:pPr>
            <w:r/>
            <w:r>
              <w:rPr>
                <w:sz w:val="18"/>
              </w:rPr>
              <w:t>Porte la hiérarchie. La valeur vide signifie « racine ».</w:t>
            </w:r>
          </w:p>
        </w:tc>
      </w:tr>
      <w:tr>
        <w:tc>
          <w:tcPr>
            <w:tcW w:type="dxa" w:w="1474"/>
          </w:tcPr>
          <w:p>
            <w:pPr>
              <w:spacing w:after="40"/>
            </w:pPr>
            <w:r/>
            <w:r>
              <w:rPr>
                <w:sz w:val="18"/>
              </w:rPr>
              <w:t>Règle de workflow</w:t>
            </w:r>
          </w:p>
        </w:tc>
        <w:tc>
          <w:tcPr>
            <w:tcW w:type="dxa" w:w="1587"/>
          </w:tcPr>
          <w:p>
            <w:pPr>
              <w:spacing w:after="40"/>
            </w:pPr>
            <w:r/>
            <w:r>
              <w:rPr>
                <w:sz w:val="18"/>
              </w:rPr>
              <w:t>Référence vers un circuit</w:t>
            </w:r>
          </w:p>
        </w:tc>
        <w:tc>
          <w:tcPr>
            <w:tcW w:type="dxa" w:w="850"/>
          </w:tcPr>
          <w:p>
            <w:pPr>
              <w:spacing w:after="40"/>
            </w:pPr>
            <w:r/>
            <w:r>
              <w:rPr>
                <w:sz w:val="18"/>
              </w:rPr>
              <w:t>Oui</w:t>
            </w:r>
          </w:p>
        </w:tc>
        <w:tc>
          <w:tcPr>
            <w:tcW w:type="dxa" w:w="794"/>
          </w:tcPr>
          <w:p>
            <w:pPr>
              <w:spacing w:after="40"/>
            </w:pPr>
            <w:r/>
            <w:r>
              <w:rPr>
                <w:sz w:val="18"/>
              </w:rPr>
              <w:t>—</w:t>
            </w:r>
          </w:p>
        </w:tc>
        <w:tc>
          <w:tcPr>
            <w:tcW w:type="dxa" w:w="1247"/>
          </w:tcPr>
          <w:p>
            <w:pPr>
              <w:spacing w:after="40"/>
            </w:pPr>
            <w:r/>
            <w:r>
              <w:rPr>
                <w:sz w:val="18"/>
              </w:rPr>
              <w:t>Non</w:t>
            </w:r>
          </w:p>
        </w:tc>
        <w:tc>
          <w:tcPr>
            <w:tcW w:type="dxa" w:w="3685"/>
          </w:tcPr>
          <w:p>
            <w:pPr>
              <w:spacing w:after="40"/>
            </w:pPr>
            <w:r/>
            <w:r>
              <w:rPr>
                <w:sz w:val="18"/>
              </w:rPr>
              <w:t>Circuit imposé aux documents déposés dans ce dossier. Sans lui, le dépôt produirait des documents que personne ne valide.</w:t>
            </w:r>
          </w:p>
        </w:tc>
      </w:tr>
      <w:tr>
        <w:tc>
          <w:tcPr>
            <w:tcW w:type="dxa" w:w="1474"/>
          </w:tcPr>
          <w:p>
            <w:pPr>
              <w:spacing w:after="40"/>
            </w:pPr>
            <w:r/>
            <w:r>
              <w:rPr>
                <w:sz w:val="18"/>
              </w:rPr>
              <w:t>Corbeille</w:t>
            </w:r>
          </w:p>
        </w:tc>
        <w:tc>
          <w:tcPr>
            <w:tcW w:type="dxa" w:w="1587"/>
          </w:tcPr>
          <w:p>
            <w:pPr>
              <w:spacing w:after="40"/>
            </w:pPr>
            <w:r/>
            <w:r>
              <w:rPr>
                <w:sz w:val="18"/>
              </w:rPr>
              <w:t>Booléen</w:t>
            </w:r>
          </w:p>
        </w:tc>
        <w:tc>
          <w:tcPr>
            <w:tcW w:type="dxa" w:w="850"/>
          </w:tcPr>
          <w:p>
            <w:pPr>
              <w:spacing w:after="40"/>
            </w:pPr>
            <w:r/>
            <w:r>
              <w:rPr>
                <w:sz w:val="18"/>
              </w:rPr>
              <w:t>Oui</w:t>
            </w:r>
          </w:p>
        </w:tc>
        <w:tc>
          <w:tcPr>
            <w:tcW w:type="dxa" w:w="794"/>
          </w:tcPr>
          <w:p>
            <w:pPr>
              <w:spacing w:after="40"/>
            </w:pPr>
            <w:r/>
            <w:r>
              <w:rPr>
                <w:sz w:val="18"/>
              </w:rPr>
              <w:t>Faux</w:t>
            </w:r>
          </w:p>
        </w:tc>
        <w:tc>
          <w:tcPr>
            <w:tcW w:type="dxa" w:w="1247"/>
          </w:tcPr>
          <w:p>
            <w:pPr>
              <w:spacing w:after="40"/>
            </w:pPr>
            <w:r/>
            <w:r>
              <w:rPr>
                <w:sz w:val="18"/>
              </w:rPr>
              <w:t>Non</w:t>
            </w:r>
          </w:p>
        </w:tc>
        <w:tc>
          <w:tcPr>
            <w:tcW w:type="dxa" w:w="3685"/>
          </w:tcPr>
          <w:p>
            <w:pPr>
              <w:spacing w:after="40"/>
            </w:pPr>
            <w:r/>
            <w:r>
              <w:rPr>
                <w:sz w:val="18"/>
              </w:rPr>
              <w:t>Suppression réversible. Filtre toutes les listes ; un index dédié existe pour cette colonne, présente dans la clause de filtrage de chaque écran.</w:t>
            </w:r>
          </w:p>
        </w:tc>
      </w:tr>
      <w:tr>
        <w:tc>
          <w:tcPr>
            <w:tcW w:type="dxa" w:w="1474"/>
          </w:tcPr>
          <w:p>
            <w:pPr>
              <w:spacing w:after="40"/>
            </w:pPr>
            <w:r/>
            <w:r>
              <w:rPr>
                <w:sz w:val="18"/>
              </w:rPr>
              <w:t>Date de création</w:t>
            </w:r>
          </w:p>
        </w:tc>
        <w:tc>
          <w:tcPr>
            <w:tcW w:type="dxa" w:w="1587"/>
          </w:tcPr>
          <w:p>
            <w:pPr>
              <w:spacing w:after="40"/>
            </w:pPr>
            <w:r/>
            <w:r>
              <w:rPr>
                <w:sz w:val="18"/>
              </w:rPr>
              <w:t>Horodatage</w:t>
            </w:r>
          </w:p>
        </w:tc>
        <w:tc>
          <w:tcPr>
            <w:tcW w:type="dxa" w:w="850"/>
          </w:tcPr>
          <w:p>
            <w:pPr>
              <w:spacing w:after="40"/>
            </w:pPr>
            <w:r/>
            <w:r>
              <w:rPr>
                <w:sz w:val="18"/>
              </w:rPr>
              <w:t>Non</w:t>
            </w:r>
          </w:p>
        </w:tc>
        <w:tc>
          <w:tcPr>
            <w:tcW w:type="dxa" w:w="794"/>
          </w:tcPr>
          <w:p>
            <w:pPr>
              <w:spacing w:after="40"/>
            </w:pPr>
            <w:r/>
            <w:r>
              <w:rPr>
                <w:sz w:val="18"/>
              </w:rPr>
              <w:t>Posée automatiquement</w:t>
            </w:r>
          </w:p>
        </w:tc>
        <w:tc>
          <w:tcPr>
            <w:tcW w:type="dxa" w:w="1247"/>
          </w:tcPr>
          <w:p>
            <w:pPr>
              <w:spacing w:after="40"/>
            </w:pPr>
            <w:r/>
            <w:r>
              <w:rPr>
                <w:sz w:val="18"/>
              </w:rPr>
              <w:t>Non</w:t>
            </w:r>
          </w:p>
        </w:tc>
        <w:tc>
          <w:tcPr>
            <w:tcW w:type="dxa" w:w="3685"/>
          </w:tcPr>
          <w:p>
            <w:pPr>
              <w:spacing w:after="40"/>
            </w:pPr>
            <w:r/>
            <w:r>
              <w:rPr>
                <w:sz w:val="18"/>
              </w:rPr>
              <w:t>Colonne d'audit renseignée par la couche de persistance. Non exposée par la réponse de l'espace de travail.</w:t>
            </w:r>
          </w:p>
        </w:tc>
      </w:tr>
      <w:tr>
        <w:tc>
          <w:tcPr>
            <w:tcW w:type="dxa" w:w="1474"/>
          </w:tcPr>
          <w:p>
            <w:pPr>
              <w:spacing w:after="40"/>
            </w:pPr>
            <w:r/>
            <w:r>
              <w:rPr>
                <w:sz w:val="18"/>
              </w:rPr>
              <w:t>Date de mise à jour</w:t>
            </w:r>
          </w:p>
        </w:tc>
        <w:tc>
          <w:tcPr>
            <w:tcW w:type="dxa" w:w="1587"/>
          </w:tcPr>
          <w:p>
            <w:pPr>
              <w:spacing w:after="40"/>
            </w:pPr>
            <w:r/>
            <w:r>
              <w:rPr>
                <w:sz w:val="18"/>
              </w:rPr>
              <w:t>Horodatage</w:t>
            </w:r>
          </w:p>
        </w:tc>
        <w:tc>
          <w:tcPr>
            <w:tcW w:type="dxa" w:w="850"/>
          </w:tcPr>
          <w:p>
            <w:pPr>
              <w:spacing w:after="40"/>
            </w:pPr>
            <w:r/>
            <w:r>
              <w:rPr>
                <w:sz w:val="18"/>
              </w:rPr>
              <w:t>Non</w:t>
            </w:r>
          </w:p>
        </w:tc>
        <w:tc>
          <w:tcPr>
            <w:tcW w:type="dxa" w:w="794"/>
          </w:tcPr>
          <w:p>
            <w:pPr>
              <w:spacing w:after="40"/>
            </w:pPr>
            <w:r/>
            <w:r>
              <w:rPr>
                <w:sz w:val="18"/>
              </w:rPr>
              <w:t>Posée automatiquement</w:t>
            </w:r>
          </w:p>
        </w:tc>
        <w:tc>
          <w:tcPr>
            <w:tcW w:type="dxa" w:w="1247"/>
          </w:tcPr>
          <w:p>
            <w:pPr>
              <w:spacing w:after="40"/>
            </w:pPr>
            <w:r/>
            <w:r>
              <w:rPr>
                <w:sz w:val="18"/>
              </w:rPr>
              <w:t>Non</w:t>
            </w:r>
          </w:p>
        </w:tc>
        <w:tc>
          <w:tcPr>
            <w:tcW w:type="dxa" w:w="3685"/>
          </w:tcPr>
          <w:p>
            <w:pPr>
              <w:spacing w:after="40"/>
            </w:pPr>
            <w:r/>
            <w:r>
              <w:rPr>
                <w:sz w:val="18"/>
              </w:rPr>
              <w:t>Idem.</w:t>
            </w:r>
          </w:p>
        </w:tc>
      </w:tr>
    </w:tbl>
    <w:p/>
    <w:p>
      <w:pPr>
        <w:pStyle w:val="Heading2"/>
      </w:pPr>
      <w:r>
        <w:t>2.1. Ce que la réponse ajoute sans le stocker</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1928"/>
          </w:tcPr>
          <w:p>
            <w:pPr>
              <w:spacing w:after="40"/>
            </w:pPr>
            <w:r/>
            <w:r>
              <w:rPr>
                <w:b/>
                <w:sz w:val="18"/>
              </w:rPr>
              <w:t>Valeur restituée</w:t>
            </w:r>
          </w:p>
        </w:tc>
        <w:tc>
          <w:tcPr>
            <w:tcW w:type="dxa" w:w="3061"/>
          </w:tcPr>
          <w:p>
            <w:pPr>
              <w:spacing w:after="40"/>
            </w:pPr>
            <w:r/>
            <w:r>
              <w:rPr>
                <w:b/>
                <w:sz w:val="18"/>
              </w:rPr>
              <w:t>Comment elle est produite</w:t>
            </w:r>
          </w:p>
        </w:tc>
        <w:tc>
          <w:tcPr>
            <w:tcW w:type="dxa" w:w="4082"/>
          </w:tcPr>
          <w:p>
            <w:pPr>
              <w:spacing w:after="40"/>
            </w:pPr>
            <w:r/>
            <w:r>
              <w:rPr>
                <w:b/>
                <w:sz w:val="18"/>
              </w:rPr>
              <w:t>Pourquoi elle est calculée et non stockée</w:t>
            </w:r>
          </w:p>
        </w:tc>
      </w:tr>
      <w:tr>
        <w:tc>
          <w:tcPr>
            <w:tcW w:type="dxa" w:w="1928"/>
          </w:tcPr>
          <w:p>
            <w:pPr>
              <w:spacing w:after="40"/>
            </w:pPr>
            <w:r/>
            <w:r>
              <w:rPr>
                <w:sz w:val="18"/>
              </w:rPr>
              <w:t>Nombre de sous-dossiers</w:t>
            </w:r>
          </w:p>
        </w:tc>
        <w:tc>
          <w:tcPr>
            <w:tcW w:type="dxa" w:w="3061"/>
          </w:tcPr>
          <w:p>
            <w:pPr>
              <w:spacing w:after="40"/>
            </w:pPr>
            <w:r/>
            <w:r>
              <w:rPr>
                <w:sz w:val="18"/>
              </w:rPr>
              <w:t>Comptage des espaces dont le parent est celui-ci et qui ne sont pas en corbeille.</w:t>
            </w:r>
          </w:p>
        </w:tc>
        <w:tc>
          <w:tcPr>
            <w:tcW w:type="dxa" w:w="4082"/>
          </w:tcPr>
          <w:p>
            <w:pPr>
              <w:spacing w:after="40"/>
            </w:pPr>
            <w:r/>
            <w:r>
              <w:rPr>
                <w:sz w:val="18"/>
              </w:rPr>
              <w:t>Un compteur stocké devrait être maintenu à chaque création, suppression, restauration et déplacement. Il finirait par diverger, et l'écran afficherait « 3 sous-dossiers » sur un nœud qui n'en montre que deux.</w:t>
            </w:r>
          </w:p>
        </w:tc>
      </w:tr>
      <w:tr>
        <w:tc>
          <w:tcPr>
            <w:tcW w:type="dxa" w:w="1928"/>
          </w:tcPr>
          <w:p>
            <w:pPr>
              <w:spacing w:after="40"/>
            </w:pPr>
            <w:r/>
            <w:r>
              <w:rPr>
                <w:sz w:val="18"/>
              </w:rPr>
              <w:t>Libellé du propriétaire, du parent et du circuit</w:t>
            </w:r>
          </w:p>
        </w:tc>
        <w:tc>
          <w:tcPr>
            <w:tcW w:type="dxa" w:w="3061"/>
          </w:tcPr>
          <w:p>
            <w:pPr>
              <w:spacing w:after="40"/>
            </w:pPr>
            <w:r/>
            <w:r>
              <w:rPr>
                <w:sz w:val="18"/>
              </w:rPr>
              <w:t>Résolution de la référence au moment de composer la réponse.</w:t>
            </w:r>
          </w:p>
        </w:tc>
        <w:tc>
          <w:tcPr>
            <w:tcW w:type="dxa" w:w="4082"/>
          </w:tcPr>
          <w:p>
            <w:pPr>
              <w:spacing w:after="40"/>
            </w:pPr>
            <w:r/>
            <w:r>
              <w:rPr>
                <w:sz w:val="18"/>
              </w:rPr>
              <w:t>Recopier le nom figerait l'affichage : renommer une personne ou un circuit laisserait l'ancien libellé sur les dossiers.</w:t>
            </w:r>
          </w:p>
        </w:tc>
      </w:tr>
      <w:tr>
        <w:tc>
          <w:tcPr>
            <w:tcW w:type="dxa" w:w="1928"/>
          </w:tcPr>
          <w:p>
            <w:pPr>
              <w:spacing w:after="40"/>
            </w:pPr>
            <w:r/>
            <w:r>
              <w:rPr>
                <w:sz w:val="18"/>
              </w:rPr>
              <w:t>Groupes d'accès couvrant le dossier</w:t>
            </w:r>
          </w:p>
        </w:tc>
        <w:tc>
          <w:tcPr>
            <w:tcW w:type="dxa" w:w="3061"/>
          </w:tcPr>
          <w:p>
            <w:pPr>
              <w:spacing w:after="40"/>
            </w:pPr>
            <w:r/>
            <w:r>
              <w:rPr>
                <w:sz w:val="18"/>
              </w:rPr>
              <w:t>Lecture du côté inverse de la table de rattachement.</w:t>
            </w:r>
          </w:p>
        </w:tc>
        <w:tc>
          <w:tcPr>
            <w:tcW w:type="dxa" w:w="4082"/>
          </w:tcPr>
          <w:p>
            <w:pPr>
              <w:spacing w:after="40"/>
            </w:pPr>
            <w:r/>
            <w:r>
              <w:rPr>
                <w:sz w:val="18"/>
              </w:rPr>
              <w:t>Sans cette relation, répondre à « quels groupes couvrent ce dossier ? » obligerait à parcourir tous les groupes.</w:t>
            </w:r>
          </w:p>
        </w:tc>
      </w:tr>
      <w:tr>
        <w:tc>
          <w:tcPr>
            <w:tcW w:type="dxa" w:w="1928"/>
          </w:tcPr>
          <w:p>
            <w:pPr>
              <w:spacing w:after="40"/>
            </w:pPr>
            <w:r/>
            <w:r>
              <w:rPr>
                <w:sz w:val="18"/>
              </w:rPr>
              <w:t>État de corbeille</w:t>
            </w:r>
          </w:p>
        </w:tc>
        <w:tc>
          <w:tcPr>
            <w:tcW w:type="dxa" w:w="3061"/>
          </w:tcPr>
          <w:p>
            <w:pPr>
              <w:spacing w:after="40"/>
            </w:pPr>
            <w:r/>
            <w:r>
              <w:rPr>
                <w:sz w:val="18"/>
              </w:rPr>
              <w:t>Recopie du drapeau.</w:t>
            </w:r>
          </w:p>
        </w:tc>
        <w:tc>
          <w:tcPr>
            <w:tcW w:type="dxa" w:w="4082"/>
          </w:tcPr>
          <w:p>
            <w:pPr>
              <w:spacing w:after="40"/>
            </w:pPr>
            <w:r/>
            <w:r>
              <w:rPr>
                <w:sz w:val="18"/>
              </w:rPr>
              <w:t>Le statut ne dit que ACTIF, INACTIF ou ARCHIVE. La fiche d'un espace supprimé annonçait donc « Statut : Actif » alors que plus aucune écriture n'y est acceptée. Les deux informations sont distinctes et doivent l'être toutes les deux.</w:t>
            </w:r>
          </w:p>
        </w:tc>
      </w:tr>
    </w:tbl>
    <w:p/>
    <w:p>
      <w:pPr>
        <w:pStyle w:val="Heading1"/>
      </w:pPr>
      <w:r>
        <w:t>3. Les relations</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1814"/>
          </w:tcPr>
          <w:p>
            <w:pPr>
              <w:spacing w:after="40"/>
            </w:pPr>
            <w:r/>
            <w:r>
              <w:rPr>
                <w:b/>
                <w:sz w:val="18"/>
              </w:rPr>
              <w:t>Relation</w:t>
            </w:r>
          </w:p>
        </w:tc>
        <w:tc>
          <w:tcPr>
            <w:tcW w:type="dxa" w:w="2608"/>
          </w:tcPr>
          <w:p>
            <w:pPr>
              <w:spacing w:after="40"/>
            </w:pPr>
            <w:r/>
            <w:r>
              <w:rPr>
                <w:b/>
                <w:sz w:val="18"/>
              </w:rPr>
              <w:t>Sens et cardinalité</w:t>
            </w:r>
          </w:p>
        </w:tc>
        <w:tc>
          <w:tcPr>
            <w:tcW w:type="dxa" w:w="4649"/>
          </w:tcPr>
          <w:p>
            <w:pPr>
              <w:spacing w:after="40"/>
            </w:pPr>
            <w:r/>
            <w:r>
              <w:rPr>
                <w:b/>
                <w:sz w:val="18"/>
              </w:rPr>
              <w:t>Ce qui se passe si l'objet lié disparaît</w:t>
            </w:r>
          </w:p>
        </w:tc>
      </w:tr>
      <w:tr>
        <w:tc>
          <w:tcPr>
            <w:tcW w:type="dxa" w:w="1814"/>
          </w:tcPr>
          <w:p>
            <w:pPr>
              <w:spacing w:after="40"/>
            </w:pPr>
            <w:r/>
            <w:r>
              <w:rPr>
                <w:sz w:val="18"/>
              </w:rPr>
              <w:t>Espace → Espace (parent)</w:t>
            </w:r>
          </w:p>
        </w:tc>
        <w:tc>
          <w:tcPr>
            <w:tcW w:type="dxa" w:w="2608"/>
          </w:tcPr>
          <w:p>
            <w:pPr>
              <w:spacing w:after="40"/>
            </w:pPr>
            <w:r/>
            <w:r>
              <w:rPr>
                <w:sz w:val="18"/>
              </w:rPr>
              <w:t>Auto-référence. Un espace a au plus un parent ; un parent a N enfants.</w:t>
            </w:r>
          </w:p>
        </w:tc>
        <w:tc>
          <w:tcPr>
            <w:tcW w:type="dxa" w:w="4649"/>
          </w:tcPr>
          <w:p>
            <w:pPr>
              <w:spacing w:after="40"/>
            </w:pPr>
            <w:r/>
            <w:r>
              <w:rPr>
                <w:sz w:val="18"/>
              </w:rPr>
              <w:t>La mise à la corbeille d'un parent ne touche pas ses enfants : leur référence reste valide, mais l'arbre ne trouve plus le parent et les promeut à la racine. Aucune suppression physique n'est possible tant qu'un enfant le désigne.</w:t>
            </w:r>
          </w:p>
        </w:tc>
      </w:tr>
      <w:tr>
        <w:tc>
          <w:tcPr>
            <w:tcW w:type="dxa" w:w="1814"/>
          </w:tcPr>
          <w:p>
            <w:pPr>
              <w:spacing w:after="40"/>
            </w:pPr>
            <w:r/>
            <w:r>
              <w:rPr>
                <w:sz w:val="18"/>
              </w:rPr>
              <w:t>Espace → Employé (propriétaire)</w:t>
            </w:r>
          </w:p>
        </w:tc>
        <w:tc>
          <w:tcPr>
            <w:tcW w:type="dxa" w:w="2608"/>
          </w:tcPr>
          <w:p>
            <w:pPr>
              <w:spacing w:after="40"/>
            </w:pPr>
            <w:r/>
            <w:r>
              <w:rPr>
                <w:sz w:val="18"/>
              </w:rPr>
              <w:t>Obligatoire. Un espace a un propriétaire ; un employé peut posséder N espaces.</w:t>
            </w:r>
          </w:p>
        </w:tc>
        <w:tc>
          <w:tcPr>
            <w:tcW w:type="dxa" w:w="4649"/>
          </w:tcPr>
          <w:p>
            <w:pPr>
              <w:spacing w:after="40"/>
            </w:pPr>
            <w:r/>
            <w:r>
              <w:rPr>
                <w:sz w:val="18"/>
              </w:rPr>
              <w:t>La clé étrangère interdit la suppression de l'employé. En pratique, un employé n'est jamais supprimé dans ce produit.</w:t>
            </w:r>
          </w:p>
        </w:tc>
      </w:tr>
      <w:tr>
        <w:tc>
          <w:tcPr>
            <w:tcW w:type="dxa" w:w="1814"/>
          </w:tcPr>
          <w:p>
            <w:pPr>
              <w:spacing w:after="40"/>
            </w:pPr>
            <w:r/>
            <w:r>
              <w:rPr>
                <w:sz w:val="18"/>
              </w:rPr>
              <w:t>Espace → Règle de workflow</w:t>
            </w:r>
          </w:p>
        </w:tc>
        <w:tc>
          <w:tcPr>
            <w:tcW w:type="dxa" w:w="2608"/>
          </w:tcPr>
          <w:p>
            <w:pPr>
              <w:spacing w:after="40"/>
            </w:pPr>
            <w:r/>
            <w:r>
              <w:rPr>
                <w:sz w:val="18"/>
              </w:rPr>
              <w:t>Obligatoire. Un espace a un circuit ; un circuit sert N espaces.</w:t>
            </w:r>
          </w:p>
        </w:tc>
        <w:tc>
          <w:tcPr>
            <w:tcW w:type="dxa" w:w="4649"/>
          </w:tcPr>
          <w:p>
            <w:pPr>
              <w:spacing w:after="40"/>
            </w:pPr>
            <w:r/>
            <w:r>
              <w:rPr>
                <w:sz w:val="18"/>
              </w:rPr>
              <w:t>La mise à la corbeille d'une règle ne détache pas les espaces qui l'utilisent, et n'interrompt aucun circuit déjà lancé. La référence reste valide et le dépôt continue de créer les étapes de cette règle.</w:t>
            </w:r>
          </w:p>
        </w:tc>
      </w:tr>
      <w:tr>
        <w:tc>
          <w:tcPr>
            <w:tcW w:type="dxa" w:w="1814"/>
          </w:tcPr>
          <w:p>
            <w:pPr>
              <w:spacing w:after="40"/>
            </w:pPr>
            <w:r/>
            <w:r>
              <w:rPr>
                <w:sz w:val="18"/>
              </w:rPr>
              <w:t>Espace → Groupes d'accès</w:t>
            </w:r>
          </w:p>
        </w:tc>
        <w:tc>
          <w:tcPr>
            <w:tcW w:type="dxa" w:w="2608"/>
          </w:tcPr>
          <w:p>
            <w:pPr>
              <w:spacing w:after="40"/>
            </w:pPr>
            <w:r/>
            <w:r>
              <w:rPr>
                <w:sz w:val="18"/>
              </w:rPr>
              <w:t>Plusieurs-à-plusieurs, via une table de rattachement. Côté inverse : c'est le groupe qui porte la relation.</w:t>
            </w:r>
          </w:p>
        </w:tc>
        <w:tc>
          <w:tcPr>
            <w:tcW w:type="dxa" w:w="4649"/>
          </w:tcPr>
          <w:p>
            <w:pPr>
              <w:spacing w:after="40"/>
            </w:pPr>
            <w:r/>
            <w:r>
              <w:rPr>
                <w:sz w:val="18"/>
              </w:rPr>
              <w:t>Supprimer un groupe ne touche pas les espaces ; seul le rattachement cesse d'être affiché. Le groupe n'accorde aucun droit.</w:t>
            </w:r>
          </w:p>
        </w:tc>
      </w:tr>
      <w:tr>
        <w:tc>
          <w:tcPr>
            <w:tcW w:type="dxa" w:w="1814"/>
          </w:tcPr>
          <w:p>
            <w:pPr>
              <w:spacing w:after="40"/>
            </w:pPr>
            <w:r/>
            <w:r>
              <w:rPr>
                <w:sz w:val="18"/>
              </w:rPr>
              <w:t>Type de document → Espace</w:t>
            </w:r>
          </w:p>
        </w:tc>
        <w:tc>
          <w:tcPr>
            <w:tcW w:type="dxa" w:w="2608"/>
          </w:tcPr>
          <w:p>
            <w:pPr>
              <w:spacing w:after="40"/>
            </w:pPr>
            <w:r/>
            <w:r>
              <w:rPr>
                <w:sz w:val="18"/>
              </w:rPr>
              <w:t>Obligatoire, dans ce sens. Un type pointe vers un espace.</w:t>
            </w:r>
          </w:p>
        </w:tc>
        <w:tc>
          <w:tcPr>
            <w:tcW w:type="dxa" w:w="4649"/>
          </w:tcPr>
          <w:p>
            <w:pPr>
              <w:spacing w:after="40"/>
            </w:pPr>
            <w:r/>
            <w:r>
              <w:rPr>
                <w:sz w:val="18"/>
              </w:rPr>
              <w:t>La mise à la corbeille d'un espace laisse les types en place, pointant vers un espace supprimé. Rien ne les bloque et rien ne le signale.</w:t>
            </w:r>
          </w:p>
        </w:tc>
      </w:tr>
      <w:tr>
        <w:tc>
          <w:tcPr>
            <w:tcW w:type="dxa" w:w="1814"/>
          </w:tcPr>
          <w:p>
            <w:pPr>
              <w:spacing w:after="40"/>
            </w:pPr>
            <w:r/>
            <w:r>
              <w:rPr>
                <w:sz w:val="18"/>
              </w:rPr>
              <w:t>Document → Espace</w:t>
            </w:r>
          </w:p>
        </w:tc>
        <w:tc>
          <w:tcPr>
            <w:tcW w:type="dxa" w:w="2608"/>
          </w:tcPr>
          <w:p>
            <w:pPr>
              <w:spacing w:after="40"/>
            </w:pPr>
            <w:r/>
            <w:r>
              <w:rPr>
                <w:sz w:val="18"/>
              </w:rPr>
              <w:t>Obligatoire, dans ce sens. Un document est rangé dans un espace.</w:t>
            </w:r>
          </w:p>
        </w:tc>
        <w:tc>
          <w:tcPr>
            <w:tcW w:type="dxa" w:w="4649"/>
          </w:tcPr>
          <w:p>
            <w:pPr>
              <w:spacing w:after="40"/>
            </w:pPr>
            <w:r/>
            <w:r>
              <w:rPr>
                <w:sz w:val="18"/>
              </w:rPr>
              <w:t>La mise à la corbeille d'un espace ne met pas ses documents à la corbeille : ils restent comptés dans les indicateurs et restent listés.</w:t>
            </w:r>
          </w:p>
        </w:tc>
      </w:tr>
    </w:tbl>
    <w:p/>
    <w:p>
      <w:pPr>
        <w:pStyle w:val="Heading2"/>
      </w:pPr>
      <w:r>
        <w:t>3.1. Schéma des relations</w:t>
      </w:r>
    </w:p>
    <w:p>
      <w:pPr>
        <w:spacing w:after="0" w:before="0" w:line="240" w:lineRule="auto"/>
      </w:pPr>
      <w:r>
        <w:rPr>
          <w:rFonts w:ascii="Consolas" w:hAnsi="Consolas" w:cs="Consolas"/>
          <w:sz w:val="18"/>
        </w:rPr>
        <w:t xml:space="preserve">                    +----------------+          +---------------------+</w:t>
      </w:r>
    </w:p>
    <w:p>
      <w:pPr>
        <w:spacing w:after="0" w:before="0" w:line="240" w:lineRule="auto"/>
      </w:pPr>
      <w:r>
        <w:rPr>
          <w:rFonts w:ascii="Consolas" w:hAnsi="Consolas" w:cs="Consolas"/>
          <w:sz w:val="18"/>
        </w:rPr>
        <w:t xml:space="preserve">                    |   employes     |          |    workflow_ged     |</w:t>
      </w:r>
    </w:p>
    <w:p>
      <w:pPr>
        <w:spacing w:after="0" w:before="0" w:line="240" w:lineRule="auto"/>
      </w:pPr>
      <w:r>
        <w:rPr>
          <w:rFonts w:ascii="Consolas" w:hAnsi="Consolas" w:cs="Consolas"/>
          <w:sz w:val="18"/>
        </w:rPr>
        <w:t xml:space="preserve">                    +--------+-------+          +----------+----------+</w:t>
      </w:r>
    </w:p>
    <w:p>
      <w:pPr>
        <w:spacing w:after="0" w:before="0" w:line="240" w:lineRule="auto"/>
      </w:pPr>
      <w:r>
        <w:rPr>
          <w:rFonts w:ascii="Consolas" w:hAnsi="Consolas" w:cs="Consolas"/>
          <w:sz w:val="18"/>
        </w:rPr>
        <w:t xml:space="preserve">                             |  proprietaire               |  circuit</w:t>
      </w:r>
    </w:p>
    <w:p>
      <w:pPr>
        <w:spacing w:after="0" w:before="0" w:line="240" w:lineRule="auto"/>
      </w:pPr>
      <w:r>
        <w:rPr>
          <w:rFonts w:ascii="Consolas" w:hAnsi="Consolas" w:cs="Consolas"/>
          <w:sz w:val="18"/>
        </w:rPr>
        <w:t xml:space="preserve">                             |  (obligatoire)              |  (obligatoire)</w:t>
      </w:r>
    </w:p>
    <w:p>
      <w:pPr>
        <w:spacing w:after="0" w:before="0" w:line="240" w:lineRule="auto"/>
      </w:pPr>
      <w:r>
        <w:rPr>
          <w:rFonts w:ascii="Consolas" w:hAnsi="Consolas" w:cs="Consolas"/>
          <w:sz w:val="18"/>
        </w:rPr>
        <w:t xml:space="preserve">                             v                             v</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parent      |                 work_spaces                   |</w:t>
      </w:r>
    </w:p>
    <w:p>
      <w:pPr>
        <w:spacing w:after="0" w:before="0" w:line="240" w:lineRule="auto"/>
      </w:pPr>
      <w:r>
        <w:rPr>
          <w:rFonts w:ascii="Consolas" w:hAnsi="Consolas" w:cs="Consolas"/>
          <w:sz w:val="18"/>
        </w:rPr>
        <w:t xml:space="preserve">   +------------&gt;|-----------------------------------------------|</w:t>
      </w:r>
    </w:p>
    <w:p>
      <w:pPr>
        <w:spacing w:after="0" w:before="0" w:line="240" w:lineRule="auto"/>
      </w:pPr>
      <w:r>
        <w:rPr>
          <w:rFonts w:ascii="Consolas" w:hAnsi="Consolas" w:cs="Consolas"/>
          <w:sz w:val="18"/>
        </w:rPr>
        <w:t xml:space="preserve">   |  (facult.)  | id, code (unique), name, description           |</w:t>
      </w:r>
    </w:p>
    <w:p>
      <w:pPr>
        <w:spacing w:after="0" w:before="0" w:line="240" w:lineRule="auto"/>
      </w:pPr>
      <w:r>
        <w:rPr>
          <w:rFonts w:ascii="Consolas" w:hAnsi="Consolas" w:cs="Consolas"/>
          <w:sz w:val="18"/>
        </w:rPr>
        <w:t xml:space="preserve">   +-------------| status (ACTIF|INACTIF|ARCHIVE), deleted        |</w:t>
      </w:r>
    </w:p>
    <w:p>
      <w:pPr>
        <w:spacing w:after="0" w:before="0" w:line="240" w:lineRule="auto"/>
      </w:pPr>
      <w:r>
        <w:rPr>
          <w:rFonts w:ascii="Consolas" w:hAnsi="Consolas" w:cs="Consolas"/>
          <w:sz w:val="18"/>
        </w:rPr>
        <w:t xml:space="preserve">                 | employe_id (FK), workflow_ged_id (FK)          |</w:t>
      </w:r>
    </w:p>
    <w:p>
      <w:pPr>
        <w:spacing w:after="0" w:before="0" w:line="240" w:lineRule="auto"/>
      </w:pPr>
      <w:r>
        <w:rPr>
          <w:rFonts w:ascii="Consolas" w:hAnsi="Consolas" w:cs="Consolas"/>
          <w:sz w:val="18"/>
        </w:rPr>
        <w:t xml:space="preserve">                 | parent_workspace_id (FK, auto-reference)       |</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                     |              |</w:t>
      </w:r>
    </w:p>
    <w:p>
      <w:pPr>
        <w:spacing w:after="0" w:before="0" w:line="240" w:lineRule="auto"/>
      </w:pPr>
      <w:r>
        <w:rPr>
          <w:rFonts w:ascii="Consolas" w:hAnsi="Consolas" w:cs="Consolas"/>
          <w:sz w:val="18"/>
        </w:rPr>
        <w:t xml:space="preserve">        1..N          |         1..N        |      N..N    |</w:t>
      </w:r>
    </w:p>
    <w:p>
      <w:pPr>
        <w:spacing w:after="0" w:before="0" w:line="240" w:lineRule="auto"/>
      </w:pPr>
      <w:r>
        <w:rPr>
          <w:rFonts w:ascii="Consolas" w:hAnsi="Consolas" w:cs="Consolas"/>
          <w:sz w:val="18"/>
        </w:rPr>
        <w:t xml:space="preserve">                      v                     v              v</w:t>
      </w:r>
    </w:p>
    <w:p>
      <w:pPr>
        <w:spacing w:after="0" w:before="0" w:line="240" w:lineRule="auto"/>
      </w:pPr>
      <w:r>
        <w:rPr>
          <w:rFonts w:ascii="Consolas" w:hAnsi="Consolas" w:cs="Consolas"/>
          <w:sz w:val="18"/>
        </w:rPr>
        <w:t xml:space="preserve">         +---------------------+  +----------------+  +---------------------+</w:t>
      </w:r>
    </w:p>
    <w:p>
      <w:pPr>
        <w:spacing w:after="0" w:before="0" w:line="240" w:lineRule="auto"/>
      </w:pPr>
      <w:r>
        <w:rPr>
          <w:rFonts w:ascii="Consolas" w:hAnsi="Consolas" w:cs="Consolas"/>
          <w:sz w:val="18"/>
        </w:rPr>
        <w:t xml:space="preserve">         |  type_de_documents  |  | documents_file |  | pivot_workspace_    |</w:t>
      </w:r>
    </w:p>
    <w:p>
      <w:pPr>
        <w:spacing w:after="0" w:before="0" w:line="240" w:lineRule="auto"/>
      </w:pPr>
      <w:r>
        <w:rPr>
          <w:rFonts w:ascii="Consolas" w:hAnsi="Consolas" w:cs="Consolas"/>
          <w:sz w:val="18"/>
        </w:rPr>
        <w:t xml:space="preserve">         |  (workspace_id NN)  |  | (workspace_id  |  | groups              |</w:t>
      </w:r>
    </w:p>
    <w:p>
      <w:pPr>
        <w:spacing w:after="0" w:before="0" w:line="240" w:lineRule="auto"/>
      </w:pPr>
      <w:r>
        <w:rPr>
          <w:rFonts w:ascii="Consolas" w:hAnsi="Consolas" w:cs="Consolas"/>
          <w:sz w:val="18"/>
        </w:rPr>
        <w:t xml:space="preserve">         |                     |  |  NN)           |  | -&gt; access_groups    |</w:t>
      </w:r>
    </w:p>
    <w:p>
      <w:pPr>
        <w:spacing w:after="0" w:before="0" w:line="240" w:lineRule="auto"/>
      </w:pPr>
      <w:r>
        <w:rPr>
          <w:rFonts w:ascii="Consolas" w:hAnsi="Consolas" w:cs="Consolas"/>
          <w:sz w:val="18"/>
        </w:rPr>
        <w:t xml:space="preserve">         +---------------------+  +----------------+  +---------------------+</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Aucune de ces cles etrangeres n'est en suppression cascade.</w:t>
      </w:r>
    </w:p>
    <w:p>
      <w:pPr>
        <w:spacing w:after="0" w:before="0" w:line="240" w:lineRule="auto"/>
      </w:pPr>
      <w:r>
        <w:rPr>
          <w:rFonts w:ascii="Consolas" w:hAnsi="Consolas" w:cs="Consolas"/>
          <w:sz w:val="18"/>
        </w:rPr>
        <w:t xml:space="preserve">  Toutes les "suppressions" de l'application sont des marquages</w:t>
      </w:r>
    </w:p>
    <w:p>
      <w:pPr>
        <w:spacing w:after="0" w:before="0" w:line="240" w:lineRule="auto"/>
      </w:pPr>
      <w:r>
        <w:rPr>
          <w:rFonts w:ascii="Consolas" w:hAnsi="Consolas" w:cs="Consolas"/>
          <w:sz w:val="18"/>
        </w:rPr>
        <w:t xml:space="preserve">  reversibles : la ligne reste, la colonne deleted passe a vrai.</w:t>
      </w:r>
    </w:p>
    <w:p/>
    <w:p>
      <w:pPr>
        <w:pStyle w:val="Heading1"/>
      </w:pPr>
      <w:r>
        <w:t>4. Les opérations disponibles</w:t>
      </w:r>
    </w:p>
    <w:p>
      <w:r>
        <w:rPr>
          <w:b w:val="0"/>
          <w:i w:val="0"/>
        </w:rPr>
        <w:t>Toutes les opérations sont regroupées sous « /api/v1/workspaces ».</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2041"/>
          </w:tcPr>
          <w:p>
            <w:pPr>
              <w:spacing w:after="40"/>
            </w:pPr>
            <w:r/>
            <w:r>
              <w:rPr>
                <w:b/>
                <w:sz w:val="18"/>
              </w:rPr>
              <w:t>Opération</w:t>
            </w:r>
          </w:p>
        </w:tc>
        <w:tc>
          <w:tcPr>
            <w:tcW w:type="dxa" w:w="1701"/>
          </w:tcPr>
          <w:p>
            <w:pPr>
              <w:spacing w:after="40"/>
            </w:pPr>
            <w:r/>
            <w:r>
              <w:rPr>
                <w:b/>
                <w:sz w:val="18"/>
              </w:rPr>
              <w:t>Ce qu'elle fait</w:t>
            </w:r>
          </w:p>
        </w:tc>
        <w:tc>
          <w:tcPr>
            <w:tcW w:type="dxa" w:w="1928"/>
          </w:tcPr>
          <w:p>
            <w:pPr>
              <w:spacing w:after="40"/>
            </w:pPr>
            <w:r/>
            <w:r>
              <w:rPr>
                <w:b/>
                <w:sz w:val="18"/>
              </w:rPr>
              <w:t>Ce qu'elle exige</w:t>
            </w:r>
          </w:p>
        </w:tc>
        <w:tc>
          <w:tcPr>
            <w:tcW w:type="dxa" w:w="1701"/>
          </w:tcPr>
          <w:p>
            <w:pPr>
              <w:spacing w:after="40"/>
            </w:pPr>
            <w:r/>
            <w:r>
              <w:rPr>
                <w:b/>
                <w:sz w:val="18"/>
              </w:rPr>
              <w:t>Ce qu'elle renvoie</w:t>
            </w:r>
          </w:p>
        </w:tc>
        <w:tc>
          <w:tcPr>
            <w:tcW w:type="dxa" w:w="2154"/>
          </w:tcPr>
          <w:p>
            <w:pPr>
              <w:spacing w:after="40"/>
            </w:pPr>
            <w:r/>
            <w:r>
              <w:rPr>
                <w:b/>
                <w:sz w:val="18"/>
              </w:rPr>
              <w:t>Ce qu'elle refuse</w:t>
            </w:r>
          </w:p>
        </w:tc>
      </w:tr>
      <w:tr>
        <w:tc>
          <w:tcPr>
            <w:tcW w:type="dxa" w:w="2041"/>
          </w:tcPr>
          <w:p>
            <w:pPr>
              <w:spacing w:after="40"/>
            </w:pPr>
            <w:r/>
            <w:r>
              <w:rPr>
                <w:sz w:val="18"/>
              </w:rPr>
              <w:t>GET /api/v1/workspaces</w:t>
            </w:r>
          </w:p>
        </w:tc>
        <w:tc>
          <w:tcPr>
            <w:tcW w:type="dxa" w:w="1701"/>
          </w:tcPr>
          <w:p>
            <w:pPr>
              <w:spacing w:after="40"/>
            </w:pPr>
            <w:r/>
            <w:r>
              <w:rPr>
                <w:sz w:val="18"/>
              </w:rPr>
              <w:t>Liste les espaces vivants.</w:t>
            </w:r>
          </w:p>
        </w:tc>
        <w:tc>
          <w:tcPr>
            <w:tcW w:type="dxa" w:w="1928"/>
          </w:tcPr>
          <w:p>
            <w:pPr>
              <w:spacing w:after="40"/>
            </w:pPr>
            <w:r/>
            <w:r>
              <w:rPr>
                <w:sz w:val="18"/>
              </w:rPr>
              <w:t>Paramètres facultatifs : page (0 par défaut), size (10), search (vide), sortBy (vide), sortDir (« desc »). La recherche porte sur le nom, sans distinction de casse.</w:t>
            </w:r>
          </w:p>
        </w:tc>
        <w:tc>
          <w:tcPr>
            <w:tcW w:type="dxa" w:w="1701"/>
          </w:tcPr>
          <w:p>
            <w:pPr>
              <w:spacing w:after="40"/>
            </w:pPr>
            <w:r/>
            <w:r>
              <w:rPr>
                <w:sz w:val="18"/>
              </w:rPr>
              <w:t>200 avec le contenu, le total, la page, la taille et le nombre de pages.</w:t>
            </w:r>
          </w:p>
        </w:tc>
        <w:tc>
          <w:tcPr>
            <w:tcW w:type="dxa" w:w="2154"/>
          </w:tcPr>
          <w:p>
            <w:pPr>
              <w:spacing w:after="40"/>
            </w:pPr>
            <w:r/>
            <w:r>
              <w:rPr>
                <w:sz w:val="18"/>
              </w:rPr>
              <w:t>400 si le numéro de page est négatif ou produit un décalage hors limites. Une colonne de tri non autorisée n'est pas refusée : elle est ignorée.</w:t>
            </w:r>
          </w:p>
        </w:tc>
      </w:tr>
      <w:tr>
        <w:tc>
          <w:tcPr>
            <w:tcW w:type="dxa" w:w="2041"/>
          </w:tcPr>
          <w:p>
            <w:pPr>
              <w:spacing w:after="40"/>
            </w:pPr>
            <w:r/>
            <w:r>
              <w:rPr>
                <w:sz w:val="18"/>
              </w:rPr>
              <w:t>GET /api/v1/workspaces/trashed</w:t>
            </w:r>
          </w:p>
        </w:tc>
        <w:tc>
          <w:tcPr>
            <w:tcW w:type="dxa" w:w="1701"/>
          </w:tcPr>
          <w:p>
            <w:pPr>
              <w:spacing w:after="40"/>
            </w:pPr>
            <w:r/>
            <w:r>
              <w:rPr>
                <w:sz w:val="18"/>
              </w:rPr>
              <w:t>Liste les espaces en corbeille.</w:t>
            </w:r>
          </w:p>
        </w:tc>
        <w:tc>
          <w:tcPr>
            <w:tcW w:type="dxa" w:w="1928"/>
          </w:tcPr>
          <w:p>
            <w:pPr>
              <w:spacing w:after="40"/>
            </w:pPr>
            <w:r/>
            <w:r>
              <w:rPr>
                <w:sz w:val="18"/>
              </w:rPr>
              <w:t>Mêmes paramètres.</w:t>
            </w:r>
          </w:p>
        </w:tc>
        <w:tc>
          <w:tcPr>
            <w:tcW w:type="dxa" w:w="1701"/>
          </w:tcPr>
          <w:p>
            <w:pPr>
              <w:spacing w:after="40"/>
            </w:pPr>
            <w:r/>
            <w:r>
              <w:rPr>
                <w:sz w:val="18"/>
              </w:rPr>
              <w:t>200, même enveloppe.</w:t>
            </w:r>
          </w:p>
        </w:tc>
        <w:tc>
          <w:tcPr>
            <w:tcW w:type="dxa" w:w="2154"/>
          </w:tcPr>
          <w:p>
            <w:pPr>
              <w:spacing w:after="40"/>
            </w:pPr>
            <w:r/>
            <w:r>
              <w:rPr>
                <w:sz w:val="18"/>
              </w:rPr>
              <w:t>Idem.</w:t>
            </w:r>
          </w:p>
        </w:tc>
      </w:tr>
      <w:tr>
        <w:tc>
          <w:tcPr>
            <w:tcW w:type="dxa" w:w="2041"/>
          </w:tcPr>
          <w:p>
            <w:pPr>
              <w:spacing w:after="40"/>
            </w:pPr>
            <w:r/>
            <w:r>
              <w:rPr>
                <w:sz w:val="18"/>
              </w:rPr>
              <w:t>GET /api/v1/workspaces/tree</w:t>
            </w:r>
          </w:p>
        </w:tc>
        <w:tc>
          <w:tcPr>
            <w:tcW w:type="dxa" w:w="1701"/>
          </w:tcPr>
          <w:p>
            <w:pPr>
              <w:spacing w:after="40"/>
            </w:pPr>
            <w:r/>
            <w:r>
              <w:rPr>
                <w:sz w:val="18"/>
              </w:rPr>
              <w:t>Construit la forêt des dossiers.</w:t>
            </w:r>
          </w:p>
        </w:tc>
        <w:tc>
          <w:tcPr>
            <w:tcW w:type="dxa" w:w="1928"/>
          </w:tcPr>
          <w:p>
            <w:pPr>
              <w:spacing w:after="40"/>
            </w:pPr>
            <w:r/>
            <w:r>
              <w:rPr>
                <w:sz w:val="18"/>
              </w:rPr>
              <w:t>Aucun paramètre.</w:t>
            </w:r>
          </w:p>
        </w:tc>
        <w:tc>
          <w:tcPr>
            <w:tcW w:type="dxa" w:w="1701"/>
          </w:tcPr>
          <w:p>
            <w:pPr>
              <w:spacing w:after="40"/>
            </w:pPr>
            <w:r/>
            <w:r>
              <w:rPr>
                <w:sz w:val="18"/>
              </w:rPr>
              <w:t>200 avec une liste de nœuds racines, chacun portant identifiant, nom, statut, identifiant du parent et enfants imbriqués.</w:t>
            </w:r>
          </w:p>
        </w:tc>
        <w:tc>
          <w:tcPr>
            <w:tcW w:type="dxa" w:w="2154"/>
          </w:tcPr>
          <w:p>
            <w:pPr>
              <w:spacing w:after="40"/>
            </w:pPr>
            <w:r/>
            <w:r>
              <w:rPr>
                <w:sz w:val="18"/>
              </w:rPr>
              <w:t>Rien : la réponse est une liste, éventuellement vide.</w:t>
            </w:r>
          </w:p>
        </w:tc>
      </w:tr>
      <w:tr>
        <w:tc>
          <w:tcPr>
            <w:tcW w:type="dxa" w:w="2041"/>
          </w:tcPr>
          <w:p>
            <w:pPr>
              <w:spacing w:after="40"/>
            </w:pPr>
            <w:r/>
            <w:r>
              <w:rPr>
                <w:sz w:val="18"/>
              </w:rPr>
              <w:t>GET /api/v1/workspaces/for-select</w:t>
            </w:r>
          </w:p>
        </w:tc>
        <w:tc>
          <w:tcPr>
            <w:tcW w:type="dxa" w:w="1701"/>
          </w:tcPr>
          <w:p>
            <w:pPr>
              <w:spacing w:after="40"/>
            </w:pPr>
            <w:r/>
            <w:r>
              <w:rPr>
                <w:sz w:val="18"/>
              </w:rPr>
              <w:t>Liste allégée pour les sélecteurs.</w:t>
            </w:r>
          </w:p>
        </w:tc>
        <w:tc>
          <w:tcPr>
            <w:tcW w:type="dxa" w:w="1928"/>
          </w:tcPr>
          <w:p>
            <w:pPr>
              <w:spacing w:after="40"/>
            </w:pPr>
            <w:r/>
            <w:r>
              <w:rPr>
                <w:sz w:val="18"/>
              </w:rPr>
              <w:t>Aucun paramètre.</w:t>
            </w:r>
          </w:p>
        </w:tc>
        <w:tc>
          <w:tcPr>
            <w:tcW w:type="dxa" w:w="1701"/>
          </w:tcPr>
          <w:p>
            <w:pPr>
              <w:spacing w:after="40"/>
            </w:pPr>
            <w:r/>
            <w:r>
              <w:rPr>
                <w:sz w:val="18"/>
              </w:rPr>
              <w:t>200 avec une liste de couples identifiant / nom, dans l'ordre des identifiants.</w:t>
            </w:r>
          </w:p>
        </w:tc>
        <w:tc>
          <w:tcPr>
            <w:tcW w:type="dxa" w:w="2154"/>
          </w:tcPr>
          <w:p>
            <w:pPr>
              <w:spacing w:after="40"/>
            </w:pPr>
            <w:r/>
            <w:r>
              <w:rPr>
                <w:sz w:val="18"/>
              </w:rPr>
              <w:t>Rien.</w:t>
            </w:r>
          </w:p>
        </w:tc>
      </w:tr>
      <w:tr>
        <w:tc>
          <w:tcPr>
            <w:tcW w:type="dxa" w:w="2041"/>
          </w:tcPr>
          <w:p>
            <w:pPr>
              <w:spacing w:after="40"/>
            </w:pPr>
            <w:r/>
            <w:r>
              <w:rPr>
                <w:sz w:val="18"/>
              </w:rPr>
              <w:t>GET /api/v1/workspaces/{id}</w:t>
            </w:r>
          </w:p>
        </w:tc>
        <w:tc>
          <w:tcPr>
            <w:tcW w:type="dxa" w:w="1701"/>
          </w:tcPr>
          <w:p>
            <w:pPr>
              <w:spacing w:after="40"/>
            </w:pPr>
            <w:r/>
            <w:r>
              <w:rPr>
                <w:sz w:val="18"/>
              </w:rPr>
              <w:t>Détail d'un espace, y compris s'il est en corbeille.</w:t>
            </w:r>
          </w:p>
        </w:tc>
        <w:tc>
          <w:tcPr>
            <w:tcW w:type="dxa" w:w="1928"/>
          </w:tcPr>
          <w:p>
            <w:pPr>
              <w:spacing w:after="40"/>
            </w:pPr>
            <w:r/>
            <w:r>
              <w:rPr>
                <w:sz w:val="18"/>
              </w:rPr>
              <w:t>Un identifiant.</w:t>
            </w:r>
          </w:p>
        </w:tc>
        <w:tc>
          <w:tcPr>
            <w:tcW w:type="dxa" w:w="1701"/>
          </w:tcPr>
          <w:p>
            <w:pPr>
              <w:spacing w:after="40"/>
            </w:pPr>
            <w:r/>
            <w:r>
              <w:rPr>
                <w:sz w:val="18"/>
              </w:rPr>
              <w:t>200 avec la fiche complète.</w:t>
            </w:r>
          </w:p>
        </w:tc>
        <w:tc>
          <w:tcPr>
            <w:tcW w:type="dxa" w:w="2154"/>
          </w:tcPr>
          <w:p>
            <w:pPr>
              <w:spacing w:after="40"/>
            </w:pPr>
            <w:r/>
            <w:r>
              <w:rPr>
                <w:sz w:val="18"/>
              </w:rPr>
              <w:t>404 si l'espace n'existe pas.</w:t>
            </w:r>
          </w:p>
        </w:tc>
      </w:tr>
      <w:tr>
        <w:tc>
          <w:tcPr>
            <w:tcW w:type="dxa" w:w="2041"/>
          </w:tcPr>
          <w:p>
            <w:pPr>
              <w:spacing w:after="40"/>
            </w:pPr>
            <w:r/>
            <w:r>
              <w:rPr>
                <w:sz w:val="18"/>
              </w:rPr>
              <w:t>POST /api/v1/workspaces</w:t>
            </w:r>
          </w:p>
        </w:tc>
        <w:tc>
          <w:tcPr>
            <w:tcW w:type="dxa" w:w="1701"/>
          </w:tcPr>
          <w:p>
            <w:pPr>
              <w:spacing w:after="40"/>
            </w:pPr>
            <w:r/>
            <w:r>
              <w:rPr>
                <w:sz w:val="18"/>
              </w:rPr>
              <w:t>Crée un espace.</w:t>
            </w:r>
          </w:p>
        </w:tc>
        <w:tc>
          <w:tcPr>
            <w:tcW w:type="dxa" w:w="1928"/>
          </w:tcPr>
          <w:p>
            <w:pPr>
              <w:spacing w:after="40"/>
            </w:pPr>
            <w:r/>
            <w:r>
              <w:rPr>
                <w:sz w:val="18"/>
              </w:rPr>
              <w:t>Nom, code, propriétaire et circuit obligatoires ; description, parent et statut facultatifs.</w:t>
            </w:r>
          </w:p>
        </w:tc>
        <w:tc>
          <w:tcPr>
            <w:tcW w:type="dxa" w:w="1701"/>
          </w:tcPr>
          <w:p>
            <w:pPr>
              <w:spacing w:after="40"/>
            </w:pPr>
            <w:r/>
            <w:r>
              <w:rPr>
                <w:sz w:val="18"/>
              </w:rPr>
              <w:t>201 avec la fiche créée.</w:t>
            </w:r>
          </w:p>
        </w:tc>
        <w:tc>
          <w:tcPr>
            <w:tcW w:type="dxa" w:w="2154"/>
          </w:tcPr>
          <w:p>
            <w:pPr>
              <w:spacing w:after="40"/>
            </w:pPr>
            <w:r/>
            <w:r>
              <w:rPr>
                <w:sz w:val="18"/>
              </w:rPr>
              <w:t>400 si un champ obligatoire manque, si le code est déjà pris, ou si une valeur dépasse la longueur de sa colonne ; 404 si le propriétaire, le circuit ou le parent désigné n'existe pas.</w:t>
            </w:r>
          </w:p>
        </w:tc>
      </w:tr>
      <w:tr>
        <w:tc>
          <w:tcPr>
            <w:tcW w:type="dxa" w:w="2041"/>
          </w:tcPr>
          <w:p>
            <w:pPr>
              <w:spacing w:after="40"/>
            </w:pPr>
            <w:r/>
            <w:r>
              <w:rPr>
                <w:sz w:val="18"/>
              </w:rPr>
              <w:t>PUT /api/v1/workspaces/{id}</w:t>
            </w:r>
          </w:p>
        </w:tc>
        <w:tc>
          <w:tcPr>
            <w:tcW w:type="dxa" w:w="1701"/>
          </w:tcPr>
          <w:p>
            <w:pPr>
              <w:spacing w:after="40"/>
            </w:pPr>
            <w:r/>
            <w:r>
              <w:rPr>
                <w:sz w:val="18"/>
              </w:rPr>
              <w:t>Remplace l'intégralité de la fiche.</w:t>
            </w:r>
          </w:p>
        </w:tc>
        <w:tc>
          <w:tcPr>
            <w:tcW w:type="dxa" w:w="1928"/>
          </w:tcPr>
          <w:p>
            <w:pPr>
              <w:spacing w:after="40"/>
            </w:pPr>
            <w:r/>
            <w:r>
              <w:rPr>
                <w:sz w:val="18"/>
              </w:rPr>
              <w:t>Le même corps qu'à la création. Tous les champs facultatifs omis sont remis à vide : ce n'est pas une modification partielle.</w:t>
            </w:r>
          </w:p>
        </w:tc>
        <w:tc>
          <w:tcPr>
            <w:tcW w:type="dxa" w:w="1701"/>
          </w:tcPr>
          <w:p>
            <w:pPr>
              <w:spacing w:after="40"/>
            </w:pPr>
            <w:r/>
            <w:r>
              <w:rPr>
                <w:sz w:val="18"/>
              </w:rPr>
              <w:t>200 avec la fiche modifiée.</w:t>
            </w:r>
          </w:p>
        </w:tc>
        <w:tc>
          <w:tcPr>
            <w:tcW w:type="dxa" w:w="2154"/>
          </w:tcPr>
          <w:p>
            <w:pPr>
              <w:spacing w:after="40"/>
            </w:pPr>
            <w:r/>
            <w:r>
              <w:rPr>
                <w:sz w:val="18"/>
              </w:rPr>
              <w:t>400 si un champ obligatoire manque, si le code est pris par un autre espace, ou si l'espace est en corbeille ; 404 si l'espace ou une référence n'existe pas.</w:t>
            </w:r>
          </w:p>
        </w:tc>
      </w:tr>
      <w:tr>
        <w:tc>
          <w:tcPr>
            <w:tcW w:type="dxa" w:w="2041"/>
          </w:tcPr>
          <w:p>
            <w:pPr>
              <w:spacing w:after="40"/>
            </w:pPr>
            <w:r/>
            <w:r>
              <w:rPr>
                <w:sz w:val="18"/>
              </w:rPr>
              <w:t>DELETE /api/v1/workspaces/{id}</w:t>
            </w:r>
          </w:p>
        </w:tc>
        <w:tc>
          <w:tcPr>
            <w:tcW w:type="dxa" w:w="1701"/>
          </w:tcPr>
          <w:p>
            <w:pPr>
              <w:spacing w:after="40"/>
            </w:pPr>
            <w:r/>
            <w:r>
              <w:rPr>
                <w:sz w:val="18"/>
              </w:rPr>
              <w:t>Met l'espace à la corbeille.</w:t>
            </w:r>
          </w:p>
        </w:tc>
        <w:tc>
          <w:tcPr>
            <w:tcW w:type="dxa" w:w="1928"/>
          </w:tcPr>
          <w:p>
            <w:pPr>
              <w:spacing w:after="40"/>
            </w:pPr>
            <w:r/>
            <w:r>
              <w:rPr>
                <w:sz w:val="18"/>
              </w:rPr>
              <w:t>Un identifiant.</w:t>
            </w:r>
          </w:p>
        </w:tc>
        <w:tc>
          <w:tcPr>
            <w:tcW w:type="dxa" w:w="1701"/>
          </w:tcPr>
          <w:p>
            <w:pPr>
              <w:spacing w:after="40"/>
            </w:pPr>
            <w:r/>
            <w:r>
              <w:rPr>
                <w:sz w:val="18"/>
              </w:rPr>
              <w:t>204, sans corps.</w:t>
            </w:r>
          </w:p>
        </w:tc>
        <w:tc>
          <w:tcPr>
            <w:tcW w:type="dxa" w:w="2154"/>
          </w:tcPr>
          <w:p>
            <w:pPr>
              <w:spacing w:after="40"/>
            </w:pPr>
            <w:r/>
            <w:r>
              <w:rPr>
                <w:sz w:val="18"/>
              </w:rPr>
              <w:t>404 si l'espace n'existe pas. Un espace déjà en corbeille est accepté sans effet.</w:t>
            </w:r>
          </w:p>
        </w:tc>
      </w:tr>
      <w:tr>
        <w:tc>
          <w:tcPr>
            <w:tcW w:type="dxa" w:w="2041"/>
          </w:tcPr>
          <w:p>
            <w:pPr>
              <w:spacing w:after="40"/>
            </w:pPr>
            <w:r/>
            <w:r>
              <w:rPr>
                <w:sz w:val="18"/>
              </w:rPr>
              <w:t>PATCH /api/v1/workspaces/{id}/restore</w:t>
            </w:r>
          </w:p>
        </w:tc>
        <w:tc>
          <w:tcPr>
            <w:tcW w:type="dxa" w:w="1701"/>
          </w:tcPr>
          <w:p>
            <w:pPr>
              <w:spacing w:after="40"/>
            </w:pPr>
            <w:r/>
            <w:r>
              <w:rPr>
                <w:sz w:val="18"/>
              </w:rPr>
              <w:t>Sort l'espace de la corbeille.</w:t>
            </w:r>
          </w:p>
        </w:tc>
        <w:tc>
          <w:tcPr>
            <w:tcW w:type="dxa" w:w="1928"/>
          </w:tcPr>
          <w:p>
            <w:pPr>
              <w:spacing w:after="40"/>
            </w:pPr>
            <w:r/>
            <w:r>
              <w:rPr>
                <w:sz w:val="18"/>
              </w:rPr>
              <w:t>Un identifiant.</w:t>
            </w:r>
          </w:p>
        </w:tc>
        <w:tc>
          <w:tcPr>
            <w:tcW w:type="dxa" w:w="1701"/>
          </w:tcPr>
          <w:p>
            <w:pPr>
              <w:spacing w:after="40"/>
            </w:pPr>
            <w:r/>
            <w:r>
              <w:rPr>
                <w:sz w:val="18"/>
              </w:rPr>
              <w:t>204, sans corps.</w:t>
            </w:r>
          </w:p>
        </w:tc>
        <w:tc>
          <w:tcPr>
            <w:tcW w:type="dxa" w:w="2154"/>
          </w:tcPr>
          <w:p>
            <w:pPr>
              <w:spacing w:after="40"/>
            </w:pPr>
            <w:r/>
            <w:r>
              <w:rPr>
                <w:sz w:val="18"/>
              </w:rPr>
              <w:t>404 si l'espace n'existe pas.</w:t>
            </w:r>
          </w:p>
        </w:tc>
      </w:tr>
      <w:tr>
        <w:tc>
          <w:tcPr>
            <w:tcW w:type="dxa" w:w="2041"/>
          </w:tcPr>
          <w:p>
            <w:pPr>
              <w:spacing w:after="40"/>
            </w:pPr>
            <w:r/>
            <w:r>
              <w:rPr>
                <w:sz w:val="18"/>
              </w:rPr>
              <w:t>PATCH /api/v1/workspaces/{id}/parent</w:t>
            </w:r>
          </w:p>
        </w:tc>
        <w:tc>
          <w:tcPr>
            <w:tcW w:type="dxa" w:w="1701"/>
          </w:tcPr>
          <w:p>
            <w:pPr>
              <w:spacing w:after="40"/>
            </w:pPr>
            <w:r/>
            <w:r>
              <w:rPr>
                <w:sz w:val="18"/>
              </w:rPr>
              <w:t>Déplace l'espace sous un nouveau parent, ou à la racine.</w:t>
            </w:r>
          </w:p>
        </w:tc>
        <w:tc>
          <w:tcPr>
            <w:tcW w:type="dxa" w:w="1928"/>
          </w:tcPr>
          <w:p>
            <w:pPr>
              <w:spacing w:after="40"/>
            </w:pPr>
            <w:r/>
            <w:r>
              <w:rPr>
                <w:sz w:val="18"/>
              </w:rPr>
              <w:t>Un corps portant « parentId », éventuellement vide pour la racine.</w:t>
            </w:r>
          </w:p>
        </w:tc>
        <w:tc>
          <w:tcPr>
            <w:tcW w:type="dxa" w:w="1701"/>
          </w:tcPr>
          <w:p>
            <w:pPr>
              <w:spacing w:after="40"/>
            </w:pPr>
            <w:r/>
            <w:r>
              <w:rPr>
                <w:sz w:val="18"/>
              </w:rPr>
              <w:t>200 avec la fiche déplacée.</w:t>
            </w:r>
          </w:p>
        </w:tc>
        <w:tc>
          <w:tcPr>
            <w:tcW w:type="dxa" w:w="2154"/>
          </w:tcPr>
          <w:p>
            <w:pPr>
              <w:spacing w:after="40"/>
            </w:pPr>
            <w:r/>
            <w:r>
              <w:rPr>
                <w:sz w:val="18"/>
              </w:rPr>
              <w:t>400 si l'espace serait son propre parent, si la cible est dans sa descendance, ou si l'espace est en corbeille ; 404 si l'espace ou le parent n'existe pas.</w:t>
            </w:r>
          </w:p>
        </w:tc>
      </w:tr>
      <w:tr>
        <w:tc>
          <w:tcPr>
            <w:tcW w:type="dxa" w:w="2041"/>
          </w:tcPr>
          <w:p>
            <w:pPr>
              <w:spacing w:after="40"/>
            </w:pPr>
            <w:r/>
            <w:r>
              <w:rPr>
                <w:sz w:val="18"/>
              </w:rPr>
              <w:t>PATCH /api/v1/workspaces/{id}/archive</w:t>
            </w:r>
          </w:p>
        </w:tc>
        <w:tc>
          <w:tcPr>
            <w:tcW w:type="dxa" w:w="1701"/>
          </w:tcPr>
          <w:p>
            <w:pPr>
              <w:spacing w:after="40"/>
            </w:pPr>
            <w:r/>
            <w:r>
              <w:rPr>
                <w:sz w:val="18"/>
              </w:rPr>
              <w:t>Bascule le statut entre ACTIF et ARCHIVE.</w:t>
            </w:r>
          </w:p>
        </w:tc>
        <w:tc>
          <w:tcPr>
            <w:tcW w:type="dxa" w:w="1928"/>
          </w:tcPr>
          <w:p>
            <w:pPr>
              <w:spacing w:after="40"/>
            </w:pPr>
            <w:r/>
            <w:r>
              <w:rPr>
                <w:sz w:val="18"/>
              </w:rPr>
              <w:t>Un identifiant, sans corps.</w:t>
            </w:r>
          </w:p>
        </w:tc>
        <w:tc>
          <w:tcPr>
            <w:tcW w:type="dxa" w:w="1701"/>
          </w:tcPr>
          <w:p>
            <w:pPr>
              <w:spacing w:after="40"/>
            </w:pPr>
            <w:r/>
            <w:r>
              <w:rPr>
                <w:sz w:val="18"/>
              </w:rPr>
              <w:t>200 avec la fiche mise à jour.</w:t>
            </w:r>
          </w:p>
        </w:tc>
        <w:tc>
          <w:tcPr>
            <w:tcW w:type="dxa" w:w="2154"/>
          </w:tcPr>
          <w:p>
            <w:pPr>
              <w:spacing w:after="40"/>
            </w:pPr>
            <w:r/>
            <w:r>
              <w:rPr>
                <w:sz w:val="18"/>
              </w:rPr>
              <w:t>400 si l'espace est en corbeille ; 404 s'il n'existe pas.</w:t>
            </w:r>
          </w:p>
        </w:tc>
      </w:tr>
      <w:tr>
        <w:tc>
          <w:tcPr>
            <w:tcW w:type="dxa" w:w="2041"/>
          </w:tcPr>
          <w:p>
            <w:pPr>
              <w:spacing w:after="40"/>
            </w:pPr>
            <w:r/>
            <w:r>
              <w:rPr>
                <w:sz w:val="18"/>
              </w:rPr>
              <w:t>DELETE /api/v1/workspaces/multiple-delete</w:t>
            </w:r>
          </w:p>
        </w:tc>
        <w:tc>
          <w:tcPr>
            <w:tcW w:type="dxa" w:w="1701"/>
          </w:tcPr>
          <w:p>
            <w:pPr>
              <w:spacing w:after="40"/>
            </w:pPr>
            <w:r/>
            <w:r>
              <w:rPr>
                <w:sz w:val="18"/>
              </w:rPr>
              <w:t>Met plusieurs espaces à la corbeille.</w:t>
            </w:r>
          </w:p>
        </w:tc>
        <w:tc>
          <w:tcPr>
            <w:tcW w:type="dxa" w:w="1928"/>
          </w:tcPr>
          <w:p>
            <w:pPr>
              <w:spacing w:after="40"/>
            </w:pPr>
            <w:r/>
            <w:r>
              <w:rPr>
                <w:sz w:val="18"/>
              </w:rPr>
              <w:t>Un corps portant une liste d'identifiants sous la clé « ids ».</w:t>
            </w:r>
          </w:p>
        </w:tc>
        <w:tc>
          <w:tcPr>
            <w:tcW w:type="dxa" w:w="1701"/>
          </w:tcPr>
          <w:p>
            <w:pPr>
              <w:spacing w:after="40"/>
            </w:pPr>
            <w:r/>
            <w:r>
              <w:rPr>
                <w:sz w:val="18"/>
              </w:rPr>
              <w:t>204, sans corps.</w:t>
            </w:r>
          </w:p>
        </w:tc>
        <w:tc>
          <w:tcPr>
            <w:tcW w:type="dxa" w:w="2154"/>
          </w:tcPr>
          <w:p>
            <w:pPr>
              <w:spacing w:after="40"/>
            </w:pPr>
            <w:r/>
            <w:r>
              <w:rPr>
                <w:sz w:val="18"/>
              </w:rPr>
              <w:t>Rien : les identifiants inconnus ou déjà en corbeille sont ignorés en silence.</w:t>
            </w:r>
          </w:p>
        </w:tc>
      </w:tr>
      <w:tr>
        <w:tc>
          <w:tcPr>
            <w:tcW w:type="dxa" w:w="2041"/>
          </w:tcPr>
          <w:p>
            <w:pPr>
              <w:spacing w:after="40"/>
            </w:pPr>
            <w:r/>
            <w:r>
              <w:rPr>
                <w:sz w:val="18"/>
              </w:rPr>
              <w:t>PATCH /api/v1/workspaces/multiple-restore</w:t>
            </w:r>
          </w:p>
        </w:tc>
        <w:tc>
          <w:tcPr>
            <w:tcW w:type="dxa" w:w="1701"/>
          </w:tcPr>
          <w:p>
            <w:pPr>
              <w:spacing w:after="40"/>
            </w:pPr>
            <w:r/>
            <w:r>
              <w:rPr>
                <w:sz w:val="18"/>
              </w:rPr>
              <w:t>Restaure plusieurs espaces.</w:t>
            </w:r>
          </w:p>
        </w:tc>
        <w:tc>
          <w:tcPr>
            <w:tcW w:type="dxa" w:w="1928"/>
          </w:tcPr>
          <w:p>
            <w:pPr>
              <w:spacing w:after="40"/>
            </w:pPr>
            <w:r/>
            <w:r>
              <w:rPr>
                <w:sz w:val="18"/>
              </w:rPr>
              <w:t>Même corps.</w:t>
            </w:r>
          </w:p>
        </w:tc>
        <w:tc>
          <w:tcPr>
            <w:tcW w:type="dxa" w:w="1701"/>
          </w:tcPr>
          <w:p>
            <w:pPr>
              <w:spacing w:after="40"/>
            </w:pPr>
            <w:r/>
            <w:r>
              <w:rPr>
                <w:sz w:val="18"/>
              </w:rPr>
              <w:t>204, sans corps.</w:t>
            </w:r>
          </w:p>
        </w:tc>
        <w:tc>
          <w:tcPr>
            <w:tcW w:type="dxa" w:w="2154"/>
          </w:tcPr>
          <w:p>
            <w:pPr>
              <w:spacing w:after="40"/>
            </w:pPr>
            <w:r/>
            <w:r>
              <w:rPr>
                <w:sz w:val="18"/>
              </w:rPr>
              <w:t>Rien, pour la même raison.</w:t>
            </w:r>
          </w:p>
        </w:tc>
      </w:tr>
    </w:tbl>
    <w:p/>
    <w:p>
      <w:pPr>
        <w:spacing w:after="200"/>
      </w:pPr>
      <w:r>
        <w:rPr>
          <w:i/>
          <w:color w:val="666666"/>
          <w:sz w:val="17"/>
        </w:rPr>
        <w:t>Colonnes de tri acceptées : identifiant, code, nom et statut. Toute autre valeur est remplacée par le tri par défaut, décroissant sur l'identifiant. La taille de page est plafonnée à 200.</w:t>
      </w:r>
    </w:p>
    <w:p>
      <w:pPr>
        <w:pStyle w:val="Heading1"/>
      </w:pPr>
      <w:r>
        <w:t>5. Les règles vérifiées côté serveur</w:t>
      </w:r>
    </w:p>
    <w:p>
      <w:pPr>
        <w:pStyle w:val="Heading3"/>
      </w:pPr>
      <w:r>
        <w:t>5.1. Champs obligatoires et unicité</w:t>
      </w:r>
    </w:p>
    <w:p>
      <w:pPr>
        <w:keepNext/>
        <w:spacing w:after="40"/>
      </w:pPr>
      <w:r>
        <w:rPr>
          <w:b/>
        </w:rPr>
        <w:t xml:space="preserve">Règle 1 — </w:t>
      </w:r>
      <w:r>
        <w:rPr>
          <w:b/>
        </w:rPr>
        <w:t>Le nom et le code sont obligatoires et non vides.</w:t>
      </w:r>
    </w:p>
    <w:p>
      <w:pPr>
        <w:spacing w:after="40"/>
        <w:ind w:left="340"/>
      </w:pPr>
      <w:r>
        <w:rPr>
          <w:i/>
        </w:rPr>
        <w:t xml:space="preserve">Portée : </w:t>
      </w:r>
      <w:r>
        <w:t>Double — l'écran marque les deux champs d'un astérisque et refuse la validation.</w:t>
      </w:r>
    </w:p>
    <w:p>
      <w:pPr>
        <w:spacing w:after="160"/>
        <w:ind w:left="340"/>
      </w:pPr>
      <w:r>
        <w:rPr>
          <w:i/>
        </w:rPr>
        <w:t xml:space="preserve">Pourquoi : </w:t>
      </w:r>
      <w:r>
        <w:t>Le nom est le seul libellé affiché partout ; le code est la référence stable du dossier. Un espace sans l'un des deux serait inutilisable dans les sélecteurs.</w:t>
      </w:r>
    </w:p>
    <w:p>
      <w:pPr>
        <w:keepNext/>
        <w:spacing w:after="40"/>
      </w:pPr>
      <w:r>
        <w:rPr>
          <w:b/>
        </w:rPr>
        <w:t xml:space="preserve">Règle 2 — </w:t>
      </w:r>
      <w:r>
        <w:rPr>
          <w:b/>
        </w:rPr>
        <w:t>Le propriétaire est obligatoire.</w:t>
      </w:r>
    </w:p>
    <w:p>
      <w:pPr>
        <w:spacing w:after="40"/>
        <w:ind w:left="340"/>
      </w:pPr>
      <w:r>
        <w:rPr>
          <w:i/>
        </w:rPr>
        <w:t xml:space="preserve">Portée : </w:t>
      </w:r>
      <w:r>
        <w:t>Double.</w:t>
      </w:r>
    </w:p>
    <w:p>
      <w:pPr>
        <w:spacing w:after="160"/>
        <w:ind w:left="340"/>
      </w:pPr>
      <w:r>
        <w:rPr>
          <w:i/>
        </w:rPr>
        <w:t xml:space="preserve">Pourquoi : </w:t>
      </w:r>
      <w:r>
        <w:t>Un dossier sans responsable est orphelin : plus personne à qui adresser une question sur son contenu. La colonne est également non nulle en base, ce qui rend la règle impossible à contourner.</w:t>
      </w:r>
    </w:p>
    <w:p>
      <w:pPr>
        <w:keepNext/>
        <w:spacing w:after="40"/>
      </w:pPr>
      <w:r>
        <w:rPr>
          <w:b/>
        </w:rPr>
        <w:t xml:space="preserve">Règle 3 — </w:t>
      </w:r>
      <w:r>
        <w:rPr>
          <w:b/>
        </w:rPr>
        <w:t>La règle de workflow est obligatoire.</w:t>
      </w:r>
    </w:p>
    <w:p>
      <w:pPr>
        <w:spacing w:after="40"/>
        <w:ind w:left="340"/>
      </w:pPr>
      <w:r>
        <w:rPr>
          <w:i/>
        </w:rPr>
        <w:t xml:space="preserve">Portée : </w:t>
      </w:r>
      <w:r>
        <w:t>Double.</w:t>
      </w:r>
    </w:p>
    <w:p>
      <w:pPr>
        <w:spacing w:after="160"/>
        <w:ind w:left="340"/>
      </w:pPr>
      <w:r>
        <w:rPr>
          <w:i/>
        </w:rPr>
        <w:t xml:space="preserve">Pourquoi : </w:t>
      </w:r>
      <w:r>
        <w:t>Un espace sans circuit produirait des documents que personne ne valide : ils resteraient inactifs sans qu'aucune étape n'apparaisse dans aucune file. La colonne est non nulle en base.</w:t>
      </w:r>
    </w:p>
    <w:p>
      <w:pPr>
        <w:keepNext/>
        <w:spacing w:after="40"/>
      </w:pPr>
      <w:r>
        <w:rPr>
          <w:b/>
        </w:rPr>
        <w:t xml:space="preserve">Règle 4 — </w:t>
      </w:r>
      <w:r>
        <w:rPr>
          <w:b/>
        </w:rPr>
        <w:t>Le code est unique, sans distinction de casse.</w:t>
      </w:r>
    </w:p>
    <w:p>
      <w:pPr>
        <w:spacing w:after="40"/>
        <w:ind w:left="340"/>
      </w:pPr>
      <w:r>
        <w:rPr>
          <w:i/>
        </w:rPr>
        <w:t xml:space="preserve">Portée : </w:t>
      </w:r>
      <w:r>
        <w:t>Serveur seul — l'écran ne connaît pas les codes déjà pris.</w:t>
      </w:r>
    </w:p>
    <w:p>
      <w:pPr>
        <w:spacing w:after="160"/>
        <w:ind w:left="340"/>
      </w:pPr>
      <w:r>
        <w:rPr>
          <w:i/>
        </w:rPr>
        <w:t xml:space="preserve">Pourquoi : </w:t>
      </w:r>
      <w:r>
        <w:t>Deux dossiers portant le même code rendraient toute référence ambiguë. La vérification est faite par le service avant écriture, afin que le refus nomme le code fautif ; la contrainte d'unicité de la base sert de filet de dernier recours.</w:t>
      </w:r>
    </w:p>
    <w:p>
      <w:pPr>
        <w:keepNext/>
        <w:spacing w:after="40"/>
      </w:pPr>
      <w:r>
        <w:rPr>
          <w:b/>
        </w:rPr>
        <w:t xml:space="preserve">Règle 5 — </w:t>
      </w:r>
      <w:r>
        <w:rPr>
          <w:b/>
        </w:rPr>
        <w:t>À la modification, l'unicité du code est vérifiée en excluant l'espace lui-même.</w:t>
      </w:r>
    </w:p>
    <w:p>
      <w:pPr>
        <w:spacing w:after="40"/>
        <w:ind w:left="340"/>
      </w:pPr>
      <w:r>
        <w:rPr>
          <w:i/>
        </w:rPr>
        <w:t xml:space="preserve">Portée : </w:t>
      </w:r>
      <w:r>
        <w:t>Serveur seul.</w:t>
      </w:r>
    </w:p>
    <w:p>
      <w:pPr>
        <w:spacing w:after="160"/>
        <w:ind w:left="340"/>
      </w:pPr>
      <w:r>
        <w:rPr>
          <w:i/>
        </w:rPr>
        <w:t xml:space="preserve">Pourquoi : </w:t>
      </w:r>
      <w:r>
        <w:t>Sans cette exclusion, enregistrer une fiche sans changer son code serait refusé, ce qui rendrait toute modification impossible.</w:t>
      </w:r>
    </w:p>
    <w:p>
      <w:pPr>
        <w:pStyle w:val="Heading3"/>
      </w:pPr>
      <w:r>
        <w:t>5.2. Corbeille et intégrité de la hiérarchie</w:t>
      </w:r>
    </w:p>
    <w:p>
      <w:pPr>
        <w:keepNext/>
        <w:spacing w:after="40"/>
      </w:pPr>
      <w:r>
        <w:rPr>
          <w:b/>
        </w:rPr>
        <w:t xml:space="preserve">Règle 6 — </w:t>
      </w:r>
      <w:r>
        <w:rPr>
          <w:b/>
        </w:rPr>
        <w:t>Un espace en corbeille ne peut être ni modifié, ni déplacé, ni archivé.</w:t>
      </w:r>
    </w:p>
    <w:p>
      <w:pPr>
        <w:spacing w:after="40"/>
        <w:ind w:left="340"/>
      </w:pPr>
      <w:r>
        <w:rPr>
          <w:i/>
        </w:rPr>
        <w:t xml:space="preserve">Portée : </w:t>
      </w:r>
      <w:r>
        <w:t>Serveur seul — l'écran n'offre pas ces actions en vue Archive, mais l'API doit tenir seule.</w:t>
      </w:r>
    </w:p>
    <w:p>
      <w:pPr>
        <w:spacing w:after="160"/>
        <w:ind w:left="340"/>
      </w:pPr>
      <w:r>
        <w:rPr>
          <w:i/>
        </w:rPr>
        <w:t xml:space="preserve">Pourquoi : </w:t>
      </w:r>
      <w:r>
        <w:t>La fiche reste consultable — l'écran des supprimés doit pouvoir la décrire avant restauration — mais plus rien n'y est modifiable. Renommer, déplacer ou archiver un dossier que l'utilisateur croit supprimé revient à travailler sur une organisation qui n'apparaît nulle part.</w:t>
      </w:r>
    </w:p>
    <w:p>
      <w:pPr>
        <w:keepNext/>
        <w:spacing w:after="40"/>
      </w:pPr>
      <w:r>
        <w:rPr>
          <w:b/>
        </w:rPr>
        <w:t xml:space="preserve">Règle 7 — </w:t>
      </w:r>
      <w:r>
        <w:rPr>
          <w:b/>
        </w:rPr>
        <w:t>Un espace ne peut pas devenir son propre parent lors d'un déplacement.</w:t>
      </w:r>
    </w:p>
    <w:p>
      <w:pPr>
        <w:spacing w:after="40"/>
        <w:ind w:left="340"/>
      </w:pPr>
      <w:r>
        <w:rPr>
          <w:i/>
        </w:rPr>
        <w:t xml:space="preserve">Portée : </w:t>
      </w:r>
      <w:r>
        <w:t>Serveur seul.</w:t>
      </w:r>
    </w:p>
    <w:p>
      <w:pPr>
        <w:spacing w:after="160"/>
        <w:ind w:left="340"/>
      </w:pPr>
      <w:r>
        <w:rPr>
          <w:i/>
        </w:rPr>
        <w:t xml:space="preserve">Pourquoi : </w:t>
      </w:r>
      <w:r>
        <w:t>Le cas produirait un nœud invisible : ne pouvant être atteint depuis aucune racine, il disparaîtrait de l'arbre sans que rien ne le signale.</w:t>
      </w:r>
    </w:p>
    <w:p>
      <w:pPr>
        <w:keepNext/>
        <w:spacing w:after="40"/>
      </w:pPr>
      <w:r>
        <w:rPr>
          <w:b/>
        </w:rPr>
        <w:t xml:space="preserve">Règle 8 — </w:t>
      </w:r>
      <w:r>
        <w:rPr>
          <w:b/>
        </w:rPr>
        <w:t>Un espace ne peut pas être déplacé dans sa propre descendance.</w:t>
      </w:r>
    </w:p>
    <w:p>
      <w:pPr>
        <w:spacing w:after="40"/>
        <w:ind w:left="340"/>
      </w:pPr>
      <w:r>
        <w:rPr>
          <w:i/>
        </w:rPr>
        <w:t xml:space="preserve">Portée : </w:t>
      </w:r>
      <w:r>
        <w:t>Serveur seul.</w:t>
      </w:r>
    </w:p>
    <w:p>
      <w:pPr>
        <w:spacing w:after="160"/>
        <w:ind w:left="340"/>
      </w:pPr>
      <w:r>
        <w:rPr>
          <w:i/>
        </w:rPr>
        <w:t xml:space="preserve">Pourquoi : </w:t>
      </w:r>
      <w:r>
        <w:t>C'est le même problème, en plus vaste : la sous-arborescence entière se détacherait de la forêt. La descendance est calculée par un parcours en largeur interrogeant la base niveau par niveau, et non à partir des collections chargées en mémoire — ce qui garantit que le contrôle porte sur l'état réel de la hiérarchie.</w:t>
      </w:r>
    </w:p>
    <w:p>
      <w:pPr>
        <w:pStyle w:val="Heading3"/>
      </w:pPr>
      <w:r>
        <w:t>5.3. Statut, arbre et robustesse des listes</w:t>
      </w:r>
    </w:p>
    <w:p>
      <w:pPr>
        <w:keepNext/>
        <w:spacing w:after="40"/>
      </w:pPr>
      <w:r>
        <w:rPr>
          <w:b/>
        </w:rPr>
        <w:t xml:space="preserve">Règle 9 — </w:t>
      </w:r>
      <w:r>
        <w:rPr>
          <w:b/>
        </w:rPr>
        <w:t>Le statut par défaut est ACTIF lorsqu'aucun statut n'est fourni.</w:t>
      </w:r>
    </w:p>
    <w:p>
      <w:pPr>
        <w:spacing w:after="40"/>
        <w:ind w:left="340"/>
      </w:pPr>
      <w:r>
        <w:rPr>
          <w:i/>
        </w:rPr>
        <w:t xml:space="preserve">Portée : </w:t>
      </w:r>
      <w:r>
        <w:t>Double — l'écran propose « Actif » comme valeur par défaut du formulaire.</w:t>
      </w:r>
    </w:p>
    <w:p>
      <w:pPr>
        <w:spacing w:after="160"/>
        <w:ind w:left="340"/>
      </w:pPr>
      <w:r>
        <w:rPr>
          <w:i/>
        </w:rPr>
        <w:t xml:space="preserve">Pourquoi : </w:t>
      </w:r>
      <w:r>
        <w:t>Créer un dossier inactif par défaut obligerait à un second geste pour le rendre utilisable, sans qu'aucun cas d'usage ne le justifie.</w:t>
      </w:r>
    </w:p>
    <w:p>
      <w:pPr>
        <w:keepNext/>
        <w:spacing w:after="40"/>
      </w:pPr>
      <w:r>
        <w:rPr>
          <w:b/>
        </w:rPr>
        <w:t xml:space="preserve">Règle 10 — </w:t>
      </w:r>
      <w:r>
        <w:rPr>
          <w:b/>
        </w:rPr>
        <w:t>L'arbre ne contient que les espaces vivants dont le statut est ACTIF.</w:t>
      </w:r>
    </w:p>
    <w:p>
      <w:pPr>
        <w:spacing w:after="40"/>
        <w:ind w:left="340"/>
      </w:pPr>
      <w:r>
        <w:rPr>
          <w:i/>
        </w:rPr>
        <w:t xml:space="preserve">Portée : </w:t>
      </w:r>
      <w:r>
        <w:t>Serveur seul.</w:t>
      </w:r>
    </w:p>
    <w:p>
      <w:pPr>
        <w:spacing w:after="160"/>
        <w:ind w:left="340"/>
      </w:pPr>
      <w:r>
        <w:rPr>
          <w:i/>
        </w:rPr>
        <w:t xml:space="preserve">Pourquoi : </w:t>
      </w:r>
      <w:r>
        <w:t>L'arbre sert à ranger : proposer d'y déposer dans un dossier archivé serait contradictoire avec la règle selon laquelle un espace archivé n'accueille plus de nouveaux documents. Le tableau, lui, montre tout — c'est la vue de consultation.</w:t>
      </w:r>
    </w:p>
    <w:p>
      <w:pPr>
        <w:keepNext/>
        <w:spacing w:after="40"/>
      </w:pPr>
      <w:r>
        <w:rPr>
          <w:b/>
        </w:rPr>
        <w:t xml:space="preserve">Règle 11 — </w:t>
      </w:r>
      <w:r>
        <w:rPr>
          <w:b/>
        </w:rPr>
        <w:t>La colonne de tri demandée est confrontée à une liste blanche.</w:t>
      </w:r>
    </w:p>
    <w:p>
      <w:pPr>
        <w:spacing w:after="40"/>
        <w:ind w:left="340"/>
      </w:pPr>
      <w:r>
        <w:rPr>
          <w:i/>
        </w:rPr>
        <w:t xml:space="preserve">Portée : </w:t>
      </w:r>
      <w:r>
        <w:t>Serveur seul.</w:t>
      </w:r>
    </w:p>
    <w:p>
      <w:pPr>
        <w:spacing w:after="160"/>
        <w:ind w:left="340"/>
      </w:pPr>
      <w:r>
        <w:rPr>
          <w:i/>
        </w:rPr>
        <w:t xml:space="preserve">Pourquoi : </w:t>
      </w:r>
      <w:r>
        <w:t>Une valeur libre atteindrait directement le schéma de la table, et une colonne inexistante ferait remonter une erreur de base de données au client. Une valeur non autorisée est ignorée plutôt que refusée, afin que la liste reste utilisable.</w:t>
      </w:r>
    </w:p>
    <w:p>
      <w:pPr>
        <w:keepNext/>
        <w:spacing w:after="40"/>
      </w:pPr>
      <w:r>
        <w:rPr>
          <w:b/>
        </w:rPr>
        <w:t xml:space="preserve">Règle 12 — </w:t>
      </w:r>
      <w:r>
        <w:rPr>
          <w:b/>
        </w:rPr>
        <w:t>Le numéro de page est vérifié avant d'atteindre la couche de persistance, et la taille de page est plafonnée à 200.</w:t>
      </w:r>
    </w:p>
    <w:p>
      <w:pPr>
        <w:spacing w:after="40"/>
        <w:ind w:left="340"/>
      </w:pPr>
      <w:r>
        <w:rPr>
          <w:i/>
        </w:rPr>
        <w:t xml:space="preserve">Portée : </w:t>
      </w:r>
      <w:r>
        <w:t>Serveur seul.</w:t>
      </w:r>
    </w:p>
    <w:p>
      <w:pPr>
        <w:spacing w:after="160"/>
        <w:ind w:left="340"/>
      </w:pPr>
      <w:r>
        <w:rPr>
          <w:i/>
        </w:rPr>
        <w:t xml:space="preserve">Pourquoi : </w:t>
      </w:r>
      <w:r>
        <w:t>Le décalage d'une page est le produit du numéro par la taille ; au-delà de la capacité d'un entier, l'erreur naissait au fond du dépôt et ressortait en panne serveur. Un numéro hors limites est une faute de l'appelant, pas une défaillance : il est refusé ici, avec la borne. Quant à la taille, au-delà de deux cents une « page » n'en est plus une : elle ramènerait la table entière et ferait tomber le serveur avant l'écran.</w:t>
      </w:r>
    </w:p>
    <w:p>
      <w:pPr>
        <w:pStyle w:val="Heading1"/>
      </w:pPr>
      <w:r>
        <w:t>6. Les erreurs et les réponses</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041"/>
          </w:tcPr>
          <w:p>
            <w:pPr>
              <w:spacing w:after="40"/>
            </w:pPr>
            <w:r/>
            <w:r>
              <w:rPr>
                <w:b/>
                <w:sz w:val="18"/>
              </w:rPr>
              <w:t>Situation</w:t>
            </w:r>
          </w:p>
        </w:tc>
        <w:tc>
          <w:tcPr>
            <w:tcW w:type="dxa" w:w="680"/>
          </w:tcPr>
          <w:p>
            <w:pPr>
              <w:spacing w:after="40"/>
            </w:pPr>
            <w:r/>
            <w:r>
              <w:rPr>
                <w:b/>
                <w:sz w:val="18"/>
              </w:rPr>
              <w:t>Code</w:t>
            </w:r>
          </w:p>
        </w:tc>
        <w:tc>
          <w:tcPr>
            <w:tcW w:type="dxa" w:w="3175"/>
          </w:tcPr>
          <w:p>
            <w:pPr>
              <w:spacing w:after="40"/>
            </w:pPr>
            <w:r/>
            <w:r>
              <w:rPr>
                <w:b/>
                <w:sz w:val="18"/>
              </w:rPr>
              <w:t>Message</w:t>
            </w:r>
          </w:p>
        </w:tc>
        <w:tc>
          <w:tcPr>
            <w:tcW w:type="dxa" w:w="3175"/>
          </w:tcPr>
          <w:p>
            <w:pPr>
              <w:spacing w:after="40"/>
            </w:pPr>
            <w:r/>
            <w:r>
              <w:rPr>
                <w:b/>
                <w:sz w:val="18"/>
              </w:rPr>
              <w:t>Ce que l'écran en fait</w:t>
            </w:r>
          </w:p>
        </w:tc>
      </w:tr>
      <w:tr>
        <w:tc>
          <w:tcPr>
            <w:tcW w:type="dxa" w:w="2041"/>
          </w:tcPr>
          <w:p>
            <w:pPr>
              <w:spacing w:after="40"/>
            </w:pPr>
            <w:r/>
            <w:r>
              <w:rPr>
                <w:sz w:val="18"/>
              </w:rPr>
              <w:t>Nom manquant</w:t>
            </w:r>
          </w:p>
        </w:tc>
        <w:tc>
          <w:tcPr>
            <w:tcW w:type="dxa" w:w="680"/>
          </w:tcPr>
          <w:p>
            <w:pPr>
              <w:spacing w:after="40"/>
            </w:pPr>
            <w:r/>
            <w:r>
              <w:rPr>
                <w:sz w:val="18"/>
              </w:rPr>
              <w:t>400</w:t>
            </w:r>
          </w:p>
        </w:tc>
        <w:tc>
          <w:tcPr>
            <w:tcW w:type="dxa" w:w="3175"/>
          </w:tcPr>
          <w:p>
            <w:pPr>
              <w:spacing w:after="40"/>
            </w:pPr>
            <w:r/>
            <w:r>
              <w:rPr>
                <w:sz w:val="18"/>
              </w:rPr>
              <w:t>Corps « Données invalides » avec, sous la clé du champ, « Le nom est obligatoire ».</w:t>
            </w:r>
          </w:p>
        </w:tc>
        <w:tc>
          <w:tcPr>
            <w:tcW w:type="dxa" w:w="3175"/>
          </w:tcPr>
          <w:p>
            <w:pPr>
              <w:spacing w:after="40"/>
            </w:pPr>
            <w:r/>
            <w:r>
              <w:rPr>
                <w:sz w:val="18"/>
              </w:rPr>
              <w:t>Message affiché sous le champ, curseur placé dessus, fenêtre maintenue ouverte.</w:t>
            </w:r>
          </w:p>
        </w:tc>
      </w:tr>
      <w:tr>
        <w:tc>
          <w:tcPr>
            <w:tcW w:type="dxa" w:w="2041"/>
          </w:tcPr>
          <w:p>
            <w:pPr>
              <w:spacing w:after="40"/>
            </w:pPr>
            <w:r/>
            <w:r>
              <w:rPr>
                <w:sz w:val="18"/>
              </w:rPr>
              <w:t>Code manquant</w:t>
            </w:r>
          </w:p>
        </w:tc>
        <w:tc>
          <w:tcPr>
            <w:tcW w:type="dxa" w:w="680"/>
          </w:tcPr>
          <w:p>
            <w:pPr>
              <w:spacing w:after="40"/>
            </w:pPr>
            <w:r/>
            <w:r>
              <w:rPr>
                <w:sz w:val="18"/>
              </w:rPr>
              <w:t>400</w:t>
            </w:r>
          </w:p>
        </w:tc>
        <w:tc>
          <w:tcPr>
            <w:tcW w:type="dxa" w:w="3175"/>
          </w:tcPr>
          <w:p>
            <w:pPr>
              <w:spacing w:after="40"/>
            </w:pPr>
            <w:r/>
            <w:r>
              <w:rPr>
                <w:sz w:val="18"/>
              </w:rPr>
              <w:t>« Le code est obligatoire »</w:t>
            </w:r>
          </w:p>
        </w:tc>
        <w:tc>
          <w:tcPr>
            <w:tcW w:type="dxa" w:w="3175"/>
          </w:tcPr>
          <w:p>
            <w:pPr>
              <w:spacing w:after="40"/>
            </w:pPr>
            <w:r/>
            <w:r>
              <w:rPr>
                <w:sz w:val="18"/>
              </w:rPr>
              <w:t>Idem.</w:t>
            </w:r>
          </w:p>
        </w:tc>
      </w:tr>
      <w:tr>
        <w:tc>
          <w:tcPr>
            <w:tcW w:type="dxa" w:w="2041"/>
          </w:tcPr>
          <w:p>
            <w:pPr>
              <w:spacing w:after="40"/>
            </w:pPr>
            <w:r/>
            <w:r>
              <w:rPr>
                <w:sz w:val="18"/>
              </w:rPr>
              <w:t>Propriétaire manquant</w:t>
            </w:r>
          </w:p>
        </w:tc>
        <w:tc>
          <w:tcPr>
            <w:tcW w:type="dxa" w:w="680"/>
          </w:tcPr>
          <w:p>
            <w:pPr>
              <w:spacing w:after="40"/>
            </w:pPr>
            <w:r/>
            <w:r>
              <w:rPr>
                <w:sz w:val="18"/>
              </w:rPr>
              <w:t>400</w:t>
            </w:r>
          </w:p>
        </w:tc>
        <w:tc>
          <w:tcPr>
            <w:tcW w:type="dxa" w:w="3175"/>
          </w:tcPr>
          <w:p>
            <w:pPr>
              <w:spacing w:after="40"/>
            </w:pPr>
            <w:r/>
            <w:r>
              <w:rPr>
                <w:sz w:val="18"/>
              </w:rPr>
              <w:t>« Le propriétaire est obligatoire »</w:t>
            </w:r>
          </w:p>
        </w:tc>
        <w:tc>
          <w:tcPr>
            <w:tcW w:type="dxa" w:w="3175"/>
          </w:tcPr>
          <w:p>
            <w:pPr>
              <w:spacing w:after="40"/>
            </w:pPr>
            <w:r/>
            <w:r>
              <w:rPr>
                <w:sz w:val="18"/>
              </w:rPr>
              <w:t>Idem.</w:t>
            </w:r>
          </w:p>
        </w:tc>
      </w:tr>
      <w:tr>
        <w:tc>
          <w:tcPr>
            <w:tcW w:type="dxa" w:w="2041"/>
          </w:tcPr>
          <w:p>
            <w:pPr>
              <w:spacing w:after="40"/>
            </w:pPr>
            <w:r/>
            <w:r>
              <w:rPr>
                <w:sz w:val="18"/>
              </w:rPr>
              <w:t>Circuit manquant</w:t>
            </w:r>
          </w:p>
        </w:tc>
        <w:tc>
          <w:tcPr>
            <w:tcW w:type="dxa" w:w="680"/>
          </w:tcPr>
          <w:p>
            <w:pPr>
              <w:spacing w:after="40"/>
            </w:pPr>
            <w:r/>
            <w:r>
              <w:rPr>
                <w:sz w:val="18"/>
              </w:rPr>
              <w:t>400</w:t>
            </w:r>
          </w:p>
        </w:tc>
        <w:tc>
          <w:tcPr>
            <w:tcW w:type="dxa" w:w="3175"/>
          </w:tcPr>
          <w:p>
            <w:pPr>
              <w:spacing w:after="40"/>
            </w:pPr>
            <w:r/>
            <w:r>
              <w:rPr>
                <w:sz w:val="18"/>
              </w:rPr>
              <w:t>« La règle de workflow est obligatoire »</w:t>
            </w:r>
          </w:p>
        </w:tc>
        <w:tc>
          <w:tcPr>
            <w:tcW w:type="dxa" w:w="3175"/>
          </w:tcPr>
          <w:p>
            <w:pPr>
              <w:spacing w:after="40"/>
            </w:pPr>
            <w:r/>
            <w:r>
              <w:rPr>
                <w:sz w:val="18"/>
              </w:rPr>
              <w:t>Idem.</w:t>
            </w:r>
          </w:p>
        </w:tc>
      </w:tr>
      <w:tr>
        <w:tc>
          <w:tcPr>
            <w:tcW w:type="dxa" w:w="2041"/>
          </w:tcPr>
          <w:p>
            <w:pPr>
              <w:spacing w:after="40"/>
            </w:pPr>
            <w:r/>
            <w:r>
              <w:rPr>
                <w:sz w:val="18"/>
              </w:rPr>
              <w:t>Code déjà pris</w:t>
            </w:r>
          </w:p>
        </w:tc>
        <w:tc>
          <w:tcPr>
            <w:tcW w:type="dxa" w:w="680"/>
          </w:tcPr>
          <w:p>
            <w:pPr>
              <w:spacing w:after="40"/>
            </w:pPr>
            <w:r/>
            <w:r>
              <w:rPr>
                <w:sz w:val="18"/>
              </w:rPr>
              <w:t>400</w:t>
            </w:r>
          </w:p>
        </w:tc>
        <w:tc>
          <w:tcPr>
            <w:tcW w:type="dxa" w:w="3175"/>
          </w:tcPr>
          <w:p>
            <w:pPr>
              <w:spacing w:after="40"/>
            </w:pPr>
            <w:r/>
            <w:r>
              <w:rPr>
                <w:sz w:val="18"/>
              </w:rPr>
              <w:t>« Le code « X » est déjà utilisé »</w:t>
            </w:r>
          </w:p>
        </w:tc>
        <w:tc>
          <w:tcPr>
            <w:tcW w:type="dxa" w:w="3175"/>
          </w:tcPr>
          <w:p>
            <w:pPr>
              <w:spacing w:after="40"/>
            </w:pPr>
            <w:r/>
            <w:r>
              <w:rPr>
                <w:sz w:val="18"/>
              </w:rPr>
              <w:t>Message affiché ; la fenêtre reste ouverte et la saisie est conservée.</w:t>
            </w:r>
          </w:p>
        </w:tc>
      </w:tr>
      <w:tr>
        <w:tc>
          <w:tcPr>
            <w:tcW w:type="dxa" w:w="2041"/>
          </w:tcPr>
          <w:p>
            <w:pPr>
              <w:spacing w:after="40"/>
            </w:pPr>
            <w:r/>
            <w:r>
              <w:rPr>
                <w:sz w:val="18"/>
              </w:rPr>
              <w:t>Espace introuvable</w:t>
            </w:r>
          </w:p>
        </w:tc>
        <w:tc>
          <w:tcPr>
            <w:tcW w:type="dxa" w:w="680"/>
          </w:tcPr>
          <w:p>
            <w:pPr>
              <w:spacing w:after="40"/>
            </w:pPr>
            <w:r/>
            <w:r>
              <w:rPr>
                <w:sz w:val="18"/>
              </w:rPr>
              <w:t>404</w:t>
            </w:r>
          </w:p>
        </w:tc>
        <w:tc>
          <w:tcPr>
            <w:tcW w:type="dxa" w:w="3175"/>
          </w:tcPr>
          <w:p>
            <w:pPr>
              <w:spacing w:after="40"/>
            </w:pPr>
            <w:r/>
            <w:r>
              <w:rPr>
                <w:sz w:val="18"/>
              </w:rPr>
              <w:t>« Espace de travail introuvable : {identifiant} »</w:t>
            </w:r>
          </w:p>
        </w:tc>
        <w:tc>
          <w:tcPr>
            <w:tcW w:type="dxa" w:w="3175"/>
          </w:tcPr>
          <w:p>
            <w:pPr>
              <w:spacing w:after="40"/>
            </w:pPr>
            <w:r/>
            <w:r>
              <w:rPr>
                <w:sz w:val="18"/>
              </w:rPr>
              <w:t>L'écran signale l'échec et recharge la liste.</w:t>
            </w:r>
          </w:p>
        </w:tc>
      </w:tr>
      <w:tr>
        <w:tc>
          <w:tcPr>
            <w:tcW w:type="dxa" w:w="2041"/>
          </w:tcPr>
          <w:p>
            <w:pPr>
              <w:spacing w:after="40"/>
            </w:pPr>
            <w:r/>
            <w:r>
              <w:rPr>
                <w:sz w:val="18"/>
              </w:rPr>
              <w:t>Propriétaire introuvable</w:t>
            </w:r>
          </w:p>
        </w:tc>
        <w:tc>
          <w:tcPr>
            <w:tcW w:type="dxa" w:w="680"/>
          </w:tcPr>
          <w:p>
            <w:pPr>
              <w:spacing w:after="40"/>
            </w:pPr>
            <w:r/>
            <w:r>
              <w:rPr>
                <w:sz w:val="18"/>
              </w:rPr>
              <w:t>404</w:t>
            </w:r>
          </w:p>
        </w:tc>
        <w:tc>
          <w:tcPr>
            <w:tcW w:type="dxa" w:w="3175"/>
          </w:tcPr>
          <w:p>
            <w:pPr>
              <w:spacing w:after="40"/>
            </w:pPr>
            <w:r/>
            <w:r>
              <w:rPr>
                <w:sz w:val="18"/>
              </w:rPr>
              <w:t>« Employé introuvable : {identifiant} »</w:t>
            </w:r>
          </w:p>
        </w:tc>
        <w:tc>
          <w:tcPr>
            <w:tcW w:type="dxa" w:w="3175"/>
          </w:tcPr>
          <w:p>
            <w:pPr>
              <w:spacing w:after="40"/>
            </w:pPr>
            <w:r/>
            <w:r>
              <w:rPr>
                <w:sz w:val="18"/>
              </w:rPr>
              <w:t>Idem.</w:t>
            </w:r>
          </w:p>
        </w:tc>
      </w:tr>
      <w:tr>
        <w:tc>
          <w:tcPr>
            <w:tcW w:type="dxa" w:w="2041"/>
          </w:tcPr>
          <w:p>
            <w:pPr>
              <w:spacing w:after="40"/>
            </w:pPr>
            <w:r/>
            <w:r>
              <w:rPr>
                <w:sz w:val="18"/>
              </w:rPr>
              <w:t>Circuit introuvable</w:t>
            </w:r>
          </w:p>
        </w:tc>
        <w:tc>
          <w:tcPr>
            <w:tcW w:type="dxa" w:w="680"/>
          </w:tcPr>
          <w:p>
            <w:pPr>
              <w:spacing w:after="40"/>
            </w:pPr>
            <w:r/>
            <w:r>
              <w:rPr>
                <w:sz w:val="18"/>
              </w:rPr>
              <w:t>404</w:t>
            </w:r>
          </w:p>
        </w:tc>
        <w:tc>
          <w:tcPr>
            <w:tcW w:type="dxa" w:w="3175"/>
          </w:tcPr>
          <w:p>
            <w:pPr>
              <w:spacing w:after="40"/>
            </w:pPr>
            <w:r/>
            <w:r>
              <w:rPr>
                <w:sz w:val="18"/>
              </w:rPr>
              <w:t>« Règle de workflow introuvable : {identifiant} »</w:t>
            </w:r>
          </w:p>
        </w:tc>
        <w:tc>
          <w:tcPr>
            <w:tcW w:type="dxa" w:w="3175"/>
          </w:tcPr>
          <w:p>
            <w:pPr>
              <w:spacing w:after="40"/>
            </w:pPr>
            <w:r/>
            <w:r>
              <w:rPr>
                <w:sz w:val="18"/>
              </w:rPr>
              <w:t>Idem.</w:t>
            </w:r>
          </w:p>
        </w:tc>
      </w:tr>
      <w:tr>
        <w:tc>
          <w:tcPr>
            <w:tcW w:type="dxa" w:w="2041"/>
          </w:tcPr>
          <w:p>
            <w:pPr>
              <w:spacing w:after="40"/>
            </w:pPr>
            <w:r/>
            <w:r>
              <w:rPr>
                <w:sz w:val="18"/>
              </w:rPr>
              <w:t>Parent introuvable</w:t>
            </w:r>
          </w:p>
        </w:tc>
        <w:tc>
          <w:tcPr>
            <w:tcW w:type="dxa" w:w="680"/>
          </w:tcPr>
          <w:p>
            <w:pPr>
              <w:spacing w:after="40"/>
            </w:pPr>
            <w:r/>
            <w:r>
              <w:rPr>
                <w:sz w:val="18"/>
              </w:rPr>
              <w:t>404</w:t>
            </w:r>
          </w:p>
        </w:tc>
        <w:tc>
          <w:tcPr>
            <w:tcW w:type="dxa" w:w="3175"/>
          </w:tcPr>
          <w:p>
            <w:pPr>
              <w:spacing w:after="40"/>
            </w:pPr>
            <w:r/>
            <w:r>
              <w:rPr>
                <w:sz w:val="18"/>
              </w:rPr>
              <w:t>« Dossier parent introuvable : {identifiant} »</w:t>
            </w:r>
          </w:p>
        </w:tc>
        <w:tc>
          <w:tcPr>
            <w:tcW w:type="dxa" w:w="3175"/>
          </w:tcPr>
          <w:p>
            <w:pPr>
              <w:spacing w:after="40"/>
            </w:pPr>
            <w:r/>
            <w:r>
              <w:rPr>
                <w:sz w:val="18"/>
              </w:rPr>
              <w:t>Idem.</w:t>
            </w:r>
          </w:p>
        </w:tc>
      </w:tr>
      <w:tr>
        <w:tc>
          <w:tcPr>
            <w:tcW w:type="dxa" w:w="2041"/>
          </w:tcPr>
          <w:p>
            <w:pPr>
              <w:spacing w:after="40"/>
            </w:pPr>
            <w:r/>
            <w:r>
              <w:rPr>
                <w:sz w:val="18"/>
              </w:rPr>
              <w:t>Modification d'un espace en corbeille</w:t>
            </w:r>
          </w:p>
        </w:tc>
        <w:tc>
          <w:tcPr>
            <w:tcW w:type="dxa" w:w="680"/>
          </w:tcPr>
          <w:p>
            <w:pPr>
              <w:spacing w:after="40"/>
            </w:pPr>
            <w:r/>
            <w:r>
              <w:rPr>
                <w:sz w:val="18"/>
              </w:rPr>
              <w:t>400</w:t>
            </w:r>
          </w:p>
        </w:tc>
        <w:tc>
          <w:tcPr>
            <w:tcW w:type="dxa" w:w="3175"/>
          </w:tcPr>
          <w:p>
            <w:pPr>
              <w:spacing w:after="40"/>
            </w:pPr>
            <w:r/>
            <w:r>
              <w:rPr>
                <w:sz w:val="18"/>
              </w:rPr>
              <w:t>« Espace de travail en corbeille : modification impossible. Restaurez-le d'abord. »</w:t>
            </w:r>
          </w:p>
        </w:tc>
        <w:tc>
          <w:tcPr>
            <w:tcW w:type="dxa" w:w="3175"/>
          </w:tcPr>
          <w:p>
            <w:pPr>
              <w:spacing w:after="40"/>
            </w:pPr>
            <w:r/>
            <w:r>
              <w:rPr>
                <w:sz w:val="18"/>
              </w:rPr>
              <w:t>Message affiché tel quel.</w:t>
            </w:r>
          </w:p>
        </w:tc>
      </w:tr>
      <w:tr>
        <w:tc>
          <w:tcPr>
            <w:tcW w:type="dxa" w:w="2041"/>
          </w:tcPr>
          <w:p>
            <w:pPr>
              <w:spacing w:after="40"/>
            </w:pPr>
            <w:r/>
            <w:r>
              <w:rPr>
                <w:sz w:val="18"/>
              </w:rPr>
              <w:t>Déplacement sur soi-même</w:t>
            </w:r>
          </w:p>
        </w:tc>
        <w:tc>
          <w:tcPr>
            <w:tcW w:type="dxa" w:w="680"/>
          </w:tcPr>
          <w:p>
            <w:pPr>
              <w:spacing w:after="40"/>
            </w:pPr>
            <w:r/>
            <w:r>
              <w:rPr>
                <w:sz w:val="18"/>
              </w:rPr>
              <w:t>400</w:t>
            </w:r>
          </w:p>
        </w:tc>
        <w:tc>
          <w:tcPr>
            <w:tcW w:type="dxa" w:w="3175"/>
          </w:tcPr>
          <w:p>
            <w:pPr>
              <w:spacing w:after="40"/>
            </w:pPr>
            <w:r/>
            <w:r>
              <w:rPr>
                <w:sz w:val="18"/>
              </w:rPr>
              <w:t>« Un dossier ne peut pas être son propre parent »</w:t>
            </w:r>
          </w:p>
        </w:tc>
        <w:tc>
          <w:tcPr>
            <w:tcW w:type="dxa" w:w="3175"/>
          </w:tcPr>
          <w:p>
            <w:pPr>
              <w:spacing w:after="40"/>
            </w:pPr>
            <w:r/>
            <w:r>
              <w:rPr>
                <w:sz w:val="18"/>
              </w:rPr>
              <w:t>Idem.</w:t>
            </w:r>
          </w:p>
        </w:tc>
      </w:tr>
      <w:tr>
        <w:tc>
          <w:tcPr>
            <w:tcW w:type="dxa" w:w="2041"/>
          </w:tcPr>
          <w:p>
            <w:pPr>
              <w:spacing w:after="40"/>
            </w:pPr>
            <w:r/>
            <w:r>
              <w:rPr>
                <w:sz w:val="18"/>
              </w:rPr>
              <w:t>Déplacement dans sa descendance</w:t>
            </w:r>
          </w:p>
        </w:tc>
        <w:tc>
          <w:tcPr>
            <w:tcW w:type="dxa" w:w="680"/>
          </w:tcPr>
          <w:p>
            <w:pPr>
              <w:spacing w:after="40"/>
            </w:pPr>
            <w:r/>
            <w:r>
              <w:rPr>
                <w:sz w:val="18"/>
              </w:rPr>
              <w:t>400</w:t>
            </w:r>
          </w:p>
        </w:tc>
        <w:tc>
          <w:tcPr>
            <w:tcW w:type="dxa" w:w="3175"/>
          </w:tcPr>
          <w:p>
            <w:pPr>
              <w:spacing w:after="40"/>
            </w:pPr>
            <w:r/>
            <w:r>
              <w:rPr>
                <w:sz w:val="18"/>
              </w:rPr>
              <w:t>« Un dossier ne peut pas être déplacé dans sa propre descendance »</w:t>
            </w:r>
          </w:p>
        </w:tc>
        <w:tc>
          <w:tcPr>
            <w:tcW w:type="dxa" w:w="3175"/>
          </w:tcPr>
          <w:p>
            <w:pPr>
              <w:spacing w:after="40"/>
            </w:pPr>
            <w:r/>
            <w:r>
              <w:rPr>
                <w:sz w:val="18"/>
              </w:rPr>
              <w:t>Idem.</w:t>
            </w:r>
          </w:p>
        </w:tc>
      </w:tr>
      <w:tr>
        <w:tc>
          <w:tcPr>
            <w:tcW w:type="dxa" w:w="2041"/>
          </w:tcPr>
          <w:p>
            <w:pPr>
              <w:spacing w:after="40"/>
            </w:pPr>
            <w:r/>
            <w:r>
              <w:rPr>
                <w:sz w:val="18"/>
              </w:rPr>
              <w:t>Valeur trop longue pour sa colonne</w:t>
            </w:r>
          </w:p>
        </w:tc>
        <w:tc>
          <w:tcPr>
            <w:tcW w:type="dxa" w:w="680"/>
          </w:tcPr>
          <w:p>
            <w:pPr>
              <w:spacing w:after="40"/>
            </w:pPr>
            <w:r/>
            <w:r>
              <w:rPr>
                <w:sz w:val="18"/>
              </w:rPr>
              <w:t>400</w:t>
            </w:r>
          </w:p>
        </w:tc>
        <w:tc>
          <w:tcPr>
            <w:tcW w:type="dxa" w:w="3175"/>
          </w:tcPr>
          <w:p>
            <w:pPr>
              <w:spacing w:after="40"/>
            </w:pPr>
            <w:r/>
            <w:r>
              <w:rPr>
                <w:sz w:val="18"/>
              </w:rPr>
              <w:t>« Donnée refusée par la base : une valeur dépasse la longueur autorisée pour sa colonne (255 caractères pour un champ texte). »</w:t>
            </w:r>
          </w:p>
        </w:tc>
        <w:tc>
          <w:tcPr>
            <w:tcW w:type="dxa" w:w="3175"/>
          </w:tcPr>
          <w:p>
            <w:pPr>
              <w:spacing w:after="40"/>
            </w:pPr>
            <w:r/>
            <w:r>
              <w:rPr>
                <w:sz w:val="18"/>
              </w:rPr>
              <w:t>Message affiché tel quel. Le message ne recopie jamais l'erreur brute de la base, qui exposerait le nom des tables et des contraintes.</w:t>
            </w:r>
          </w:p>
        </w:tc>
      </w:tr>
      <w:tr>
        <w:tc>
          <w:tcPr>
            <w:tcW w:type="dxa" w:w="2041"/>
          </w:tcPr>
          <w:p>
            <w:pPr>
              <w:spacing w:after="40"/>
            </w:pPr>
            <w:r/>
            <w:r>
              <w:rPr>
                <w:sz w:val="18"/>
              </w:rPr>
              <w:t>Numéro de page hors limites</w:t>
            </w:r>
          </w:p>
        </w:tc>
        <w:tc>
          <w:tcPr>
            <w:tcW w:type="dxa" w:w="680"/>
          </w:tcPr>
          <w:p>
            <w:pPr>
              <w:spacing w:after="40"/>
            </w:pPr>
            <w:r/>
            <w:r>
              <w:rPr>
                <w:sz w:val="18"/>
              </w:rPr>
              <w:t>400</w:t>
            </w:r>
          </w:p>
        </w:tc>
        <w:tc>
          <w:tcPr>
            <w:tcW w:type="dxa" w:w="3175"/>
          </w:tcPr>
          <w:p>
            <w:pPr>
              <w:spacing w:after="40"/>
            </w:pPr>
            <w:r/>
            <w:r>
              <w:rPr>
                <w:sz w:val="18"/>
              </w:rPr>
              <w:t>« Numéro de page hors limites : au plus N pour une taille de page de M (reçu : P). »</w:t>
            </w:r>
          </w:p>
        </w:tc>
        <w:tc>
          <w:tcPr>
            <w:tcW w:type="dxa" w:w="3175"/>
          </w:tcPr>
          <w:p>
            <w:pPr>
              <w:spacing w:after="40"/>
            </w:pPr>
            <w:r/>
            <w:r>
              <w:rPr>
                <w:sz w:val="18"/>
              </w:rPr>
              <w:t>Cas d'appel direct à l'API ; l'écran ne produit jamais ce paramètre.</w:t>
            </w:r>
          </w:p>
        </w:tc>
      </w:tr>
      <w:tr>
        <w:tc>
          <w:tcPr>
            <w:tcW w:type="dxa" w:w="2041"/>
          </w:tcPr>
          <w:p>
            <w:pPr>
              <w:spacing w:after="40"/>
            </w:pPr>
            <w:r/>
            <w:r>
              <w:rPr>
                <w:sz w:val="18"/>
              </w:rPr>
              <w:t>Appelant non authentifié</w:t>
            </w:r>
          </w:p>
        </w:tc>
        <w:tc>
          <w:tcPr>
            <w:tcW w:type="dxa" w:w="680"/>
          </w:tcPr>
          <w:p>
            <w:pPr>
              <w:spacing w:after="40"/>
            </w:pPr>
            <w:r/>
            <w:r>
              <w:rPr>
                <w:sz w:val="18"/>
              </w:rPr>
              <w:t>401</w:t>
            </w:r>
          </w:p>
        </w:tc>
        <w:tc>
          <w:tcPr>
            <w:tcW w:type="dxa" w:w="3175"/>
          </w:tcPr>
          <w:p>
            <w:pPr>
              <w:spacing w:after="40"/>
            </w:pPr>
            <w:r/>
            <w:r>
              <w:rPr>
                <w:sz w:val="18"/>
              </w:rPr>
              <w:t>Aucun corps.</w:t>
            </w:r>
          </w:p>
        </w:tc>
        <w:tc>
          <w:tcPr>
            <w:tcW w:type="dxa" w:w="3175"/>
          </w:tcPr>
          <w:p>
            <w:pPr>
              <w:spacing w:after="40"/>
            </w:pPr>
            <w:r/>
            <w:r>
              <w:rPr>
                <w:sz w:val="18"/>
              </w:rPr>
              <w:t>L'intercepteur ferme la session et renvoie vers la connexion.</w:t>
            </w:r>
          </w:p>
        </w:tc>
      </w:tr>
    </w:tbl>
    <w:p/>
    <w:p>
      <w:pPr>
        <w:pStyle w:val="Heading1"/>
      </w:pPr>
      <w:r>
        <w:t>7. Ce qui est écrit, et dans quel ordre</w:t>
      </w:r>
    </w:p>
    <w:p>
      <w:pPr>
        <w:pStyle w:val="Heading2"/>
      </w:pPr>
      <w:r>
        <w:t>7.1. Création</w:t>
      </w:r>
    </w:p>
    <w:p>
      <w:pPr>
        <w:spacing w:after="0" w:before="0" w:line="240" w:lineRule="auto"/>
      </w:pPr>
      <w:r>
        <w:rPr>
          <w:rFonts w:ascii="Consolas" w:hAnsi="Consolas" w:cs="Consolas"/>
          <w:sz w:val="18"/>
        </w:rPr>
        <w:t xml:space="preserve"> 1. Validation du corps (nom, code, proprietaire, circuit)   -&gt; 400</w:t>
      </w:r>
    </w:p>
    <w:p>
      <w:pPr>
        <w:spacing w:after="0" w:before="0" w:line="240" w:lineRule="auto"/>
      </w:pPr>
      <w:r>
        <w:rPr>
          <w:rFonts w:ascii="Consolas" w:hAnsi="Consolas" w:cs="Consolas"/>
          <w:sz w:val="18"/>
        </w:rPr>
        <w:t xml:space="preserve"> 2. Verification d'unicite du code                           -&gt; 400</w:t>
      </w:r>
    </w:p>
    <w:p>
      <w:pPr>
        <w:spacing w:after="0" w:before="0" w:line="240" w:lineRule="auto"/>
      </w:pPr>
      <w:r>
        <w:rPr>
          <w:rFonts w:ascii="Consolas" w:hAnsi="Consolas" w:cs="Consolas"/>
          <w:sz w:val="18"/>
        </w:rPr>
        <w:t xml:space="preserve"> 3. Construction de l'objet en memoire (nom, code)</w:t>
      </w:r>
    </w:p>
    <w:p>
      <w:pPr>
        <w:spacing w:after="0" w:before="0" w:line="240" w:lineRule="auto"/>
      </w:pPr>
      <w:r>
        <w:rPr>
          <w:rFonts w:ascii="Consolas" w:hAnsi="Consolas" w:cs="Consolas"/>
          <w:sz w:val="18"/>
        </w:rPr>
        <w:t xml:space="preserve"> 4. Lecture du proprietaire                                  -&gt; 404</w:t>
      </w:r>
    </w:p>
    <w:p>
      <w:pPr>
        <w:spacing w:after="0" w:before="0" w:line="240" w:lineRule="auto"/>
      </w:pPr>
      <w:r>
        <w:rPr>
          <w:rFonts w:ascii="Consolas" w:hAnsi="Consolas" w:cs="Consolas"/>
          <w:sz w:val="18"/>
        </w:rPr>
        <w:t xml:space="preserve"> 5. Lecture du circuit                                       -&gt; 404</w:t>
      </w:r>
    </w:p>
    <w:p>
      <w:pPr>
        <w:spacing w:after="0" w:before="0" w:line="240" w:lineRule="auto"/>
      </w:pPr>
      <w:r>
        <w:rPr>
          <w:rFonts w:ascii="Consolas" w:hAnsi="Consolas" w:cs="Consolas"/>
          <w:sz w:val="18"/>
        </w:rPr>
        <w:t xml:space="preserve"> 6. Lecture du parent, si un parent est demande              -&gt; 404</w:t>
      </w:r>
    </w:p>
    <w:p>
      <w:pPr>
        <w:spacing w:after="0" w:before="0" w:line="240" w:lineRule="auto"/>
      </w:pPr>
      <w:r>
        <w:rPr>
          <w:rFonts w:ascii="Consolas" w:hAnsi="Consolas" w:cs="Consolas"/>
          <w:sz w:val="18"/>
        </w:rPr>
        <w:t xml:space="preserve"> 7. ECRITURE de la ligne</w:t>
      </w:r>
    </w:p>
    <w:p>
      <w:pPr>
        <w:spacing w:after="0" w:before="0" w:line="240" w:lineRule="auto"/>
      </w:pPr>
      <w:r>
        <w:rPr>
          <w:rFonts w:ascii="Consolas" w:hAnsi="Consolas" w:cs="Consolas"/>
          <w:sz w:val="18"/>
        </w:rPr>
        <w:t xml:space="preserve"> 8. Comptage des sous-dossiers pour composer la reponse</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Une seule ecriture, en fin de sequence. Tout refus survenu aux etapes</w:t>
      </w:r>
    </w:p>
    <w:p>
      <w:pPr>
        <w:spacing w:after="0" w:before="0" w:line="240" w:lineRule="auto"/>
      </w:pPr>
      <w:r>
        <w:rPr>
          <w:rFonts w:ascii="Consolas" w:hAnsi="Consolas" w:cs="Consolas"/>
          <w:sz w:val="18"/>
        </w:rPr>
        <w:t xml:space="preserve"> 1 a 6 laisse la base intacte : aucune ligne partielle ne peut exister.</w:t>
      </w:r>
    </w:p>
    <w:p/>
    <w:p>
      <w:pPr>
        <w:pStyle w:val="Heading2"/>
      </w:pPr>
      <w:r>
        <w:t>7.2. Modification</w:t>
      </w:r>
    </w:p>
    <w:p>
      <w:r>
        <w:rPr>
          <w:b w:val="0"/>
          <w:i w:val="0"/>
        </w:rPr>
        <w:t>La séquence est identique, précédée du chargement de l'espace et du contrôle de corbeille, et l'unicité du code est vérifiée en excluant l'espace lui-même. Un point mérite d'être souligné : la modification remplace intégralement la fiche. Les champs facultatifs absents du corps — description, parent, statut — sont remis à leur valeur de repli, et non conservés. Un client qui n'enverrait que le nom effacerait donc le rattachement au parent.</w:t>
      </w:r>
    </w:p>
    <w:p>
      <w:pPr>
        <w:pStyle w:val="Heading2"/>
      </w:pPr>
      <w:r>
        <w:t>7.3. Déplacement</w:t>
      </w:r>
    </w:p>
    <w:p>
      <w:pPr>
        <w:spacing w:after="0" w:before="0" w:line="240" w:lineRule="auto"/>
      </w:pPr>
      <w:r>
        <w:rPr>
          <w:rFonts w:ascii="Consolas" w:hAnsi="Consolas" w:cs="Consolas"/>
          <w:sz w:val="18"/>
        </w:rPr>
        <w:t xml:space="preserve"> 1. Chargement de l'espace                                   -&gt; 404</w:t>
      </w:r>
    </w:p>
    <w:p>
      <w:pPr>
        <w:spacing w:after="0" w:before="0" w:line="240" w:lineRule="auto"/>
      </w:pPr>
      <w:r>
        <w:rPr>
          <w:rFonts w:ascii="Consolas" w:hAnsi="Consolas" w:cs="Consolas"/>
          <w:sz w:val="18"/>
        </w:rPr>
        <w:t xml:space="preserve"> 2. Controle de corbeille                                    -&gt; 400</w:t>
      </w:r>
    </w:p>
    <w:p>
      <w:pPr>
        <w:spacing w:after="0" w:before="0" w:line="240" w:lineRule="auto"/>
      </w:pPr>
      <w:r>
        <w:rPr>
          <w:rFonts w:ascii="Consolas" w:hAnsi="Consolas" w:cs="Consolas"/>
          <w:sz w:val="18"/>
        </w:rPr>
        <w:t xml:space="preserve"> 3. Si un parent est demande :</w:t>
      </w:r>
    </w:p>
    <w:p>
      <w:pPr>
        <w:spacing w:after="0" w:before="0" w:line="240" w:lineRule="auto"/>
      </w:pPr>
      <w:r>
        <w:rPr>
          <w:rFonts w:ascii="Consolas" w:hAnsi="Consolas" w:cs="Consolas"/>
          <w:sz w:val="18"/>
        </w:rPr>
        <w:t xml:space="preserve">      a. le parent est-il l'espace lui-meme ?                -&gt; 400</w:t>
      </w:r>
    </w:p>
    <w:p>
      <w:pPr>
        <w:spacing w:after="0" w:before="0" w:line="240" w:lineRule="auto"/>
      </w:pPr>
      <w:r>
        <w:rPr>
          <w:rFonts w:ascii="Consolas" w:hAnsi="Consolas" w:cs="Consolas"/>
          <w:sz w:val="18"/>
        </w:rPr>
        <w:t xml:space="preserve">      b. parcours en largeur de la descendance ;</w:t>
      </w:r>
    </w:p>
    <w:p>
      <w:pPr>
        <w:spacing w:after="0" w:before="0" w:line="240" w:lineRule="auto"/>
      </w:pPr>
      <w:r>
        <w:rPr>
          <w:rFonts w:ascii="Consolas" w:hAnsi="Consolas" w:cs="Consolas"/>
          <w:sz w:val="18"/>
        </w:rPr>
        <w:t xml:space="preserve">         la cible en fait-elle partie ?                      -&gt; 400</w:t>
      </w:r>
    </w:p>
    <w:p>
      <w:pPr>
        <w:spacing w:after="0" w:before="0" w:line="240" w:lineRule="auto"/>
      </w:pPr>
      <w:r>
        <w:rPr>
          <w:rFonts w:ascii="Consolas" w:hAnsi="Consolas" w:cs="Consolas"/>
          <w:sz w:val="18"/>
        </w:rPr>
        <w:t xml:space="preserve">      c. lecture du parent                                   -&gt; 404</w:t>
      </w:r>
    </w:p>
    <w:p>
      <w:pPr>
        <w:spacing w:after="0" w:before="0" w:line="240" w:lineRule="auto"/>
      </w:pPr>
      <w:r>
        <w:rPr>
          <w:rFonts w:ascii="Consolas" w:hAnsi="Consolas" w:cs="Consolas"/>
          <w:sz w:val="18"/>
        </w:rPr>
        <w:t xml:space="preserve">      d. ECRITURE du nouveau parent</w:t>
      </w:r>
    </w:p>
    <w:p>
      <w:pPr>
        <w:spacing w:after="0" w:before="0" w:line="240" w:lineRule="auto"/>
      </w:pPr>
      <w:r>
        <w:rPr>
          <w:rFonts w:ascii="Consolas" w:hAnsi="Consolas" w:cs="Consolas"/>
          <w:sz w:val="18"/>
        </w:rPr>
        <w:t xml:space="preserve">    Sinon :</w:t>
      </w:r>
    </w:p>
    <w:p>
      <w:pPr>
        <w:spacing w:after="0" w:before="0" w:line="240" w:lineRule="auto"/>
      </w:pPr>
      <w:r>
        <w:rPr>
          <w:rFonts w:ascii="Consolas" w:hAnsi="Consolas" w:cs="Consolas"/>
          <w:sz w:val="18"/>
        </w:rPr>
        <w:t xml:space="preserve">      e. ECRITURE du parent a vide (retour a la racine)</w:t>
      </w:r>
    </w:p>
    <w:p>
      <w:pPr>
        <w:spacing w:after="0" w:before="0" w:line="240" w:lineRule="auto"/>
      </w:pPr>
      <w:r>
        <w:rPr>
          <w:rFonts w:ascii="Consolas" w:hAnsi="Consolas" w:cs="Consolas"/>
          <w:sz w:val="18"/>
        </w:rPr>
        <w:t xml:space="preserve"> </w:t>
      </w:r>
    </w:p>
    <w:p>
      <w:pPr>
        <w:spacing w:after="0" w:before="0" w:line="240" w:lineRule="auto"/>
      </w:pPr>
      <w:r>
        <w:rPr>
          <w:rFonts w:ascii="Consolas" w:hAnsi="Consolas" w:cs="Consolas"/>
          <w:sz w:val="18"/>
        </w:rPr>
        <w:t xml:space="preserve"> Les enfants ne sont JAMAIS reecrits : ils designent leur parent, et</w:t>
      </w:r>
    </w:p>
    <w:p>
      <w:pPr>
        <w:spacing w:after="0" w:before="0" w:line="240" w:lineRule="auto"/>
      </w:pPr>
      <w:r>
        <w:rPr>
          <w:rFonts w:ascii="Consolas" w:hAnsi="Consolas" w:cs="Consolas"/>
          <w:sz w:val="18"/>
        </w:rPr>
        <w:t xml:space="preserve"> c'est le parent qui a change de place. Deplacer un noeud emporte donc</w:t>
      </w:r>
    </w:p>
    <w:p>
      <w:pPr>
        <w:spacing w:after="0" w:before="0" w:line="240" w:lineRule="auto"/>
      </w:pPr>
      <w:r>
        <w:rPr>
          <w:rFonts w:ascii="Consolas" w:hAnsi="Consolas" w:cs="Consolas"/>
          <w:sz w:val="18"/>
        </w:rPr>
        <w:t xml:space="preserve"> sa sous-arborescence entiere en une seule ecriture.</w:t>
      </w:r>
    </w:p>
    <w:p/>
    <w:p>
      <w:pPr>
        <w:pStyle w:val="Heading2"/>
      </w:pPr>
      <w:r>
        <w:t>7.4. Archivage et corbeille</w:t>
      </w:r>
    </w:p>
    <w:p>
      <w:pPr>
        <w:pStyle w:val="ListBullet"/>
        <w:spacing w:after="60"/>
      </w:pPr>
      <w:r>
        <w:rPr>
          <w:b/>
        </w:rPr>
        <w:t>Bascule d'archivage.</w:t>
      </w:r>
      <w:r>
        <w:t xml:space="preserve"> Chargement, contrôle de corbeille, puis écriture du statut : ARCHIVE si le statut courant est différent d'ARCHIVE, ACTIF sinon. Une seule écriture.</w:t>
      </w:r>
    </w:p>
    <w:p>
      <w:pPr>
        <w:pStyle w:val="ListBullet"/>
        <w:spacing w:after="60"/>
      </w:pPr>
      <w:r>
        <w:rPr>
          <w:b/>
        </w:rPr>
        <w:t>Mise à la corbeille.</w:t>
      </w:r>
      <w:r>
        <w:t xml:space="preserve"> Chargement puis écriture du drapeau. Aucun contrôle préalable : ni la présence de sous-dossiers, ni celle de documents, ni celle de types rattachés n'empêche l'opération.</w:t>
      </w:r>
    </w:p>
    <w:p>
      <w:pPr>
        <w:pStyle w:val="ListBullet"/>
        <w:spacing w:after="60"/>
      </w:pPr>
      <w:r>
        <w:rPr>
          <w:b/>
        </w:rPr>
        <w:t>Restauration.</w:t>
      </w:r>
      <w:r>
        <w:t xml:space="preserve"> Chargement puis écriture inverse du drapeau. Aucune confirmation n'est demandée par l'API — c'est un choix fonctionnel assumé, le geste étant réversible.</w:t>
      </w:r>
    </w:p>
    <w:p>
      <w:pPr>
        <w:pStyle w:val="ListBullet"/>
        <w:spacing w:after="60"/>
      </w:pPr>
      <w:r>
        <w:rPr>
          <w:b/>
        </w:rPr>
        <w:t>Opérations groupées.</w:t>
      </w:r>
      <w:r>
        <w:t xml:space="preserve"> Une seule requête ramène les espaces concernés dans le bon état de corbeille, puis chacun est marqué. Les identifiants inconnus ou déjà dans l'état cible sont silencieusement absents du résultat de la requête, donc ignorés. L'opération répond toujours sans corps, y compris si aucun identifiant n'a été traité.</w:t>
      </w:r>
    </w:p>
    <w:p>
      <w:pPr>
        <w:pStyle w:val="Heading2"/>
      </w:pPr>
      <w:r>
        <w:t>7.5. Si une étape échoue en cours de route</w:t>
      </w:r>
    </w:p>
    <w:p>
      <w:r>
        <w:rPr>
          <w:b w:val="0"/>
          <w:i w:val="0"/>
        </w:rPr>
        <w:t>Chaque opération d'écriture est transactionnelle. Une défaillance après la première écriture annule l'ensemble : il n'existe pas d'état où un espace serait créé sans propriétaire, ou déplacé sans que le contrôle anti-cycle ait été passé. Les opérations groupées suivent la même règle : si l'une des lignes échoue, aucune n'est marquée. C'est un choix implicite du modèle transactionnel qu'il faut connaître, car l'écran annonce « 2 dossier(s) supprimé(s) » sans que le serveur lui indique combien de lignes ont réellement changé d'état.</w:t>
      </w:r>
    </w:p>
    <w:p>
      <w:pPr>
        <w:pStyle w:val="Heading1"/>
      </w:pPr>
      <w:r>
        <w:t>8. Les effets de bord</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2041"/>
          </w:tcPr>
          <w:p>
            <w:pPr>
              <w:spacing w:after="40"/>
            </w:pPr>
            <w:r/>
            <w:r>
              <w:rPr>
                <w:b/>
                <w:sz w:val="18"/>
              </w:rPr>
              <w:t>Effet</w:t>
            </w:r>
          </w:p>
        </w:tc>
        <w:tc>
          <w:tcPr>
            <w:tcW w:type="dxa" w:w="2494"/>
          </w:tcPr>
          <w:p>
            <w:pPr>
              <w:spacing w:after="40"/>
            </w:pPr>
            <w:r/>
            <w:r>
              <w:rPr>
                <w:b/>
                <w:sz w:val="18"/>
              </w:rPr>
              <w:t>Déclencheur</w:t>
            </w:r>
          </w:p>
        </w:tc>
        <w:tc>
          <w:tcPr>
            <w:tcW w:type="dxa" w:w="4535"/>
          </w:tcPr>
          <w:p>
            <w:pPr>
              <w:spacing w:after="40"/>
            </w:pPr>
            <w:r/>
            <w:r>
              <w:rPr>
                <w:b/>
                <w:sz w:val="18"/>
              </w:rPr>
              <w:t>Conséquence</w:t>
            </w:r>
          </w:p>
        </w:tc>
      </w:tr>
      <w:tr>
        <w:tc>
          <w:tcPr>
            <w:tcW w:type="dxa" w:w="2041"/>
          </w:tcPr>
          <w:p>
            <w:pPr>
              <w:spacing w:after="40"/>
            </w:pPr>
            <w:r/>
            <w:r>
              <w:rPr>
                <w:sz w:val="18"/>
              </w:rPr>
              <w:t>Promotion des orphelins à la racine</w:t>
            </w:r>
          </w:p>
        </w:tc>
        <w:tc>
          <w:tcPr>
            <w:tcW w:type="dxa" w:w="2494"/>
          </w:tcPr>
          <w:p>
            <w:pPr>
              <w:spacing w:after="40"/>
            </w:pPr>
            <w:r/>
            <w:r>
              <w:rPr>
                <w:sz w:val="18"/>
              </w:rPr>
              <w:t>Mise à la corbeille d'un espace ayant des enfants vivants</w:t>
            </w:r>
          </w:p>
        </w:tc>
        <w:tc>
          <w:tcPr>
            <w:tcW w:type="dxa" w:w="4535"/>
          </w:tcPr>
          <w:p>
            <w:pPr>
              <w:spacing w:after="40"/>
            </w:pPr>
            <w:r/>
            <w:r>
              <w:rPr>
                <w:sz w:val="18"/>
              </w:rPr>
              <w:t>L'arbre ne trouvant plus le parent, les enfants apparaissent comme racines. Ils conservent pourtant leur référence au parent supprimé : restaurer le parent les remet en place, sans aucune écriture sur les enfants.</w:t>
            </w:r>
          </w:p>
        </w:tc>
      </w:tr>
      <w:tr>
        <w:tc>
          <w:tcPr>
            <w:tcW w:type="dxa" w:w="2041"/>
          </w:tcPr>
          <w:p>
            <w:pPr>
              <w:spacing w:after="40"/>
            </w:pPr>
            <w:r/>
            <w:r>
              <w:rPr>
                <w:sz w:val="18"/>
              </w:rPr>
              <w:t>Disparition silencieuse d'un sous-arbre</w:t>
            </w:r>
          </w:p>
        </w:tc>
        <w:tc>
          <w:tcPr>
            <w:tcW w:type="dxa" w:w="2494"/>
          </w:tcPr>
          <w:p>
            <w:pPr>
              <w:spacing w:after="40"/>
            </w:pPr>
            <w:r/>
            <w:r>
              <w:rPr>
                <w:sz w:val="18"/>
              </w:rPr>
              <w:t>Création d'un cycle par la modification de fiche (voir section 10)</w:t>
            </w:r>
          </w:p>
        </w:tc>
        <w:tc>
          <w:tcPr>
            <w:tcW w:type="dxa" w:w="4535"/>
          </w:tcPr>
          <w:p>
            <w:pPr>
              <w:spacing w:after="40"/>
            </w:pPr>
            <w:r/>
            <w:r>
              <w:rPr>
                <w:sz w:val="18"/>
              </w:rPr>
              <w:t>Aucun nœud du cycle n'étant atteignable depuis une racine, la sous-arborescence cesse d'apparaître dans l'arbre. Le tableau, lui, continue de la lister.</w:t>
            </w:r>
          </w:p>
        </w:tc>
      </w:tr>
      <w:tr>
        <w:tc>
          <w:tcPr>
            <w:tcW w:type="dxa" w:w="2041"/>
          </w:tcPr>
          <w:p>
            <w:pPr>
              <w:spacing w:after="40"/>
            </w:pPr>
            <w:r/>
            <w:r>
              <w:rPr>
                <w:sz w:val="18"/>
              </w:rPr>
              <w:t>Documents laissés en place</w:t>
            </w:r>
          </w:p>
        </w:tc>
        <w:tc>
          <w:tcPr>
            <w:tcW w:type="dxa" w:w="2494"/>
          </w:tcPr>
          <w:p>
            <w:pPr>
              <w:spacing w:after="40"/>
            </w:pPr>
            <w:r/>
            <w:r>
              <w:rPr>
                <w:sz w:val="18"/>
              </w:rPr>
              <w:t>Mise à la corbeille d'un espace contenant des documents</w:t>
            </w:r>
          </w:p>
        </w:tc>
        <w:tc>
          <w:tcPr>
            <w:tcW w:type="dxa" w:w="4535"/>
          </w:tcPr>
          <w:p>
            <w:pPr>
              <w:spacing w:after="40"/>
            </w:pPr>
            <w:r/>
            <w:r>
              <w:rPr>
                <w:sz w:val="18"/>
              </w:rPr>
              <w:t>Les documents ne sont pas supprimés, restent listés et restent comptés dans les indicateurs du tableau de bord.</w:t>
            </w:r>
          </w:p>
        </w:tc>
      </w:tr>
      <w:tr>
        <w:tc>
          <w:tcPr>
            <w:tcW w:type="dxa" w:w="2041"/>
          </w:tcPr>
          <w:p>
            <w:pPr>
              <w:spacing w:after="40"/>
            </w:pPr>
            <w:r/>
            <w:r>
              <w:rPr>
                <w:sz w:val="18"/>
              </w:rPr>
              <w:t>Types de document laissés en place</w:t>
            </w:r>
          </w:p>
        </w:tc>
        <w:tc>
          <w:tcPr>
            <w:tcW w:type="dxa" w:w="2494"/>
          </w:tcPr>
          <w:p>
            <w:pPr>
              <w:spacing w:after="40"/>
            </w:pPr>
            <w:r/>
            <w:r>
              <w:rPr>
                <w:sz w:val="18"/>
              </w:rPr>
              <w:t>Mise à la corbeille d'un espace référencé par des types</w:t>
            </w:r>
          </w:p>
        </w:tc>
        <w:tc>
          <w:tcPr>
            <w:tcW w:type="dxa" w:w="4535"/>
          </w:tcPr>
          <w:p>
            <w:pPr>
              <w:spacing w:after="40"/>
            </w:pPr>
            <w:r/>
            <w:r>
              <w:rPr>
                <w:sz w:val="18"/>
              </w:rPr>
              <w:t>Les types continuent de pointer vers un espace supprimé. Rien ne le signale.</w:t>
            </w:r>
          </w:p>
        </w:tc>
      </w:tr>
      <w:tr>
        <w:tc>
          <w:tcPr>
            <w:tcW w:type="dxa" w:w="2041"/>
          </w:tcPr>
          <w:p>
            <w:pPr>
              <w:spacing w:after="40"/>
            </w:pPr>
            <w:r/>
            <w:r>
              <w:rPr>
                <w:sz w:val="18"/>
              </w:rPr>
              <w:t>Recomptage des sous-dossiers</w:t>
            </w:r>
          </w:p>
        </w:tc>
        <w:tc>
          <w:tcPr>
            <w:tcW w:type="dxa" w:w="2494"/>
          </w:tcPr>
          <w:p>
            <w:pPr>
              <w:spacing w:after="40"/>
            </w:pPr>
            <w:r/>
            <w:r>
              <w:rPr>
                <w:sz w:val="18"/>
              </w:rPr>
              <w:t>Toute lecture d'une fiche ou d'une ligne de liste</w:t>
            </w:r>
          </w:p>
        </w:tc>
        <w:tc>
          <w:tcPr>
            <w:tcW w:type="dxa" w:w="4535"/>
          </w:tcPr>
          <w:p>
            <w:pPr>
              <w:spacing w:after="40"/>
            </w:pPr>
            <w:r/>
            <w:r>
              <w:rPr>
                <w:sz w:val="18"/>
              </w:rPr>
              <w:t>Une requête de comptage par ligne. Voir section 10 pour le coût.</w:t>
            </w:r>
          </w:p>
        </w:tc>
      </w:tr>
      <w:tr>
        <w:tc>
          <w:tcPr>
            <w:tcW w:type="dxa" w:w="2041"/>
          </w:tcPr>
          <w:p>
            <w:pPr>
              <w:spacing w:after="40"/>
            </w:pPr>
            <w:r/>
            <w:r>
              <w:rPr>
                <w:sz w:val="18"/>
              </w:rPr>
              <w:t>Circuits déjà lancés inchangés</w:t>
            </w:r>
          </w:p>
        </w:tc>
        <w:tc>
          <w:tcPr>
            <w:tcW w:type="dxa" w:w="2494"/>
          </w:tcPr>
          <w:p>
            <w:pPr>
              <w:spacing w:after="40"/>
            </w:pPr>
            <w:r/>
            <w:r>
              <w:rPr>
                <w:sz w:val="18"/>
              </w:rPr>
              <w:t>Changement de la règle de workflow d'un espace</w:t>
            </w:r>
          </w:p>
        </w:tc>
        <w:tc>
          <w:tcPr>
            <w:tcW w:type="dxa" w:w="4535"/>
          </w:tcPr>
          <w:p>
            <w:pPr>
              <w:spacing w:after="40"/>
            </w:pPr>
            <w:r/>
            <w:r>
              <w:rPr>
                <w:sz w:val="18"/>
              </w:rPr>
              <w:t>Les documents déjà déposés portent leurs propres étapes, copiées au moment du dépôt. Ils ne sont pas rejoués.</w:t>
            </w:r>
          </w:p>
        </w:tc>
      </w:tr>
    </w:tbl>
    <w:p/>
    <w:p>
      <w:pPr>
        <w:pStyle w:val="Heading2"/>
      </w:pPr>
      <w:r>
        <w:t>8.1. Ce qui n'est jamais supprimé</w:t>
      </w:r>
    </w:p>
    <w:p>
      <w:pPr>
        <w:pStyle w:val="ListBullet"/>
        <w:spacing w:after="60"/>
      </w:pPr>
      <w:r>
        <w:t>Aucune ligne d'espace de travail n'est effacée par l'API. La suppression est un marquage.</w:t>
      </w:r>
    </w:p>
    <w:p>
      <w:pPr>
        <w:pStyle w:val="ListBullet"/>
        <w:spacing w:after="60"/>
      </w:pPr>
      <w:r>
        <w:t>Les colonnes d'audit — date de création, date de mise à jour — ne sont jamais remises à zéro.</w:t>
      </w:r>
    </w:p>
    <w:p>
      <w:pPr>
        <w:pStyle w:val="ListBullet"/>
        <w:spacing w:after="60"/>
      </w:pPr>
      <w:r>
        <w:t>Aucun fichier n'est écrit ni effacé sur disque par ce module : les espaces sont une pure structure logique, le chemin physique d'un document ne les reflète pas.</w:t>
      </w:r>
    </w:p>
    <w:p>
      <w:pPr>
        <w:pStyle w:val="Heading1"/>
      </w:pPr>
      <w:r>
        <w:t>9. Sécurité et contrôle d'accès</w:t>
      </w:r>
    </w:p>
    <w:p>
      <w:r>
        <w:rPr>
          <w:b w:val="0"/>
          <w:i w:val="0"/>
        </w:rPr>
        <w:t>L'application ne comporte qu'un seul compte, l'administrateur. Toutes les opérations décrites dans ce rapport lui sont ouvertes sans exception, et il n'existe aucune annotation d'autorisation sur ce module. La seule question posée par la chaîne de filtres est « l'appelant est-il authentifié ? ».</w:t>
      </w:r>
    </w:p>
    <w:p>
      <w:pPr>
        <w:pStyle w:val="Heading2"/>
      </w:pPr>
      <w:r>
        <w:t>9.1. Le propriétaire n'est pas un droit</w:t>
      </w:r>
    </w:p>
    <w:p>
      <w:r>
        <w:rPr>
          <w:b w:val="0"/>
          <w:i w:val="0"/>
        </w:rPr>
        <w:t>Le champ « propriétaire » désigne un employé, c'est-à-dire une donnée métier. Il ne confère aucun accès, ne restreint rien et ne conditionne aucune opération : le propriétaire d'un dossier ne se connecte pas. Il répond à une question d'organisation — qui est responsable de ce classement — pas à une question de sécurité. Aucune requête du module ne filtre sur le propriétaire.</w:t>
      </w:r>
    </w:p>
    <w:p>
      <w:pPr>
        <w:pStyle w:val="Heading2"/>
      </w:pPr>
      <w:r>
        <w:t>9.2. Les groupes d'accès ne protègent rien</w:t>
      </w:r>
    </w:p>
    <w:p>
      <w:r>
        <w:rPr>
          <w:b w:val="0"/>
          <w:i w:val="0"/>
        </w:rPr>
        <w:t>La fiche d'un espace liste les groupes qui le couvrent. Cette information est purement descriptive : le rattachement à un groupe n'ouvre ni ne ferme aucun accès. Les colonnes de droits fins héritées de l'ancien modèle subsistent en base pour ne rien détruire, mais elles ne sont plus ni lues ni écrites par l'application.</w:t>
      </w:r>
    </w:p>
    <w:p>
      <w:pPr>
        <w:pStyle w:val="Heading2"/>
      </w:pPr>
      <w:r>
        <w:t>9.3. Ce que le module protège réellement</w:t>
      </w:r>
    </w:p>
    <w:p>
      <w:pPr>
        <w:pStyle w:val="ListBullet"/>
        <w:spacing w:after="60"/>
      </w:pPr>
      <w:r>
        <w:t>La cohérence de la hiérarchie, par le contrôle anti-cycle du déplacement.</w:t>
      </w:r>
    </w:p>
    <w:p>
      <w:pPr>
        <w:pStyle w:val="ListBullet"/>
        <w:spacing w:after="60"/>
      </w:pPr>
      <w:r>
        <w:t>L'unicité des codes, vérifiée à deux niveaux.</w:t>
      </w:r>
    </w:p>
    <w:p>
      <w:pPr>
        <w:pStyle w:val="ListBullet"/>
        <w:spacing w:after="60"/>
      </w:pPr>
      <w:r>
        <w:t>L'intégrité référentielle : toutes les clés étrangères sont posées et aucune n'est en suppression cascade, de sorte qu'aucune donnée ne peut disparaître par ricochet.</w:t>
      </w:r>
    </w:p>
    <w:p>
      <w:pPr>
        <w:pStyle w:val="ListBullet"/>
        <w:spacing w:after="60"/>
      </w:pPr>
      <w:r>
        <w:t>La stabilité du service : plafond de taille de page, contrôle du numéro de page, liste blanche des colonnes de tri.</w:t>
      </w:r>
    </w:p>
    <w:p>
      <w:pPr>
        <w:pStyle w:val="Heading1"/>
      </w:pPr>
      <w:r>
        <w:t>10. Points de vigilance et limites connues</w:t>
      </w:r>
    </w:p>
    <w:p>
      <w:pPr>
        <w:pStyle w:val="Heading2"/>
      </w:pPr>
      <w:r>
        <w:t>10.1. Le contrôle anti-cycle ne couvre pas la modification de fiche</w:t>
      </w:r>
    </w:p>
    <w:p>
      <w:r>
        <w:rPr>
          <w:b w:val="0"/>
          <w:i w:val="0"/>
        </w:rPr>
        <w:t>C'est le point le plus important de cette section. Le contrôle qui interdit à un dossier de devenir son propre parent, ou de descendre dans sa propre descendance, n'existe que dans l'opération de déplacement. L'opération de modification, qui accepte elle aussi un identifiant de parent, applique la nouvelle valeur sans aucune vérification.</w:t>
      </w:r>
    </w:p>
    <w:p>
      <w:r>
        <w:rPr>
          <w:b w:val="0"/>
          <w:i w:val="0"/>
        </w:rPr>
        <w:t>Concrètement, une modification de fiche désignant comme parent l'espace lui-même, ou l'un de ses descendants, est acceptée et écrite. La conséquence n'est pas un blocage du serveur — la construction de l'arbre n'entre pas en boucle, parce qu'elle ne descend que depuis les racines — mais une disparition silencieuse : aucun nœud du cycle n'étant atteignable depuis une racine, la sous-arborescence cesse d'apparaître dans l'arbre. Elle reste visible dans le tableau, ce qui met précisément l'utilisateur dans la situation que la spécification cherchait à éviter : deux vues qui ne disent pas la même chose.</w:t>
      </w:r>
    </w:p>
    <w:p>
      <w:pPr>
        <w:spacing w:before="120" w:after="200"/>
        <w:ind w:left="283"/>
      </w:pPr>
      <w:r>
        <w:rPr>
          <w:b/>
        </w:rPr>
        <w:t xml:space="preserve">Correction recommandée — </w:t>
      </w:r>
      <w:r>
        <w:t>appliquer le même contrôle de descendance dans l'opération de modification que dans l'opération de déplacement, en excluant l'espace en cours de modification.</w:t>
      </w:r>
    </w:p>
    <w:p>
      <w:pPr>
        <w:pStyle w:val="Heading2"/>
      </w:pPr>
      <w:r>
        <w:t>10.2. Autres contrôles absents</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2494"/>
          </w:tcPr>
          <w:p>
            <w:pPr>
              <w:spacing w:after="40"/>
            </w:pPr>
            <w:r/>
            <w:r>
              <w:rPr>
                <w:b/>
                <w:sz w:val="18"/>
              </w:rPr>
              <w:t>Contrôle absent</w:t>
            </w:r>
          </w:p>
        </w:tc>
        <w:tc>
          <w:tcPr>
            <w:tcW w:type="dxa" w:w="3742"/>
          </w:tcPr>
          <w:p>
            <w:pPr>
              <w:spacing w:after="40"/>
            </w:pPr>
            <w:r/>
            <w:r>
              <w:rPr>
                <w:b/>
                <w:sz w:val="18"/>
              </w:rPr>
              <w:t>Conséquence observable</w:t>
            </w:r>
          </w:p>
        </w:tc>
        <w:tc>
          <w:tcPr>
            <w:tcW w:type="dxa" w:w="2835"/>
          </w:tcPr>
          <w:p>
            <w:pPr>
              <w:spacing w:after="40"/>
            </w:pPr>
            <w:r/>
            <w:r>
              <w:rPr>
                <w:b/>
                <w:sz w:val="18"/>
              </w:rPr>
              <w:t>Gravité</w:t>
            </w:r>
          </w:p>
        </w:tc>
      </w:tr>
      <w:tr>
        <w:tc>
          <w:tcPr>
            <w:tcW w:type="dxa" w:w="2494"/>
          </w:tcPr>
          <w:p>
            <w:pPr>
              <w:spacing w:after="40"/>
            </w:pPr>
            <w:r/>
            <w:r>
              <w:rPr>
                <w:sz w:val="18"/>
              </w:rPr>
              <w:t>Le parent désigné n'est pas vérifié comme étant hors corbeille</w:t>
            </w:r>
          </w:p>
        </w:tc>
        <w:tc>
          <w:tcPr>
            <w:tcW w:type="dxa" w:w="3742"/>
          </w:tcPr>
          <w:p>
            <w:pPr>
              <w:spacing w:after="40"/>
            </w:pPr>
            <w:r/>
            <w:r>
              <w:rPr>
                <w:sz w:val="18"/>
              </w:rPr>
              <w:t>Un espace peut être rattaché à un parent supprimé. Il apparaîtra comme racine dans l'arbre alors que sa fiche annonce un parent.</w:t>
            </w:r>
          </w:p>
        </w:tc>
        <w:tc>
          <w:tcPr>
            <w:tcW w:type="dxa" w:w="2835"/>
          </w:tcPr>
          <w:p>
            <w:pPr>
              <w:spacing w:after="40"/>
            </w:pPr>
            <w:r/>
            <w:r>
              <w:rPr>
                <w:sz w:val="18"/>
              </w:rPr>
              <w:t>Modérée. Le cas est peu probable depuis l'écran, dont le sélecteur ne propose que des espaces vivants.</w:t>
            </w:r>
          </w:p>
        </w:tc>
      </w:tr>
      <w:tr>
        <w:tc>
          <w:tcPr>
            <w:tcW w:type="dxa" w:w="2494"/>
          </w:tcPr>
          <w:p>
            <w:pPr>
              <w:spacing w:after="40"/>
            </w:pPr>
            <w:r/>
            <w:r>
              <w:rPr>
                <w:sz w:val="18"/>
              </w:rPr>
              <w:t>Le calcul de descendance ignore les enfants en corbeille</w:t>
            </w:r>
          </w:p>
        </w:tc>
        <w:tc>
          <w:tcPr>
            <w:tcW w:type="dxa" w:w="3742"/>
          </w:tcPr>
          <w:p>
            <w:pPr>
              <w:spacing w:after="40"/>
            </w:pPr>
            <w:r/>
            <w:r>
              <w:rPr>
                <w:sz w:val="18"/>
              </w:rPr>
              <w:t>Un descendant supprimé n'est pas vu par le contrôle anti-cycle. Déplacer un ancêtre sous ce descendant est accepté ; si le descendant est ensuite restauré, un cycle apparaît.</w:t>
            </w:r>
          </w:p>
        </w:tc>
        <w:tc>
          <w:tcPr>
            <w:tcW w:type="dxa" w:w="2835"/>
          </w:tcPr>
          <w:p>
            <w:pPr>
              <w:spacing w:after="40"/>
            </w:pPr>
            <w:r/>
            <w:r>
              <w:rPr>
                <w:sz w:val="18"/>
              </w:rPr>
              <w:t>Faible mais réelle.</w:t>
            </w:r>
          </w:p>
        </w:tc>
      </w:tr>
      <w:tr>
        <w:tc>
          <w:tcPr>
            <w:tcW w:type="dxa" w:w="2494"/>
          </w:tcPr>
          <w:p>
            <w:pPr>
              <w:spacing w:after="40"/>
            </w:pPr>
            <w:r/>
            <w:r>
              <w:rPr>
                <w:sz w:val="18"/>
              </w:rPr>
              <w:t>Le circuit désigné n'est pas vérifié comme étant hors corbeille</w:t>
            </w:r>
          </w:p>
        </w:tc>
        <w:tc>
          <w:tcPr>
            <w:tcW w:type="dxa" w:w="3742"/>
          </w:tcPr>
          <w:p>
            <w:pPr>
              <w:spacing w:after="40"/>
            </w:pPr>
            <w:r/>
            <w:r>
              <w:rPr>
                <w:sz w:val="18"/>
              </w:rPr>
              <w:t>Un espace peut porter une règle de workflow supprimée. Le dépôt continue pourtant de créer ses étapes, puisque la relation reste valide.</w:t>
            </w:r>
          </w:p>
        </w:tc>
        <w:tc>
          <w:tcPr>
            <w:tcW w:type="dxa" w:w="2835"/>
          </w:tcPr>
          <w:p>
            <w:pPr>
              <w:spacing w:after="40"/>
            </w:pPr>
            <w:r/>
            <w:r>
              <w:rPr>
                <w:sz w:val="18"/>
              </w:rPr>
              <w:t>Faible. C'est cohérent avec la règle « supprimer une règle n'interrompt pas les circuits », mais cela mérite d'être connu.</w:t>
            </w:r>
          </w:p>
        </w:tc>
      </w:tr>
      <w:tr>
        <w:tc>
          <w:tcPr>
            <w:tcW w:type="dxa" w:w="2494"/>
          </w:tcPr>
          <w:p>
            <w:pPr>
              <w:spacing w:after="40"/>
            </w:pPr>
            <w:r/>
            <w:r>
              <w:rPr>
                <w:sz w:val="18"/>
              </w:rPr>
              <w:t>Aucun contrôle de profondeur de la hiérarchie</w:t>
            </w:r>
          </w:p>
        </w:tc>
        <w:tc>
          <w:tcPr>
            <w:tcW w:type="dxa" w:w="3742"/>
          </w:tcPr>
          <w:p>
            <w:pPr>
              <w:spacing w:after="40"/>
            </w:pPr>
            <w:r/>
            <w:r>
              <w:rPr>
                <w:sz w:val="18"/>
              </w:rPr>
              <w:t>Rien ne limite le nombre de niveaux. L'arbre reste construit en une seule lecture, mais l'affichage peut devenir impraticable.</w:t>
            </w:r>
          </w:p>
        </w:tc>
        <w:tc>
          <w:tcPr>
            <w:tcW w:type="dxa" w:w="2835"/>
          </w:tcPr>
          <w:p>
            <w:pPr>
              <w:spacing w:after="40"/>
            </w:pPr>
            <w:r/>
            <w:r>
              <w:rPr>
                <w:sz w:val="18"/>
              </w:rPr>
              <w:t>Faible.</w:t>
            </w:r>
          </w:p>
        </w:tc>
      </w:tr>
      <w:tr>
        <w:tc>
          <w:tcPr>
            <w:tcW w:type="dxa" w:w="2494"/>
          </w:tcPr>
          <w:p>
            <w:pPr>
              <w:spacing w:after="40"/>
            </w:pPr>
            <w:r/>
            <w:r>
              <w:rPr>
                <w:sz w:val="18"/>
              </w:rPr>
              <w:t>Aucun avertissement à la suppression d'un espace peuplé</w:t>
            </w:r>
          </w:p>
        </w:tc>
        <w:tc>
          <w:tcPr>
            <w:tcW w:type="dxa" w:w="3742"/>
          </w:tcPr>
          <w:p>
            <w:pPr>
              <w:spacing w:after="40"/>
            </w:pPr>
            <w:r/>
            <w:r>
              <w:rPr>
                <w:sz w:val="18"/>
              </w:rPr>
              <w:t>Le serveur ne dit pas combien de documents, de sous-dossiers ou de types sont concernés. La spécification demande que la confirmation le signale : l'information doit donc être obtenue par des appels séparés, ou ajoutée à la réponse.</w:t>
            </w:r>
          </w:p>
        </w:tc>
        <w:tc>
          <w:tcPr>
            <w:tcW w:type="dxa" w:w="2835"/>
          </w:tcPr>
          <w:p>
            <w:pPr>
              <w:spacing w:after="40"/>
            </w:pPr>
            <w:r/>
            <w:r>
              <w:rPr>
                <w:sz w:val="18"/>
              </w:rPr>
              <w:t>Modérée, car elle porte sur l'honnêteté de l'écran.</w:t>
            </w:r>
          </w:p>
        </w:tc>
      </w:tr>
    </w:tbl>
    <w:p/>
    <w:p>
      <w:pPr>
        <w:pStyle w:val="Heading2"/>
      </w:pPr>
      <w:r>
        <w:t>10.3. Recherche et tri</w:t>
      </w:r>
    </w:p>
    <w:p>
      <w:pPr>
        <w:pStyle w:val="ListBullet"/>
        <w:spacing w:after="60"/>
      </w:pPr>
      <w:r>
        <w:rPr>
          <w:b/>
        </w:rPr>
        <w:t>La recherche ne porte que sur le nom.</w:t>
      </w:r>
      <w:r>
        <w:t xml:space="preserve"> Chercher un code — « WS-COMPTA » par exemple — ne renvoie rien, alors que le code est affiché en première colonne du tableau. C'est un écart entre ce que l'écran montre et ce sur quoi il permet de filtrer.</w:t>
      </w:r>
    </w:p>
    <w:p>
      <w:pPr>
        <w:pStyle w:val="ListBullet"/>
        <w:spacing w:after="60"/>
      </w:pPr>
      <w:r>
        <w:rPr>
          <w:b/>
        </w:rPr>
        <w:t>Le tri explicite sur l'identifiant est traité comme du texte.</w:t>
      </w:r>
      <w:r>
        <w:t xml:space="preserve"> Le mécanisme de tri applique une insensibilité à la casse à toutes les colonnes autorisées, sauf à celles déclarées numériques — et ce module n'en déclare aucune. Un tri demandé explicitement sur l'identifiant range donc « 9 » après « 10 ». Le tri par défaut, lui, n'est pas affecté, car il n'applique pas cette transformation.</w:t>
      </w:r>
    </w:p>
    <w:p>
      <w:pPr>
        <w:pStyle w:val="ListBullet"/>
        <w:spacing w:after="60"/>
      </w:pPr>
      <w:r>
        <w:rPr>
          <w:b/>
        </w:rPr>
        <w:t>Le statut est triable mais dans l'ordre alphabétique.</w:t>
      </w:r>
      <w:r>
        <w:t xml:space="preserve"> ACTIF, ARCHIVE puis INACTIF, et non dans un ordre de service qui aurait un sens métier.</w:t>
      </w:r>
    </w:p>
    <w:p>
      <w:pPr>
        <w:pStyle w:val="Heading2"/>
      </w:pPr>
      <w:r>
        <w:t>10.4. Coût et volumétrie</w:t>
      </w:r>
    </w:p>
    <w:p>
      <w:pPr>
        <w:pStyle w:val="ListBullet"/>
        <w:spacing w:after="60"/>
      </w:pPr>
      <w:r>
        <w:rPr>
          <w:b/>
        </w:rPr>
        <w:t>Un comptage de sous-dossiers par ligne affichée.</w:t>
      </w:r>
      <w:r>
        <w:t xml:space="preserve"> Une page de dix lignes déclenche onze requêtes : une pour la page, dix pour les comptages. Le coût reste modeste mais croît linéairement avec la taille de page, plafonnée à deux cents.</w:t>
      </w:r>
    </w:p>
    <w:p>
      <w:pPr>
        <w:pStyle w:val="ListBullet"/>
        <w:spacing w:after="60"/>
      </w:pPr>
      <w:r>
        <w:rPr>
          <w:b/>
        </w:rPr>
        <w:t>Les groupes d'accès sont chargés paresseusement.</w:t>
      </w:r>
      <w:r>
        <w:t xml:space="preserve"> La lecture de la liste ne les inclut pas dans son graphe de chargement : leur résolution provoque une requête supplémentaire par ligne. La composition de la réponse rattrape l'échec de chargement et renvoie une liste vide plutôt que de priver la liste entière d'une réponse, ce qui signifie que l'absence de groupes affichés peut aussi bien signifier « aucun groupe » que « information non chargée ».</w:t>
      </w:r>
    </w:p>
    <w:p>
      <w:pPr>
        <w:pStyle w:val="ListBullet"/>
        <w:spacing w:after="60"/>
      </w:pPr>
      <w:r>
        <w:rPr>
          <w:b/>
        </w:rPr>
        <w:t>La construction de l'arbre charge tous les espaces vivants.</w:t>
      </w:r>
      <w:r>
        <w:t xml:space="preserve"> Une seule requête, puis un assemblage en mémoire. C'est le bon choix jusqu'à quelques milliers de dossiers ; au-delà, un chargement par niveau à la demande deviendrait préférable.</w:t>
      </w:r>
    </w:p>
    <w:p>
      <w:pPr>
        <w:pStyle w:val="Heading2"/>
      </w:pPr>
      <w:r>
        <w:t>10.5. Statut et corbeille : deux angles morts</w:t>
      </w:r>
    </w:p>
    <w:p>
      <w:pPr>
        <w:pStyle w:val="ListBullet"/>
        <w:spacing w:after="60"/>
      </w:pPr>
      <w:r>
        <w:rPr>
          <w:b/>
        </w:rPr>
        <w:t>La bascule d'archivage perd le statut INACTIF.</w:t>
      </w:r>
      <w:r>
        <w:t xml:space="preserve"> L'opération ne connaît que deux valeurs : elle passe à ARCHIVE tout ce qui n'est pas ARCHIVE, et à ACTIF ce qui l'est. Archiver puis désarchiver un dossier INACTIF le rend donc ACTIF. Le statut intermédiaire n'est modifiable que par la fiche complète.</w:t>
      </w:r>
    </w:p>
    <w:p>
      <w:pPr>
        <w:pStyle w:val="ListBullet"/>
        <w:spacing w:after="60"/>
      </w:pPr>
      <w:r>
        <w:rPr>
          <w:b/>
        </w:rPr>
        <w:t>Le sélecteur de parent propose les espaces archivés.</w:t>
      </w:r>
      <w:r>
        <w:t xml:space="preserve"> La liste allégée ne filtre que sur la corbeille, pas sur le statut. On peut donc créer un sous-dossier sous un dossier archivé, alors que l'arbre ne montrera ni l'un ni l'autre.</w:t>
      </w:r>
    </w:p>
    <w:p>
      <w:pPr>
        <w:pStyle w:val="ListBullet"/>
        <w:spacing w:after="60"/>
      </w:pPr>
      <w:r>
        <w:rPr>
          <w:b/>
        </w:rPr>
        <w:t>La suppression d'un espace déjà supprimé réussit.</w:t>
      </w:r>
      <w:r>
        <w:t xml:space="preserve"> L'opération ne vérifie pas l'état de départ. Ce n'est pas dangereux, mais cela signifie qu'un appel répété ne produit aucun signal.</w:t>
      </w:r>
    </w:p>
    <w:p>
      <w:pPr>
        <w:pStyle w:val="Heading2"/>
      </w:pPr>
      <w:r>
        <w:t>10.6. Ce qui reste à faire</w:t>
      </w:r>
    </w:p>
    <w:p>
      <w:pPr>
        <w:pStyle w:val="ListBullet"/>
        <w:spacing w:after="60"/>
      </w:pPr>
      <w:r>
        <w:t>Étendre le contrôle anti-cycle à la modification de fiche.</w:t>
      </w:r>
    </w:p>
    <w:p>
      <w:pPr>
        <w:pStyle w:val="ListBullet"/>
        <w:spacing w:after="60"/>
      </w:pPr>
      <w:r>
        <w:t>Étendre la recherche au code, et éventuellement à la description.</w:t>
      </w:r>
    </w:p>
    <w:p>
      <w:pPr>
        <w:pStyle w:val="ListBullet"/>
        <w:spacing w:after="60"/>
      </w:pPr>
      <w:r>
        <w:t>Déclarer l'identifiant comme colonne numérique dans le mécanisme de tri.</w:t>
      </w:r>
    </w:p>
    <w:p>
      <w:pPr>
        <w:pStyle w:val="ListBullet"/>
        <w:spacing w:after="60"/>
      </w:pPr>
      <w:r>
        <w:t>Ajouter à la réponse de détail le nombre de documents et de types rattachés, afin que la confirmation de suppression puisse annoncer l'ampleur du geste.</w:t>
      </w:r>
    </w:p>
    <w:p>
      <w:pPr>
        <w:pStyle w:val="ListBullet"/>
        <w:spacing w:after="60"/>
      </w:pPr>
      <w:r>
        <w:t>Décider du sort des espaces archivés dans le sélecteur de parent.</w:t>
      </w:r>
    </w:p>
    <w:p>
      <w:pPr>
        <w:pStyle w:val="ListBullet"/>
        <w:spacing w:after="60"/>
      </w:pPr>
      <w:r>
        <w:t>Faire remonter, pour les opérations groupées, le nombre de lignes réellement traitées, afin que le message affiché ne soit pas une supposition.</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6"/>
      </w:rPr>
      <w:t xml:space="preserve">GED Marchica Med — 03 Espaces de travail (backend)  —  page </w:t>
    </w:r>
    <w:r>
      <w:rPr>
        <w:color w:val="666666"/>
        <w:sz w:val="16"/>
      </w:rPr>
      <w:fldChar w:fldCharType="begin"/>
      <w:instrText xml:space="preserve">PAGE</w:instrText>
      <w:fldChar w:fldCharType="end"/>
    </w:r>
    <w:r>
      <w:rPr>
        <w:color w:val="666666"/>
        <w:sz w:val="16"/>
      </w:rPr>
      <w:t xml:space="preserve"> / </w:t>
    </w:r>
    <w:r>
      <w:rPr>
        <w:color w:val="666666"/>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353"/>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353"/>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35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