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26"/>
        </w:rPr>
        <w:t>GED Marchica Med</w:t>
      </w:r>
    </w:p>
    <w:p>
      <w:pPr>
        <w:jc w:val="center"/>
      </w:pPr>
      <w:r>
        <w:rPr>
          <w:color w:val="666666"/>
          <w:sz w:val="22"/>
        </w:rPr>
        <w:t>Rapport technique de conception — volet backend</w:t>
      </w:r>
    </w:p>
    <w:p/>
    <w:p>
      <w:pPr>
        <w:jc w:val="center"/>
      </w:pPr>
      <w:r>
        <w:rPr>
          <w:b/>
          <w:color w:val="1F3353"/>
          <w:sz w:val="48"/>
        </w:rPr>
        <w:t>Interface 05 — Groupes d'accès</w:t>
      </w:r>
    </w:p>
    <w:p>
      <w:pPr>
        <w:jc w:val="center"/>
      </w:pPr>
      <w:r>
        <w:rPr>
          <w:i/>
          <w:color w:val="444444"/>
          <w:sz w:val="24"/>
        </w:rPr>
        <w:t>Rattachement d'employés à des espaces de travail — un module descriptif</w:t>
      </w:r>
    </w:p>
    <w:p/>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Application</w:t>
            </w:r>
          </w:p>
        </w:tc>
        <w:tc>
          <w:tcPr>
            <w:tcW w:type="dxa" w:w="4819"/>
          </w:tcPr>
          <w:p>
            <w:r>
              <w:rPr>
                <w:sz w:val="20"/>
              </w:rPr>
              <w:t>GED Marchica Med</w:t>
            </w:r>
          </w:p>
        </w:tc>
      </w:tr>
      <w:tr>
        <w:tc>
          <w:tcPr>
            <w:tcW w:type="dxa" w:w="4819"/>
          </w:tcPr>
          <w:p>
            <w:r>
              <w:rPr>
                <w:b/>
                <w:sz w:val="20"/>
              </w:rPr>
              <w:t>Interface documentée</w:t>
            </w:r>
          </w:p>
        </w:tc>
        <w:tc>
          <w:tcPr>
            <w:tcW w:type="dxa" w:w="4819"/>
          </w:tcPr>
          <w:p>
            <w:r>
              <w:rPr>
                <w:sz w:val="20"/>
              </w:rPr>
              <w:t>05 — Groupes d'accès</w:t>
            </w:r>
          </w:p>
        </w:tc>
      </w:tr>
      <w:tr>
        <w:tc>
          <w:tcPr>
            <w:tcW w:type="dxa" w:w="4819"/>
          </w:tcPr>
          <w:p>
            <w:r>
              <w:rPr>
                <w:b/>
                <w:sz w:val="20"/>
              </w:rPr>
              <w:t>Volet</w:t>
            </w:r>
          </w:p>
        </w:tc>
        <w:tc>
          <w:tcPr>
            <w:tcW w:type="dxa" w:w="4819"/>
          </w:tcPr>
          <w:p>
            <w:r>
              <w:rPr>
                <w:sz w:val="20"/>
              </w:rPr>
              <w:t>Volet backend — ce que le serveur fait derrière l'écran</w:t>
            </w:r>
          </w:p>
        </w:tc>
      </w:tr>
      <w:tr>
        <w:tc>
          <w:tcPr>
            <w:tcW w:type="dxa" w:w="4819"/>
          </w:tcPr>
          <w:p>
            <w:r>
              <w:rPr>
                <w:b/>
                <w:sz w:val="20"/>
              </w:rPr>
              <w:t>Date d'édition</w:t>
            </w:r>
          </w:p>
        </w:tc>
        <w:tc>
          <w:tcPr>
            <w:tcW w:type="dxa" w:w="4819"/>
          </w:tcPr>
          <w:p>
            <w:r>
              <w:rPr>
                <w:sz w:val="20"/>
              </w:rPr>
              <w:t>13 août 2026</w:t>
            </w:r>
          </w:p>
        </w:tc>
      </w:tr>
    </w:tbl>
    <w:p/>
    <w:p/>
    <w:p/>
    <w:p/>
    <w:p>
      <w:pPr>
        <w:jc w:val="center"/>
      </w:pPr>
      <w:r>
        <w:rPr>
          <w:i/>
          <w:color w:val="666666"/>
          <w:sz w:val="18"/>
        </w:rPr>
        <w:t>Document rédigé à partir de la lecture du code source du backend (Spring Boot 3.4.1 / Java 17) et des migrations de base de données. Aucune valeur, aucun libellé et aucun code de réponse n'y figure sans avoir été relevé dans le code.</w:t>
      </w:r>
    </w:p>
    <w:p>
      <w:r>
        <w:br w:type="page"/>
      </w:r>
    </w:p>
    <w:p>
      <w:pPr>
        <w:pStyle w:val="Heading1"/>
      </w:pPr>
      <w:r>
        <w:t>Sommaire</w:t>
      </w:r>
    </w:p>
    <w:p>
      <w:pPr>
        <w:spacing w:after="60"/>
      </w:pPr>
      <w:r>
        <w:rPr>
          <w:b/>
          <w:sz w:val="21"/>
        </w:rPr>
        <w:t>1. Rôle du serveur pour cette interface</w:t>
      </w:r>
      <w:r>
        <w:rPr>
          <w:color w:val="444444"/>
          <w:sz w:val="19"/>
        </w:rPr>
        <w:t xml:space="preserve">  —  un module de rattachement, et l'avertissement qui doit l'accompagner.</w:t>
      </w:r>
    </w:p>
    <w:p>
      <w:pPr>
        <w:spacing w:after="60"/>
      </w:pPr>
      <w:r>
        <w:rPr>
          <w:b/>
          <w:sz w:val="21"/>
        </w:rPr>
        <w:t>2. Les données conservées</w:t>
      </w:r>
      <w:r>
        <w:rPr>
          <w:color w:val="444444"/>
          <w:sz w:val="19"/>
        </w:rPr>
        <w:t xml:space="preserve">  —  le groupe, ses deux tables de rattachement, et les colonnes de droits devenues inertes.</w:t>
      </w:r>
    </w:p>
    <w:p>
      <w:pPr>
        <w:spacing w:after="60"/>
      </w:pPr>
      <w:r>
        <w:rPr>
          <w:b/>
          <w:sz w:val="21"/>
        </w:rPr>
        <w:t>3. Les relations</w:t>
      </w:r>
      <w:r>
        <w:rPr>
          <w:color w:val="444444"/>
          <w:sz w:val="19"/>
        </w:rPr>
        <w:t xml:space="preserve">  —  deux relations plusieurs-à-plusieurs, et ce qui survit à une suppression.</w:t>
      </w:r>
    </w:p>
    <w:p>
      <w:pPr>
        <w:spacing w:after="60"/>
      </w:pPr>
      <w:r>
        <w:rPr>
          <w:b/>
          <w:sz w:val="21"/>
        </w:rPr>
        <w:t>4. Les opérations disponibles</w:t>
      </w:r>
      <w:r>
        <w:rPr>
          <w:color w:val="444444"/>
          <w:sz w:val="19"/>
        </w:rPr>
        <w:t xml:space="preserve">  —  dix opérations, dont un tri par nombre d'espaces ou de membres.</w:t>
      </w:r>
    </w:p>
    <w:p>
      <w:pPr>
        <w:spacing w:after="60"/>
      </w:pPr>
      <w:r>
        <w:rPr>
          <w:b/>
          <w:sz w:val="21"/>
        </w:rPr>
        <w:t>5. Les règles vérifiées côté serveur</w:t>
      </w:r>
      <w:r>
        <w:rPr>
          <w:color w:val="444444"/>
          <w:sz w:val="19"/>
        </w:rPr>
        <w:t xml:space="preserve">  —  neuf règles, dont la double unicité et l'acceptation du groupe vide.</w:t>
      </w:r>
    </w:p>
    <w:p>
      <w:pPr>
        <w:spacing w:after="60"/>
      </w:pPr>
      <w:r>
        <w:rPr>
          <w:b/>
          <w:sz w:val="21"/>
        </w:rPr>
        <w:t>6. Les erreurs et les réponses</w:t>
      </w:r>
      <w:r>
        <w:rPr>
          <w:color w:val="444444"/>
          <w:sz w:val="19"/>
        </w:rPr>
        <w:t xml:space="preserve">  —  chaque refus, son code, son message et le comportement de l'écran.</w:t>
      </w:r>
    </w:p>
    <w:p>
      <w:pPr>
        <w:spacing w:after="60"/>
      </w:pPr>
      <w:r>
        <w:rPr>
          <w:b/>
          <w:sz w:val="21"/>
        </w:rPr>
        <w:t>7. Ce qui est écrit, et dans quel ordre</w:t>
      </w:r>
      <w:r>
        <w:rPr>
          <w:color w:val="444444"/>
          <w:sz w:val="19"/>
        </w:rPr>
        <w:t xml:space="preserve">  —  création, remplacement des rattachements, corbeille et opérations groupées.</w:t>
      </w:r>
    </w:p>
    <w:p>
      <w:pPr>
        <w:spacing w:after="60"/>
      </w:pPr>
      <w:r>
        <w:rPr>
          <w:b/>
          <w:sz w:val="21"/>
        </w:rPr>
        <w:t>8. Les effets de bord</w:t>
      </w:r>
      <w:r>
        <w:rPr>
          <w:color w:val="444444"/>
          <w:sz w:val="19"/>
        </w:rPr>
        <w:t xml:space="preserve">  —  rattachements conservés en corbeille, compteurs recalculés, colonnes héritées.</w:t>
      </w:r>
    </w:p>
    <w:p>
      <w:pPr>
        <w:spacing w:after="60"/>
      </w:pPr>
      <w:r>
        <w:rPr>
          <w:b/>
          <w:sz w:val="21"/>
        </w:rPr>
        <w:t>9. Sécurité et contrôle d'accès</w:t>
      </w:r>
      <w:r>
        <w:rPr>
          <w:color w:val="444444"/>
          <w:sz w:val="19"/>
        </w:rPr>
        <w:t xml:space="preserve">  —  pourquoi ce module n'accorde et ne retire aucun droit.</w:t>
      </w:r>
    </w:p>
    <w:p>
      <w:pPr>
        <w:spacing w:after="60"/>
      </w:pPr>
      <w:r>
        <w:rPr>
          <w:b/>
          <w:sz w:val="21"/>
        </w:rPr>
        <w:t>10. Points de vigilance et limites connues</w:t>
      </w:r>
      <w:r>
        <w:rPr>
          <w:color w:val="444444"/>
          <w:sz w:val="19"/>
        </w:rPr>
        <w:t xml:space="preserve">  —  description non persistée, groupes supprimés encore visibles, références non vérifiées.</w:t>
      </w:r>
    </w:p>
    <w:p>
      <w:r>
        <w:br w:type="page"/>
      </w:r>
    </w:p>
    <w:p>
      <w:pPr>
        <w:pStyle w:val="Heading1"/>
      </w:pPr>
      <w:r>
        <w:t>1. Rôle du serveur pour cette interface</w:t>
      </w:r>
    </w:p>
    <w:p>
      <w:r>
        <w:rPr>
          <w:b w:val="0"/>
          <w:i w:val="0"/>
        </w:rPr>
        <w:t>Un groupe d'accès rattache des employés à des espaces de travail. C'est tout. Le serveur conserve ce rattachement, en restitue les compteurs et les listes nominatives, et permet de le modifier. Il n'en tire aucune conséquence.</w:t>
      </w:r>
    </w:p>
    <w:p>
      <w:pPr>
        <w:spacing w:before="120" w:after="200"/>
        <w:ind w:left="283"/>
      </w:pPr>
      <w:r>
        <w:rPr>
          <w:b/>
        </w:rPr>
        <w:t xml:space="preserve">Avertissement, à lire avant tout le reste — </w:t>
      </w:r>
      <w:r>
        <w:t>un groupe d'accès n'accorde aucun droit et n'en retire aucun. Le nom vient du cahier des charges et il évoque une gestion de permissions qui n'existe pas dans ce produit. Aucune requête de l'application ne consulte un groupe pour décider si une opération est permise. Aucun écran n'est ouvert ou fermé selon l'appartenance à un groupe. Aucun document n'est masqué. Un écran qui ferait croire qu'il protège quelque chose serait pire qu'un écran qui n'existe pas : ce rapport le dit donc explicitement, et la section 9 détaille ce qui subsiste en base de l'ancien modèle de droits.</w:t>
      </w:r>
    </w:p>
    <w:p>
      <w:pPr>
        <w:pStyle w:val="Heading2"/>
      </w:pPr>
      <w:r>
        <w:t>1.1. Ce que le serveur fournit</w:t>
      </w:r>
    </w:p>
    <w:p>
      <w:pPr>
        <w:pStyle w:val="ListBullet"/>
        <w:spacing w:after="60"/>
      </w:pPr>
      <w:r>
        <w:rPr>
          <w:b/>
        </w:rPr>
        <w:t>Une liste paginée, filtrée et triée.</w:t>
      </w:r>
      <w:r>
        <w:t xml:space="preserve"> Avec sa contrepartie « corbeille ». Chaque ligne porte le code, le nom, le nombre d'espaces couverts et le nombre de membres.</w:t>
      </w:r>
    </w:p>
    <w:p>
      <w:pPr>
        <w:pStyle w:val="ListBullet"/>
        <w:spacing w:after="60"/>
      </w:pPr>
      <w:r>
        <w:rPr>
          <w:b/>
        </w:rPr>
        <w:t>Un tri par cardinalité.</w:t>
      </w:r>
      <w:r>
        <w:t xml:space="preserve"> La liste peut être ordonnée par nombre d'espaces ou par nombre de membres, ce qu'aucun tri de colonne ordinaire ne saurait exprimer.</w:t>
      </w:r>
    </w:p>
    <w:p>
      <w:pPr>
        <w:pStyle w:val="ListBullet"/>
        <w:spacing w:after="60"/>
      </w:pPr>
      <w:r>
        <w:rPr>
          <w:b/>
        </w:rPr>
        <w:t>Le détail d'un groupe.</w:t>
      </w:r>
      <w:r>
        <w:t xml:space="preserve"> Avec la liste nominative des espaces rattachés et celle des membres, en plus des deux compteurs.</w:t>
      </w:r>
    </w:p>
    <w:p>
      <w:pPr>
        <w:pStyle w:val="ListBullet"/>
        <w:spacing w:after="60"/>
      </w:pPr>
      <w:r>
        <w:rPr>
          <w:b/>
        </w:rPr>
        <w:t>Une liste allégée pour les sélecteurs.</w:t>
      </w:r>
      <w:r>
        <w:t xml:space="preserve"> Identifiant et nom uniquement.</w:t>
      </w:r>
    </w:p>
    <w:p>
      <w:pPr>
        <w:pStyle w:val="ListBullet"/>
        <w:spacing w:after="60"/>
      </w:pPr>
      <w:r>
        <w:rPr>
          <w:b/>
        </w:rPr>
        <w:t>La création et la modification.</w:t>
      </w:r>
      <w:r>
        <w:t xml:space="preserve"> Le groupe et ses deux rattachements sont envoyés en un seul geste.</w:t>
      </w:r>
    </w:p>
    <w:p>
      <w:pPr>
        <w:pStyle w:val="ListBullet"/>
        <w:spacing w:after="60"/>
      </w:pPr>
      <w:r>
        <w:rPr>
          <w:b/>
        </w:rPr>
        <w:t>La mise à la corbeille et la restauration.</w:t>
      </w:r>
      <w:r>
        <w:t xml:space="preserve"> À l'unité comme en lot.</w:t>
      </w:r>
    </w:p>
    <w:p>
      <w:pPr>
        <w:pStyle w:val="Heading2"/>
      </w:pPr>
      <w:r>
        <w:t>1.2. Ce que le serveur garantit</w:t>
      </w:r>
    </w:p>
    <w:p>
      <w:pPr>
        <w:pStyle w:val="ListBullet"/>
        <w:spacing w:after="60"/>
      </w:pPr>
      <w:r>
        <w:rPr>
          <w:b/>
        </w:rPr>
        <w:t>Un code et un nom uniques.</w:t>
      </w:r>
      <w:r>
        <w:t xml:space="preserve"> Les deux, sans distinction de casse, vérifiés avant écriture et garantis par des contraintes d'unicité en base.</w:t>
      </w:r>
    </w:p>
    <w:p>
      <w:pPr>
        <w:pStyle w:val="ListBullet"/>
        <w:spacing w:after="60"/>
      </w:pPr>
      <w:r>
        <w:rPr>
          <w:b/>
        </w:rPr>
        <w:t>Des compteurs qui ne peuvent pas mentir.</w:t>
      </w:r>
      <w:r>
        <w:t xml:space="preserve"> Le nombre d'espaces et le nombre de membres sont la taille des listes correspondantes, calculée au moment de composer la réponse. Il n'existe aucun compteur stocké susceptible de diverger.</w:t>
      </w:r>
    </w:p>
    <w:p>
      <w:pPr>
        <w:pStyle w:val="ListBullet"/>
        <w:spacing w:after="60"/>
      </w:pPr>
      <w:r>
        <w:rPr>
          <w:b/>
        </w:rPr>
        <w:t>Un groupe vide accepté.</w:t>
      </w:r>
      <w:r>
        <w:t xml:space="preserve"> On doit pouvoir créer un groupe avant de le peupler.</w:t>
      </w:r>
    </w:p>
    <w:p>
      <w:pPr>
        <w:pStyle w:val="ListBullet"/>
        <w:spacing w:after="60"/>
      </w:pPr>
      <w:r>
        <w:rPr>
          <w:b/>
        </w:rPr>
        <w:t>Aucune destruction par ricochet.</w:t>
      </w:r>
      <w:r>
        <w:t xml:space="preserve"> Supprimer un groupe ne supprime ni les employés ni les espaces. Seul le rattachement cesse d'être exploité.</w:t>
      </w:r>
    </w:p>
    <w:p>
      <w:pPr>
        <w:pStyle w:val="ListBullet"/>
        <w:spacing w:after="60"/>
      </w:pPr>
      <w:r>
        <w:rPr>
          <w:b/>
        </w:rPr>
        <w:t>Aucune suppression définitive.</w:t>
      </w:r>
      <w:r>
        <w:t xml:space="preserve"> Supprimer marque, cela n'efface pas.</w:t>
      </w:r>
    </w:p>
    <w:p>
      <w:pPr>
        <w:pStyle w:val="Heading1"/>
      </w:pPr>
      <w:r>
        <w:t>2. Les données conservées</w:t>
      </w:r>
    </w:p>
    <w:p>
      <w:pPr>
        <w:pStyle w:val="Heading2"/>
      </w:pPr>
      <w:r>
        <w:t>2.1. Le groupe</w:t>
      </w:r>
    </w:p>
    <w:p>
      <w:r>
        <w:rPr>
          <w:b w:val="0"/>
          <w:i w:val="0"/>
        </w:rPr>
        <w:t>Table « access_groups ».</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361"/>
          </w:tcPr>
          <w:p>
            <w:pPr>
              <w:spacing w:after="40"/>
            </w:pPr>
            <w:r/>
            <w:r>
              <w:rPr>
                <w:b/>
                <w:sz w:val="18"/>
              </w:rPr>
              <w:t>Nature</w:t>
            </w:r>
          </w:p>
        </w:tc>
        <w:tc>
          <w:tcPr>
            <w:tcW w:type="dxa" w:w="850"/>
          </w:tcPr>
          <w:p>
            <w:pPr>
              <w:spacing w:after="40"/>
            </w:pPr>
            <w:r/>
            <w:r>
              <w:rPr>
                <w:b/>
                <w:sz w:val="18"/>
              </w:rPr>
              <w:t>Obligatoire</w:t>
            </w:r>
          </w:p>
        </w:tc>
        <w:tc>
          <w:tcPr>
            <w:tcW w:type="dxa" w:w="907"/>
          </w:tcPr>
          <w:p>
            <w:pPr>
              <w:spacing w:after="40"/>
            </w:pPr>
            <w:r/>
            <w:r>
              <w:rPr>
                <w:b/>
                <w:sz w:val="18"/>
              </w:rPr>
              <w:t>Défaut</w:t>
            </w:r>
          </w:p>
        </w:tc>
        <w:tc>
          <w:tcPr>
            <w:tcW w:type="dxa" w:w="1361"/>
          </w:tcPr>
          <w:p>
            <w:pPr>
              <w:spacing w:after="40"/>
            </w:pPr>
            <w:r/>
            <w:r>
              <w:rPr>
                <w:b/>
                <w:sz w:val="18"/>
              </w:rPr>
              <w:t>Unicité</w:t>
            </w:r>
          </w:p>
        </w:tc>
        <w:tc>
          <w:tcPr>
            <w:tcW w:type="dxa" w:w="3685"/>
          </w:tcPr>
          <w:p>
            <w:pPr>
              <w:spacing w:after="40"/>
            </w:pPr>
            <w:r/>
            <w:r>
              <w:rPr>
                <w:b/>
                <w:sz w:val="18"/>
              </w:rPr>
              <w:t>À quoi cela sert</w:t>
            </w:r>
          </w:p>
        </w:tc>
      </w:tr>
      <w:tr>
        <w:tc>
          <w:tcPr>
            <w:tcW w:type="dxa" w:w="1474"/>
          </w:tcPr>
          <w:p>
            <w:pPr>
              <w:spacing w:after="40"/>
            </w:pPr>
            <w:r/>
            <w:r>
              <w:rPr>
                <w:sz w:val="18"/>
              </w:rPr>
              <w:t>Identifiant</w:t>
            </w:r>
          </w:p>
        </w:tc>
        <w:tc>
          <w:tcPr>
            <w:tcW w:type="dxa" w:w="1361"/>
          </w:tcPr>
          <w:p>
            <w:pPr>
              <w:spacing w:after="40"/>
            </w:pPr>
            <w:r/>
            <w:r>
              <w:rPr>
                <w:sz w:val="18"/>
              </w:rPr>
              <w:t>Entier long auto-incrémenté</w:t>
            </w:r>
          </w:p>
        </w:tc>
        <w:tc>
          <w:tcPr>
            <w:tcW w:type="dxa" w:w="850"/>
          </w:tcPr>
          <w:p>
            <w:pPr>
              <w:spacing w:after="40"/>
            </w:pPr>
            <w:r/>
            <w:r>
              <w:rPr>
                <w:sz w:val="18"/>
              </w:rPr>
              <w:t>Oui</w:t>
            </w:r>
          </w:p>
        </w:tc>
        <w:tc>
          <w:tcPr>
            <w:tcW w:type="dxa" w:w="907"/>
          </w:tcPr>
          <w:p>
            <w:pPr>
              <w:spacing w:after="40"/>
            </w:pPr>
            <w:r/>
            <w:r>
              <w:rPr>
                <w:sz w:val="18"/>
              </w:rPr>
              <w:t>Généré</w:t>
            </w:r>
          </w:p>
        </w:tc>
        <w:tc>
          <w:tcPr>
            <w:tcW w:type="dxa" w:w="1361"/>
          </w:tcPr>
          <w:p>
            <w:pPr>
              <w:spacing w:after="40"/>
            </w:pPr>
            <w:r/>
            <w:r>
              <w:rPr>
                <w:sz w:val="18"/>
              </w:rPr>
              <w:t>Clé primaire</w:t>
            </w:r>
          </w:p>
        </w:tc>
        <w:tc>
          <w:tcPr>
            <w:tcW w:type="dxa" w:w="3685"/>
          </w:tcPr>
          <w:p>
            <w:pPr>
              <w:spacing w:after="40"/>
            </w:pPr>
            <w:r/>
            <w:r>
              <w:rPr>
                <w:sz w:val="18"/>
              </w:rPr>
              <w:t>Désigner le groupe dans les deux tables de rattachement. Sert aussi d'ordre par défaut des listes.</w:t>
            </w:r>
          </w:p>
        </w:tc>
      </w:tr>
      <w:tr>
        <w:tc>
          <w:tcPr>
            <w:tcW w:type="dxa" w:w="1474"/>
          </w:tcPr>
          <w:p>
            <w:pPr>
              <w:spacing w:after="40"/>
            </w:pPr>
            <w:r/>
            <w:r>
              <w:rPr>
                <w:sz w:val="18"/>
              </w:rPr>
              <w:t>Code</w:t>
            </w:r>
          </w:p>
        </w:tc>
        <w:tc>
          <w:tcPr>
            <w:tcW w:type="dxa" w:w="1361"/>
          </w:tcPr>
          <w:p>
            <w:pPr>
              <w:spacing w:after="40"/>
            </w:pPr>
            <w:r/>
            <w:r>
              <w:rPr>
                <w:sz w:val="18"/>
              </w:rPr>
              <w:t>Texte, 255 caractères</w:t>
            </w:r>
          </w:p>
        </w:tc>
        <w:tc>
          <w:tcPr>
            <w:tcW w:type="dxa" w:w="850"/>
          </w:tcPr>
          <w:p>
            <w:pPr>
              <w:spacing w:after="40"/>
            </w:pPr>
            <w:r/>
            <w:r>
              <w:rPr>
                <w:sz w:val="18"/>
              </w:rPr>
              <w:t>Oui</w:t>
            </w:r>
          </w:p>
        </w:tc>
        <w:tc>
          <w:tcPr>
            <w:tcW w:type="dxa" w:w="907"/>
          </w:tcPr>
          <w:p>
            <w:pPr>
              <w:spacing w:after="40"/>
            </w:pPr>
            <w:r/>
            <w:r>
              <w:rPr>
                <w:sz w:val="18"/>
              </w:rPr>
              <w:t>—</w:t>
            </w:r>
          </w:p>
        </w:tc>
        <w:tc>
          <w:tcPr>
            <w:tcW w:type="dxa" w:w="1361"/>
          </w:tcPr>
          <w:p>
            <w:pPr>
              <w:spacing w:after="40"/>
            </w:pPr>
            <w:r/>
            <w:r>
              <w:rPr>
                <w:sz w:val="18"/>
              </w:rPr>
              <w:t>Unique, insensible à la casse</w:t>
            </w:r>
          </w:p>
        </w:tc>
        <w:tc>
          <w:tcPr>
            <w:tcW w:type="dxa" w:w="3685"/>
          </w:tcPr>
          <w:p>
            <w:pPr>
              <w:spacing w:after="40"/>
            </w:pPr>
            <w:r/>
            <w:r>
              <w:rPr>
                <w:sz w:val="18"/>
              </w:rPr>
              <w:t>Référence courte du groupe, affichée en première colonne du tableau et en tête de la fiche.</w:t>
            </w:r>
          </w:p>
        </w:tc>
      </w:tr>
      <w:tr>
        <w:tc>
          <w:tcPr>
            <w:tcW w:type="dxa" w:w="1474"/>
          </w:tcPr>
          <w:p>
            <w:pPr>
              <w:spacing w:after="40"/>
            </w:pPr>
            <w:r/>
            <w:r>
              <w:rPr>
                <w:sz w:val="18"/>
              </w:rPr>
              <w:t>Nom du groupe</w:t>
            </w:r>
          </w:p>
        </w:tc>
        <w:tc>
          <w:tcPr>
            <w:tcW w:type="dxa" w:w="1361"/>
          </w:tcPr>
          <w:p>
            <w:pPr>
              <w:spacing w:after="40"/>
            </w:pPr>
            <w:r/>
            <w:r>
              <w:rPr>
                <w:sz w:val="18"/>
              </w:rPr>
              <w:t>Texte, 255 caractères</w:t>
            </w:r>
          </w:p>
        </w:tc>
        <w:tc>
          <w:tcPr>
            <w:tcW w:type="dxa" w:w="850"/>
          </w:tcPr>
          <w:p>
            <w:pPr>
              <w:spacing w:after="40"/>
            </w:pPr>
            <w:r/>
            <w:r>
              <w:rPr>
                <w:sz w:val="18"/>
              </w:rPr>
              <w:t>Oui</w:t>
            </w:r>
          </w:p>
        </w:tc>
        <w:tc>
          <w:tcPr>
            <w:tcW w:type="dxa" w:w="907"/>
          </w:tcPr>
          <w:p>
            <w:pPr>
              <w:spacing w:after="40"/>
            </w:pPr>
            <w:r/>
            <w:r>
              <w:rPr>
                <w:sz w:val="18"/>
              </w:rPr>
              <w:t>—</w:t>
            </w:r>
          </w:p>
        </w:tc>
        <w:tc>
          <w:tcPr>
            <w:tcW w:type="dxa" w:w="1361"/>
          </w:tcPr>
          <w:p>
            <w:pPr>
              <w:spacing w:after="40"/>
            </w:pPr>
            <w:r/>
            <w:r>
              <w:rPr>
                <w:sz w:val="18"/>
              </w:rPr>
              <w:t>Unique, insensible à la casse</w:t>
            </w:r>
          </w:p>
        </w:tc>
        <w:tc>
          <w:tcPr>
            <w:tcW w:type="dxa" w:w="3685"/>
          </w:tcPr>
          <w:p>
            <w:pPr>
              <w:spacing w:after="40"/>
            </w:pPr>
            <w:r/>
            <w:r>
              <w:rPr>
                <w:sz w:val="18"/>
              </w:rPr>
              <w:t>Libellé affiché. C'est également le seul champ sur lequel porte la recherche.</w:t>
            </w:r>
          </w:p>
        </w:tc>
      </w:tr>
      <w:tr>
        <w:tc>
          <w:tcPr>
            <w:tcW w:type="dxa" w:w="1474"/>
          </w:tcPr>
          <w:p>
            <w:pPr>
              <w:spacing w:after="40"/>
            </w:pPr>
            <w:r/>
            <w:r>
              <w:rPr>
                <w:sz w:val="18"/>
              </w:rPr>
              <w:t>Corbeille</w:t>
            </w:r>
          </w:p>
        </w:tc>
        <w:tc>
          <w:tcPr>
            <w:tcW w:type="dxa" w:w="1361"/>
          </w:tcPr>
          <w:p>
            <w:pPr>
              <w:spacing w:after="40"/>
            </w:pPr>
            <w:r/>
            <w:r>
              <w:rPr>
                <w:sz w:val="18"/>
              </w:rPr>
              <w:t>Booléen</w:t>
            </w:r>
          </w:p>
        </w:tc>
        <w:tc>
          <w:tcPr>
            <w:tcW w:type="dxa" w:w="850"/>
          </w:tcPr>
          <w:p>
            <w:pPr>
              <w:spacing w:after="40"/>
            </w:pPr>
            <w:r/>
            <w:r>
              <w:rPr>
                <w:sz w:val="18"/>
              </w:rPr>
              <w:t>Oui</w:t>
            </w:r>
          </w:p>
        </w:tc>
        <w:tc>
          <w:tcPr>
            <w:tcW w:type="dxa" w:w="907"/>
          </w:tcPr>
          <w:p>
            <w:pPr>
              <w:spacing w:after="40"/>
            </w:pPr>
            <w:r/>
            <w:r>
              <w:rPr>
                <w:sz w:val="18"/>
              </w:rPr>
              <w:t>Faux</w:t>
            </w:r>
          </w:p>
        </w:tc>
        <w:tc>
          <w:tcPr>
            <w:tcW w:type="dxa" w:w="1361"/>
          </w:tcPr>
          <w:p>
            <w:pPr>
              <w:spacing w:after="40"/>
            </w:pPr>
            <w:r/>
            <w:r>
              <w:rPr>
                <w:sz w:val="18"/>
              </w:rPr>
              <w:t>Non</w:t>
            </w:r>
          </w:p>
        </w:tc>
        <w:tc>
          <w:tcPr>
            <w:tcW w:type="dxa" w:w="3685"/>
          </w:tcPr>
          <w:p>
            <w:pPr>
              <w:spacing w:after="40"/>
            </w:pPr>
            <w:r/>
            <w:r>
              <w:rPr>
                <w:sz w:val="18"/>
              </w:rPr>
              <w:t>Suppression réversible. Un index dédié couvre cette colonne.</w:t>
            </w:r>
          </w:p>
        </w:tc>
      </w:tr>
      <w:tr>
        <w:tc>
          <w:tcPr>
            <w:tcW w:type="dxa" w:w="1474"/>
          </w:tcPr>
          <w:p>
            <w:pPr>
              <w:spacing w:after="40"/>
            </w:pPr>
            <w:r/>
            <w:r>
              <w:rPr>
                <w:sz w:val="18"/>
              </w:rPr>
              <w:t>Colonnes de droits héritées</w:t>
            </w:r>
          </w:p>
        </w:tc>
        <w:tc>
          <w:tcPr>
            <w:tcW w:type="dxa" w:w="1361"/>
          </w:tcPr>
          <w:p>
            <w:pPr>
              <w:spacing w:after="40"/>
            </w:pPr>
            <w:r/>
            <w:r>
              <w:rPr>
                <w:sz w:val="18"/>
              </w:rPr>
              <w:t>Huit booléens</w:t>
            </w:r>
          </w:p>
        </w:tc>
        <w:tc>
          <w:tcPr>
            <w:tcW w:type="dxa" w:w="850"/>
          </w:tcPr>
          <w:p>
            <w:pPr>
              <w:spacing w:after="40"/>
            </w:pPr>
            <w:r/>
            <w:r>
              <w:rPr>
                <w:sz w:val="18"/>
              </w:rPr>
              <w:t>Oui en base</w:t>
            </w:r>
          </w:p>
        </w:tc>
        <w:tc>
          <w:tcPr>
            <w:tcW w:type="dxa" w:w="907"/>
          </w:tcPr>
          <w:p>
            <w:pPr>
              <w:spacing w:after="40"/>
            </w:pPr>
            <w:r/>
            <w:r>
              <w:rPr>
                <w:sz w:val="18"/>
              </w:rPr>
              <w:t>Faux</w:t>
            </w:r>
          </w:p>
        </w:tc>
        <w:tc>
          <w:tcPr>
            <w:tcW w:type="dxa" w:w="1361"/>
          </w:tcPr>
          <w:p>
            <w:pPr>
              <w:spacing w:after="40"/>
            </w:pPr>
            <w:r/>
            <w:r>
              <w:rPr>
                <w:sz w:val="18"/>
              </w:rPr>
              <w:t>Non</w:t>
            </w:r>
          </w:p>
        </w:tc>
        <w:tc>
          <w:tcPr>
            <w:tcW w:type="dxa" w:w="3685"/>
          </w:tcPr>
          <w:p>
            <w:pPr>
              <w:spacing w:after="40"/>
            </w:pPr>
            <w:r/>
            <w:r>
              <w:rPr>
                <w:sz w:val="18"/>
              </w:rPr>
              <w:t>Vestiges d'un ancien modèle de droits fins : accès, lecture, modification, téléversement, suppression, déplacement, ajout de version, verrouillage. Plus jamais lues ni écrites par l'application. Conservées pour ne rien détruire des données déjà enregistrées et rester reprenables si le produit passait un jour à plusieurs utilisateurs.</w:t>
            </w:r>
          </w:p>
        </w:tc>
      </w:tr>
      <w:tr>
        <w:tc>
          <w:tcPr>
            <w:tcW w:type="dxa" w:w="1474"/>
          </w:tcPr>
          <w:p>
            <w:pPr>
              <w:spacing w:after="40"/>
            </w:pPr>
            <w:r/>
            <w:r>
              <w:rPr>
                <w:sz w:val="18"/>
              </w:rPr>
              <w:t>Dates d'audit</w:t>
            </w:r>
          </w:p>
        </w:tc>
        <w:tc>
          <w:tcPr>
            <w:tcW w:type="dxa" w:w="1361"/>
          </w:tcPr>
          <w:p>
            <w:pPr>
              <w:spacing w:after="40"/>
            </w:pPr>
            <w:r/>
            <w:r>
              <w:rPr>
                <w:sz w:val="18"/>
              </w:rPr>
              <w:t>Horodatages</w:t>
            </w:r>
          </w:p>
        </w:tc>
        <w:tc>
          <w:tcPr>
            <w:tcW w:type="dxa" w:w="850"/>
          </w:tcPr>
          <w:p>
            <w:pPr>
              <w:spacing w:after="40"/>
            </w:pPr>
            <w:r/>
            <w:r>
              <w:rPr>
                <w:sz w:val="18"/>
              </w:rPr>
              <w:t>Non</w:t>
            </w:r>
          </w:p>
        </w:tc>
        <w:tc>
          <w:tcPr>
            <w:tcW w:type="dxa" w:w="907"/>
          </w:tcPr>
          <w:p>
            <w:pPr>
              <w:spacing w:after="40"/>
            </w:pPr>
            <w:r/>
            <w:r>
              <w:rPr>
                <w:sz w:val="18"/>
              </w:rPr>
              <w:t>Posées automatiquement</w:t>
            </w:r>
          </w:p>
        </w:tc>
        <w:tc>
          <w:tcPr>
            <w:tcW w:type="dxa" w:w="1361"/>
          </w:tcPr>
          <w:p>
            <w:pPr>
              <w:spacing w:after="40"/>
            </w:pPr>
            <w:r/>
            <w:r>
              <w:rPr>
                <w:sz w:val="18"/>
              </w:rPr>
              <w:t>Non</w:t>
            </w:r>
          </w:p>
        </w:tc>
        <w:tc>
          <w:tcPr>
            <w:tcW w:type="dxa" w:w="3685"/>
          </w:tcPr>
          <w:p>
            <w:pPr>
              <w:spacing w:after="40"/>
            </w:pPr>
            <w:r/>
            <w:r>
              <w:rPr>
                <w:sz w:val="18"/>
              </w:rPr>
              <w:t>Colonnes de création et de mise à jour. Non exposées par la réponse.</w:t>
            </w:r>
          </w:p>
        </w:tc>
      </w:tr>
    </w:tbl>
    <w:p/>
    <w:p>
      <w:pPr>
        <w:spacing w:after="200"/>
      </w:pPr>
      <w:r>
        <w:rPr>
          <w:i/>
          <w:color w:val="666666"/>
          <w:sz w:val="17"/>
        </w:rPr>
        <w:t>Aucune colonne de description n'existe dans cette table, alors que le formulaire spécifié en prévoit une. Ce point est repris en section 10.</w:t>
      </w:r>
    </w:p>
    <w:p>
      <w:pPr>
        <w:pStyle w:val="Heading2"/>
      </w:pPr>
      <w:r>
        <w:t>2.2. Les rattachements</w:t>
      </w:r>
    </w:p>
    <w:p>
      <w:r>
        <w:rPr>
          <w:b w:val="0"/>
          <w:i w:val="0"/>
        </w:rPr>
        <w:t>Deux tables de liaison, sans donnée propre : elles ne portent que le couple d'identifiants, qui forme leur clé primaire. Un même couple ne peut donc pas être enregistré deux fois.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268"/>
          </w:tcPr>
          <w:p>
            <w:pPr>
              <w:spacing w:after="40"/>
            </w:pPr>
            <w:r/>
            <w:r>
              <w:rPr>
                <w:b/>
                <w:sz w:val="18"/>
              </w:rPr>
              <w:t>Table</w:t>
            </w:r>
          </w:p>
        </w:tc>
        <w:tc>
          <w:tcPr>
            <w:tcW w:type="dxa" w:w="2494"/>
          </w:tcPr>
          <w:p>
            <w:pPr>
              <w:spacing w:after="40"/>
            </w:pPr>
            <w:r/>
            <w:r>
              <w:rPr>
                <w:b/>
                <w:sz w:val="18"/>
              </w:rPr>
              <w:t>Ce qu'elle relie</w:t>
            </w:r>
          </w:p>
        </w:tc>
        <w:tc>
          <w:tcPr>
            <w:tcW w:type="dxa" w:w="1928"/>
          </w:tcPr>
          <w:p>
            <w:pPr>
              <w:spacing w:after="40"/>
            </w:pPr>
            <w:r/>
            <w:r>
              <w:rPr>
                <w:b/>
                <w:sz w:val="18"/>
              </w:rPr>
              <w:t>Clé primaire</w:t>
            </w:r>
          </w:p>
        </w:tc>
        <w:tc>
          <w:tcPr>
            <w:tcW w:type="dxa" w:w="2381"/>
          </w:tcPr>
          <w:p>
            <w:pPr>
              <w:spacing w:after="40"/>
            </w:pPr>
            <w:r/>
            <w:r>
              <w:rPr>
                <w:b/>
                <w:sz w:val="18"/>
              </w:rPr>
              <w:t>Cardinalité</w:t>
            </w:r>
          </w:p>
        </w:tc>
      </w:tr>
      <w:tr>
        <w:tc>
          <w:tcPr>
            <w:tcW w:type="dxa" w:w="2268"/>
          </w:tcPr>
          <w:p>
            <w:pPr>
              <w:spacing w:after="40"/>
            </w:pPr>
            <w:r/>
            <w:r>
              <w:rPr>
                <w:sz w:val="18"/>
              </w:rPr>
              <w:t>pivot_workspace_groups</w:t>
            </w:r>
          </w:p>
        </w:tc>
        <w:tc>
          <w:tcPr>
            <w:tcW w:type="dxa" w:w="2494"/>
          </w:tcPr>
          <w:p>
            <w:pPr>
              <w:spacing w:after="40"/>
            </w:pPr>
            <w:r/>
            <w:r>
              <w:rPr>
                <w:sz w:val="18"/>
              </w:rPr>
              <w:t>Un groupe et un espace de travail</w:t>
            </w:r>
          </w:p>
        </w:tc>
        <w:tc>
          <w:tcPr>
            <w:tcW w:type="dxa" w:w="1928"/>
          </w:tcPr>
          <w:p>
            <w:pPr>
              <w:spacing w:after="40"/>
            </w:pPr>
            <w:r/>
            <w:r>
              <w:rPr>
                <w:sz w:val="18"/>
              </w:rPr>
              <w:t>Couple (groupe, espace)</w:t>
            </w:r>
          </w:p>
        </w:tc>
        <w:tc>
          <w:tcPr>
            <w:tcW w:type="dxa" w:w="2381"/>
          </w:tcPr>
          <w:p>
            <w:pPr>
              <w:spacing w:after="40"/>
            </w:pPr>
            <w:r/>
            <w:r>
              <w:rPr>
                <w:sz w:val="18"/>
              </w:rPr>
              <w:t>Un groupe couvre N espaces ; un espace peut être couvert par N groupes.</w:t>
            </w:r>
          </w:p>
        </w:tc>
      </w:tr>
      <w:tr>
        <w:tc>
          <w:tcPr>
            <w:tcW w:type="dxa" w:w="2268"/>
          </w:tcPr>
          <w:p>
            <w:pPr>
              <w:spacing w:after="40"/>
            </w:pPr>
            <w:r/>
            <w:r>
              <w:rPr>
                <w:sz w:val="18"/>
              </w:rPr>
              <w:t>pivot_employe_groups</w:t>
            </w:r>
          </w:p>
        </w:tc>
        <w:tc>
          <w:tcPr>
            <w:tcW w:type="dxa" w:w="2494"/>
          </w:tcPr>
          <w:p>
            <w:pPr>
              <w:spacing w:after="40"/>
            </w:pPr>
            <w:r/>
            <w:r>
              <w:rPr>
                <w:sz w:val="18"/>
              </w:rPr>
              <w:t>Un groupe et un employé</w:t>
            </w:r>
          </w:p>
        </w:tc>
        <w:tc>
          <w:tcPr>
            <w:tcW w:type="dxa" w:w="1928"/>
          </w:tcPr>
          <w:p>
            <w:pPr>
              <w:spacing w:after="40"/>
            </w:pPr>
            <w:r/>
            <w:r>
              <w:rPr>
                <w:sz w:val="18"/>
              </w:rPr>
              <w:t>Couple (groupe, employé)</w:t>
            </w:r>
          </w:p>
        </w:tc>
        <w:tc>
          <w:tcPr>
            <w:tcW w:type="dxa" w:w="2381"/>
          </w:tcPr>
          <w:p>
            <w:pPr>
              <w:spacing w:after="40"/>
            </w:pPr>
            <w:r/>
            <w:r>
              <w:rPr>
                <w:sz w:val="18"/>
              </w:rPr>
              <w:t>Un groupe compte N membres ; un employé peut appartenir à N groupes.</w:t>
            </w:r>
          </w:p>
        </w:tc>
      </w:tr>
    </w:tbl>
    <w:p/>
    <w:p>
      <w:pPr>
        <w:pStyle w:val="Heading2"/>
      </w:pPr>
      <w:r>
        <w:t>2.3. Ce que la réponse ajoute sans le stocker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Valeur restituée</w:t>
            </w:r>
          </w:p>
        </w:tc>
        <w:tc>
          <w:tcPr>
            <w:tcW w:type="dxa" w:w="2948"/>
          </w:tcPr>
          <w:p>
            <w:pPr>
              <w:spacing w:after="40"/>
            </w:pPr>
            <w:r/>
            <w:r>
              <w:rPr>
                <w:b/>
                <w:sz w:val="18"/>
              </w:rPr>
              <w:t>Comment elle est produite</w:t>
            </w:r>
          </w:p>
        </w:tc>
        <w:tc>
          <w:tcPr>
            <w:tcW w:type="dxa" w:w="4195"/>
          </w:tcPr>
          <w:p>
            <w:pPr>
              <w:spacing w:after="40"/>
            </w:pPr>
            <w:r/>
            <w:r>
              <w:rPr>
                <w:b/>
                <w:sz w:val="18"/>
              </w:rPr>
              <w:t>Pourquoi elle est calculée</w:t>
            </w:r>
          </w:p>
        </w:tc>
      </w:tr>
      <w:tr>
        <w:tc>
          <w:tcPr>
            <w:tcW w:type="dxa" w:w="1928"/>
          </w:tcPr>
          <w:p>
            <w:pPr>
              <w:spacing w:after="40"/>
            </w:pPr>
            <w:r/>
            <w:r>
              <w:rPr>
                <w:sz w:val="18"/>
              </w:rPr>
              <w:t>Nombre d'espaces couverts</w:t>
            </w:r>
          </w:p>
        </w:tc>
        <w:tc>
          <w:tcPr>
            <w:tcW w:type="dxa" w:w="2948"/>
          </w:tcPr>
          <w:p>
            <w:pPr>
              <w:spacing w:after="40"/>
            </w:pPr>
            <w:r/>
            <w:r>
              <w:rPr>
                <w:sz w:val="18"/>
              </w:rPr>
              <w:t>Taille de la liste des espaces rattachés.</w:t>
            </w:r>
          </w:p>
        </w:tc>
        <w:tc>
          <w:tcPr>
            <w:tcW w:type="dxa" w:w="4195"/>
          </w:tcPr>
          <w:p>
            <w:pPr>
              <w:spacing w:after="40"/>
            </w:pPr>
            <w:r/>
            <w:r>
              <w:rPr>
                <w:sz w:val="18"/>
              </w:rPr>
              <w:t>Un compteur stocké devrait être maintenu à chaque modification de rattachement et finirait par diverger de la liste qu'il prétend résumer.</w:t>
            </w:r>
          </w:p>
        </w:tc>
      </w:tr>
      <w:tr>
        <w:tc>
          <w:tcPr>
            <w:tcW w:type="dxa" w:w="1928"/>
          </w:tcPr>
          <w:p>
            <w:pPr>
              <w:spacing w:after="40"/>
            </w:pPr>
            <w:r/>
            <w:r>
              <w:rPr>
                <w:sz w:val="18"/>
              </w:rPr>
              <w:t>Nombre de membres</w:t>
            </w:r>
          </w:p>
        </w:tc>
        <w:tc>
          <w:tcPr>
            <w:tcW w:type="dxa" w:w="2948"/>
          </w:tcPr>
          <w:p>
            <w:pPr>
              <w:spacing w:after="40"/>
            </w:pPr>
            <w:r/>
            <w:r>
              <w:rPr>
                <w:sz w:val="18"/>
              </w:rPr>
              <w:t>Taille de la liste des membres.</w:t>
            </w:r>
          </w:p>
        </w:tc>
        <w:tc>
          <w:tcPr>
            <w:tcW w:type="dxa" w:w="4195"/>
          </w:tcPr>
          <w:p>
            <w:pPr>
              <w:spacing w:after="40"/>
            </w:pPr>
            <w:r/>
            <w:r>
              <w:rPr>
                <w:sz w:val="18"/>
              </w:rPr>
              <w:t>Même raison.</w:t>
            </w:r>
          </w:p>
        </w:tc>
      </w:tr>
      <w:tr>
        <w:tc>
          <w:tcPr>
            <w:tcW w:type="dxa" w:w="1928"/>
          </w:tcPr>
          <w:p>
            <w:pPr>
              <w:spacing w:after="40"/>
            </w:pPr>
            <w:r/>
            <w:r>
              <w:rPr>
                <w:sz w:val="18"/>
              </w:rPr>
              <w:t>Liste nominative des espaces</w:t>
            </w:r>
          </w:p>
        </w:tc>
        <w:tc>
          <w:tcPr>
            <w:tcW w:type="dxa" w:w="2948"/>
          </w:tcPr>
          <w:p>
            <w:pPr>
              <w:spacing w:after="40"/>
            </w:pPr>
            <w:r/>
            <w:r>
              <w:rPr>
                <w:sz w:val="18"/>
              </w:rPr>
              <w:t>Identifiant et nom de chaque espace rattaché.</w:t>
            </w:r>
          </w:p>
        </w:tc>
        <w:tc>
          <w:tcPr>
            <w:tcW w:type="dxa" w:w="4195"/>
          </w:tcPr>
          <w:p>
            <w:pPr>
              <w:spacing w:after="40"/>
            </w:pPr>
            <w:r/>
            <w:r>
              <w:rPr>
                <w:sz w:val="18"/>
              </w:rPr>
              <w:t>Recopier le nom au moment du rattachement figerait l'affichage : renommer un espace laisserait l'ancien libellé sur la fiche du groupe.</w:t>
            </w:r>
          </w:p>
        </w:tc>
      </w:tr>
      <w:tr>
        <w:tc>
          <w:tcPr>
            <w:tcW w:type="dxa" w:w="1928"/>
          </w:tcPr>
          <w:p>
            <w:pPr>
              <w:spacing w:after="40"/>
            </w:pPr>
            <w:r/>
            <w:r>
              <w:rPr>
                <w:sz w:val="18"/>
              </w:rPr>
              <w:t>Liste nominative des membres</w:t>
            </w:r>
          </w:p>
        </w:tc>
        <w:tc>
          <w:tcPr>
            <w:tcW w:type="dxa" w:w="2948"/>
          </w:tcPr>
          <w:p>
            <w:pPr>
              <w:spacing w:after="40"/>
            </w:pPr>
            <w:r/>
            <w:r>
              <w:rPr>
                <w:sz w:val="18"/>
              </w:rPr>
              <w:t>Identifiant et nom complet de chaque membre.</w:t>
            </w:r>
          </w:p>
        </w:tc>
        <w:tc>
          <w:tcPr>
            <w:tcW w:type="dxa" w:w="4195"/>
          </w:tcPr>
          <w:p>
            <w:pPr>
              <w:spacing w:after="40"/>
            </w:pPr>
            <w:r/>
            <w:r>
              <w:rPr>
                <w:sz w:val="18"/>
              </w:rPr>
              <w:t>Même raison. Le nom complet est composé à la lecture à partir du prénom et du nom.</w:t>
            </w:r>
          </w:p>
        </w:tc>
      </w:tr>
    </w:tbl>
    <w:p/>
    <w:p>
      <w:r>
        <w:rPr>
          <w:b w:val="0"/>
          <w:i w:val="0"/>
        </w:rPr>
        <w:t>Le tableau de l'écran affiche des compteurs et non des listes de noms. C'est un choix de lisibilité : dans un tableau, un compteur se compare d'une ligne à l'autre, alors qu'une liste de huit noms encombre sans se comparer. Le serveur fournit néanmoins les deux, la fiche de détail ayant besoin des noms.</w:t>
      </w:r>
    </w:p>
    <w:p>
      <w:pPr>
        <w:pStyle w:val="Heading1"/>
      </w:pPr>
      <w:r>
        <w:t>3. Les relations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Relation</w:t>
            </w:r>
          </w:p>
        </w:tc>
        <w:tc>
          <w:tcPr>
            <w:tcW w:type="dxa" w:w="2948"/>
          </w:tcPr>
          <w:p>
            <w:pPr>
              <w:spacing w:after="40"/>
            </w:pPr>
            <w:r/>
            <w:r>
              <w:rPr>
                <w:b/>
                <w:sz w:val="18"/>
              </w:rPr>
              <w:t>Sens et cardinalité</w:t>
            </w:r>
          </w:p>
        </w:tc>
        <w:tc>
          <w:tcPr>
            <w:tcW w:type="dxa" w:w="4082"/>
          </w:tcPr>
          <w:p>
            <w:pPr>
              <w:spacing w:after="40"/>
            </w:pPr>
            <w:r/>
            <w:r>
              <w:rPr>
                <w:b/>
                <w:sz w:val="18"/>
              </w:rPr>
              <w:t>Ce qui se passe si l'objet lié disparaît</w:t>
            </w:r>
          </w:p>
        </w:tc>
      </w:tr>
      <w:tr>
        <w:tc>
          <w:tcPr>
            <w:tcW w:type="dxa" w:w="2041"/>
          </w:tcPr>
          <w:p>
            <w:pPr>
              <w:spacing w:after="40"/>
            </w:pPr>
            <w:r/>
            <w:r>
              <w:rPr>
                <w:sz w:val="18"/>
              </w:rPr>
              <w:t>Groupe → Espaces de travail</w:t>
            </w:r>
          </w:p>
        </w:tc>
        <w:tc>
          <w:tcPr>
            <w:tcW w:type="dxa" w:w="2948"/>
          </w:tcPr>
          <w:p>
            <w:pPr>
              <w:spacing w:after="40"/>
            </w:pPr>
            <w:r/>
            <w:r>
              <w:rPr>
                <w:sz w:val="18"/>
              </w:rPr>
              <w:t>Plusieurs-à-plusieurs. Le groupe porte la relation ; l'espace en voit le côté inverse.</w:t>
            </w:r>
          </w:p>
        </w:tc>
        <w:tc>
          <w:tcPr>
            <w:tcW w:type="dxa" w:w="4082"/>
          </w:tcPr>
          <w:p>
            <w:pPr>
              <w:spacing w:after="40"/>
            </w:pPr>
            <w:r/>
            <w:r>
              <w:rPr>
                <w:sz w:val="18"/>
              </w:rPr>
              <w:t>La mise à la corbeille d'un espace ne supprime pas le rattachement : la ligne de liaison reste et l'espace continue d'être compté dans le groupe. Aucune suppression physique d'espace n'est possible tant qu'une ligne de liaison le désigne.</w:t>
            </w:r>
          </w:p>
        </w:tc>
      </w:tr>
      <w:tr>
        <w:tc>
          <w:tcPr>
            <w:tcW w:type="dxa" w:w="2041"/>
          </w:tcPr>
          <w:p>
            <w:pPr>
              <w:spacing w:after="40"/>
            </w:pPr>
            <w:r/>
            <w:r>
              <w:rPr>
                <w:sz w:val="18"/>
              </w:rPr>
              <w:t>Groupe → Employés (membres)</w:t>
            </w:r>
          </w:p>
        </w:tc>
        <w:tc>
          <w:tcPr>
            <w:tcW w:type="dxa" w:w="2948"/>
          </w:tcPr>
          <w:p>
            <w:pPr>
              <w:spacing w:after="40"/>
            </w:pPr>
            <w:r/>
            <w:r>
              <w:rPr>
                <w:sz w:val="18"/>
              </w:rPr>
              <w:t>Plusieurs-à-plusieurs. Le groupe porte la relation.</w:t>
            </w:r>
          </w:p>
        </w:tc>
        <w:tc>
          <w:tcPr>
            <w:tcW w:type="dxa" w:w="4082"/>
          </w:tcPr>
          <w:p>
            <w:pPr>
              <w:spacing w:after="40"/>
            </w:pPr>
            <w:r/>
            <w:r>
              <w:rPr>
                <w:sz w:val="18"/>
              </w:rPr>
              <w:t>Un employé n'est jamais supprimé dans ce produit ; la clé étrangère de la table de liaison l'interdirait de toute façon.</w:t>
            </w:r>
          </w:p>
        </w:tc>
      </w:tr>
      <w:tr>
        <w:tc>
          <w:tcPr>
            <w:tcW w:type="dxa" w:w="2041"/>
          </w:tcPr>
          <w:p>
            <w:pPr>
              <w:spacing w:after="40"/>
            </w:pPr>
            <w:r/>
            <w:r>
              <w:rPr>
                <w:sz w:val="18"/>
              </w:rPr>
              <w:t>Espace de travail → Groupes</w:t>
            </w:r>
          </w:p>
        </w:tc>
        <w:tc>
          <w:tcPr>
            <w:tcW w:type="dxa" w:w="2948"/>
          </w:tcPr>
          <w:p>
            <w:pPr>
              <w:spacing w:after="40"/>
            </w:pPr>
            <w:r/>
            <w:r>
              <w:rPr>
                <w:sz w:val="18"/>
              </w:rPr>
              <w:t>Côté inverse de la première relation, exploité pour répondre à « quels groupes couvrent ce dossier ? ».</w:t>
            </w:r>
          </w:p>
        </w:tc>
        <w:tc>
          <w:tcPr>
            <w:tcW w:type="dxa" w:w="4082"/>
          </w:tcPr>
          <w:p>
            <w:pPr>
              <w:spacing w:after="40"/>
            </w:pPr>
            <w:r/>
            <w:r>
              <w:rPr>
                <w:sz w:val="18"/>
              </w:rPr>
              <w:t>La mise à la corbeille d'un groupe ne supprime pas les lignes de liaison : le groupe continue donc d'apparaître sur la fiche des espaces qu'il couvrait. Voir la section 10.</w:t>
            </w:r>
          </w:p>
        </w:tc>
      </w:tr>
      <w:tr>
        <w:tc>
          <w:tcPr>
            <w:tcW w:type="dxa" w:w="2041"/>
          </w:tcPr>
          <w:p>
            <w:pPr>
              <w:spacing w:after="40"/>
            </w:pPr>
            <w:r/>
            <w:r>
              <w:rPr>
                <w:sz w:val="18"/>
              </w:rPr>
              <w:t>Profil d'un employé → Groupes</w:t>
            </w:r>
          </w:p>
        </w:tc>
        <w:tc>
          <w:tcPr>
            <w:tcW w:type="dxa" w:w="2948"/>
          </w:tcPr>
          <w:p>
            <w:pPr>
              <w:spacing w:after="40"/>
            </w:pPr>
            <w:r/>
            <w:r>
              <w:rPr>
                <w:sz w:val="18"/>
              </w:rPr>
              <w:t>Lecture inverse de la seconde relation, utilisée par la fiche de profil.</w:t>
            </w:r>
          </w:p>
        </w:tc>
        <w:tc>
          <w:tcPr>
            <w:tcW w:type="dxa" w:w="4082"/>
          </w:tcPr>
          <w:p>
            <w:pPr>
              <w:spacing w:after="40"/>
            </w:pPr>
            <w:r/>
            <w:r>
              <w:rPr>
                <w:sz w:val="18"/>
              </w:rPr>
              <w:t>Cette lecture, elle, écarte explicitement les groupes en corbeille.</w:t>
            </w:r>
          </w:p>
        </w:tc>
      </w:tr>
    </w:tbl>
    <w:p/>
    <w:p>
      <w:pPr>
        <w:pStyle w:val="Heading2"/>
      </w:pPr>
      <w:r>
        <w:t>3.1. Schéma des relations</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work_spaces      |          |        employes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id (PK)             |          | id (PK)                   |</w:t>
      </w:r>
    </w:p>
    <w:p>
      <w:pPr>
        <w:spacing w:after="0" w:before="0" w:line="240" w:lineRule="auto"/>
      </w:pPr>
      <w:r>
        <w:rPr>
          <w:rFonts w:ascii="Consolas" w:hAnsi="Consolas" w:cs="Consolas"/>
          <w:sz w:val="18"/>
        </w:rPr>
        <w:t xml:space="preserve">   | name, code, ...     |          | first_name, last_name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workspace_id                      | employe_id</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pivot_workspace_groups |        |   pivot_employe_groups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access_group_id  (PK)  |        | access_group_id  (PK)     |</w:t>
      </w:r>
    </w:p>
    <w:p>
      <w:pPr>
        <w:spacing w:after="0" w:before="0" w:line="240" w:lineRule="auto"/>
      </w:pPr>
      <w:r>
        <w:rPr>
          <w:rFonts w:ascii="Consolas" w:hAnsi="Consolas" w:cs="Consolas"/>
          <w:sz w:val="18"/>
        </w:rPr>
        <w:t xml:space="preserve">   | workspace_id     (PK)  |        | employe_id       (PK)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N..N                       N..N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access_groups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id     (PK)         |</w:t>
      </w:r>
    </w:p>
    <w:p>
      <w:pPr>
        <w:spacing w:after="0" w:before="0" w:line="240" w:lineRule="auto"/>
      </w:pPr>
      <w:r>
        <w:rPr>
          <w:rFonts w:ascii="Consolas" w:hAnsi="Consolas" w:cs="Consolas"/>
          <w:sz w:val="18"/>
        </w:rPr>
        <w:t xml:space="preserve">                     | code   (unique)     |</w:t>
      </w:r>
    </w:p>
    <w:p>
      <w:pPr>
        <w:spacing w:after="0" w:before="0" w:line="240" w:lineRule="auto"/>
      </w:pPr>
      <w:r>
        <w:rPr>
          <w:rFonts w:ascii="Consolas" w:hAnsi="Consolas" w:cs="Consolas"/>
          <w:sz w:val="18"/>
        </w:rPr>
        <w:t xml:space="preserve">                     | name   (unique)     |</w:t>
      </w:r>
    </w:p>
    <w:p>
      <w:pPr>
        <w:spacing w:after="0" w:before="0" w:line="240" w:lineRule="auto"/>
      </w:pPr>
      <w:r>
        <w:rPr>
          <w:rFonts w:ascii="Consolas" w:hAnsi="Consolas" w:cs="Consolas"/>
          <w:sz w:val="18"/>
        </w:rPr>
        <w:t xml:space="preserve">                     | deleted             |</w:t>
      </w:r>
    </w:p>
    <w:p>
      <w:pPr>
        <w:spacing w:after="0" w:before="0" w:line="240" w:lineRule="auto"/>
      </w:pPr>
      <w:r>
        <w:rPr>
          <w:rFonts w:ascii="Consolas" w:hAnsi="Consolas" w:cs="Consolas"/>
          <w:sz w:val="18"/>
        </w:rPr>
        <w:t xml:space="preserve">                     | droit_* (8 colonnes |</w:t>
      </w:r>
    </w:p>
    <w:p>
      <w:pPr>
        <w:spacing w:after="0" w:before="0" w:line="240" w:lineRule="auto"/>
      </w:pPr>
      <w:r>
        <w:rPr>
          <w:rFonts w:ascii="Consolas" w:hAnsi="Consolas" w:cs="Consolas"/>
          <w:sz w:val="18"/>
        </w:rPr>
        <w:t xml:space="preserve">                     |   INERTES, jamais   |</w:t>
      </w:r>
    </w:p>
    <w:p>
      <w:pPr>
        <w:spacing w:after="0" w:before="0" w:line="240" w:lineRule="auto"/>
      </w:pPr>
      <w:r>
        <w:rPr>
          <w:rFonts w:ascii="Consolas" w:hAnsi="Consolas" w:cs="Consolas"/>
          <w:sz w:val="18"/>
        </w:rPr>
        <w:t xml:space="preserve">                     |   lues ni ecrites)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Aucune fleche ne sort de ce schema vers un mecanisme d'autorisation.</w:t>
      </w:r>
    </w:p>
    <w:p>
      <w:pPr>
        <w:spacing w:after="0" w:before="0" w:line="240" w:lineRule="auto"/>
      </w:pPr>
      <w:r>
        <w:rPr>
          <w:rFonts w:ascii="Consolas" w:hAnsi="Consolas" w:cs="Consolas"/>
          <w:sz w:val="18"/>
        </w:rPr>
        <w:t xml:space="preserve">   Le groupe est une extremite : rien ne le consulte pour decider.</w:t>
      </w:r>
    </w:p>
    <w:p/>
    <w:p>
      <w:pPr>
        <w:pStyle w:val="Heading1"/>
      </w:pPr>
      <w:r>
        <w:t>4. Les opérations disponibles</w:t>
      </w:r>
    </w:p>
    <w:p>
      <w:r>
        <w:rPr>
          <w:b w:val="0"/>
          <w:i w:val="0"/>
        </w:rPr>
        <w:t>Toutes les opérations sont regroupées sous « /api/v1/access-groups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701"/>
          </w:tcPr>
          <w:p>
            <w:pPr>
              <w:spacing w:after="40"/>
            </w:pPr>
            <w:r/>
            <w:r>
              <w:rPr>
                <w:b/>
                <w:sz w:val="18"/>
              </w:rPr>
              <w:t>Ce qu'elle fait</w:t>
            </w:r>
          </w:p>
        </w:tc>
        <w:tc>
          <w:tcPr>
            <w:tcW w:type="dxa" w:w="1928"/>
          </w:tcPr>
          <w:p>
            <w:pPr>
              <w:spacing w:after="40"/>
            </w:pPr>
            <w:r/>
            <w:r>
              <w:rPr>
                <w:b/>
                <w:sz w:val="18"/>
              </w:rPr>
              <w:t>Ce qu'elle exige</w:t>
            </w:r>
          </w:p>
        </w:tc>
        <w:tc>
          <w:tcPr>
            <w:tcW w:type="dxa" w:w="1701"/>
          </w:tcPr>
          <w:p>
            <w:pPr>
              <w:spacing w:after="40"/>
            </w:pPr>
            <w:r/>
            <w:r>
              <w:rPr>
                <w:b/>
                <w:sz w:val="18"/>
              </w:rPr>
              <w:t>Ce qu'elle renvoie</w:t>
            </w:r>
          </w:p>
        </w:tc>
        <w:tc>
          <w:tcPr>
            <w:tcW w:type="dxa" w:w="2154"/>
          </w:tcPr>
          <w:p>
            <w:pPr>
              <w:spacing w:after="40"/>
            </w:pPr>
            <w:r/>
            <w:r>
              <w:rPr>
                <w:b/>
                <w:sz w:val="18"/>
              </w:rPr>
              <w:t>Ce qu'elle refuse</w:t>
            </w:r>
          </w:p>
        </w:tc>
      </w:tr>
      <w:tr>
        <w:tc>
          <w:tcPr>
            <w:tcW w:type="dxa" w:w="2041"/>
          </w:tcPr>
          <w:p>
            <w:pPr>
              <w:spacing w:after="40"/>
            </w:pPr>
            <w:r/>
            <w:r>
              <w:rPr>
                <w:sz w:val="18"/>
              </w:rPr>
              <w:t>GET /api/v1/access-groups</w:t>
            </w:r>
          </w:p>
        </w:tc>
        <w:tc>
          <w:tcPr>
            <w:tcW w:type="dxa" w:w="1701"/>
          </w:tcPr>
          <w:p>
            <w:pPr>
              <w:spacing w:after="40"/>
            </w:pPr>
            <w:r/>
            <w:r>
              <w:rPr>
                <w:sz w:val="18"/>
              </w:rPr>
              <w:t>Liste les groupes vivants.</w:t>
            </w:r>
          </w:p>
        </w:tc>
        <w:tc>
          <w:tcPr>
            <w:tcW w:type="dxa" w:w="1928"/>
          </w:tcPr>
          <w:p>
            <w:pPr>
              <w:spacing w:after="40"/>
            </w:pPr>
            <w:r/>
            <w:r>
              <w:rPr>
                <w:sz w:val="18"/>
              </w:rPr>
              <w:t>Paramètres facultatifs : page (0 par défaut), size (10), search (vide), sortBy, sortDir. La recherche porte sur le nom, sans distinction de casse. Le tri n'est transmis par l'écran que s'il est demandé.</w:t>
            </w:r>
          </w:p>
        </w:tc>
        <w:tc>
          <w:tcPr>
            <w:tcW w:type="dxa" w:w="1701"/>
          </w:tcPr>
          <w:p>
            <w:pPr>
              <w:spacing w:after="40"/>
            </w:pPr>
            <w:r/>
            <w:r>
              <w:rPr>
                <w:sz w:val="18"/>
              </w:rPr>
              <w:t>200 avec le contenu, le total, la page, la taille et le nombre de pages.</w:t>
            </w:r>
          </w:p>
        </w:tc>
        <w:tc>
          <w:tcPr>
            <w:tcW w:type="dxa" w:w="2154"/>
          </w:tcPr>
          <w:p>
            <w:pPr>
              <w:spacing w:after="40"/>
            </w:pPr>
            <w:r/>
            <w:r>
              <w:rPr>
                <w:sz w:val="18"/>
              </w:rPr>
              <w:t>400 si le numéro de page est négatif ou hors limites. Une colonne de tri non autorisée est ignorée.</w:t>
            </w:r>
          </w:p>
        </w:tc>
      </w:tr>
      <w:tr>
        <w:tc>
          <w:tcPr>
            <w:tcW w:type="dxa" w:w="2041"/>
          </w:tcPr>
          <w:p>
            <w:pPr>
              <w:spacing w:after="40"/>
            </w:pPr>
            <w:r/>
            <w:r>
              <w:rPr>
                <w:sz w:val="18"/>
              </w:rPr>
              <w:t>GET /api/v1/access-groups/trashed</w:t>
            </w:r>
          </w:p>
        </w:tc>
        <w:tc>
          <w:tcPr>
            <w:tcW w:type="dxa" w:w="1701"/>
          </w:tcPr>
          <w:p>
            <w:pPr>
              <w:spacing w:after="40"/>
            </w:pPr>
            <w:r/>
            <w:r>
              <w:rPr>
                <w:sz w:val="18"/>
              </w:rPr>
              <w:t>Liste les groupes en corbeille.</w:t>
            </w:r>
          </w:p>
        </w:tc>
        <w:tc>
          <w:tcPr>
            <w:tcW w:type="dxa" w:w="1928"/>
          </w:tcPr>
          <w:p>
            <w:pPr>
              <w:spacing w:after="40"/>
            </w:pPr>
            <w:r/>
            <w:r>
              <w:rPr>
                <w:sz w:val="18"/>
              </w:rPr>
              <w:t>Mêmes paramètres.</w:t>
            </w:r>
          </w:p>
        </w:tc>
        <w:tc>
          <w:tcPr>
            <w:tcW w:type="dxa" w:w="1701"/>
          </w:tcPr>
          <w:p>
            <w:pPr>
              <w:spacing w:after="40"/>
            </w:pPr>
            <w:r/>
            <w:r>
              <w:rPr>
                <w:sz w:val="18"/>
              </w:rPr>
              <w:t>200, même enveloppe.</w:t>
            </w:r>
          </w:p>
        </w:tc>
        <w:tc>
          <w:tcPr>
            <w:tcW w:type="dxa" w:w="2154"/>
          </w:tcPr>
          <w:p>
            <w:pPr>
              <w:spacing w:after="40"/>
            </w:pPr>
            <w:r/>
            <w:r>
              <w:rPr>
                <w:sz w:val="18"/>
              </w:rPr>
              <w:t>Idem.</w:t>
            </w:r>
          </w:p>
        </w:tc>
      </w:tr>
      <w:tr>
        <w:tc>
          <w:tcPr>
            <w:tcW w:type="dxa" w:w="2041"/>
          </w:tcPr>
          <w:p>
            <w:pPr>
              <w:spacing w:after="40"/>
            </w:pPr>
            <w:r/>
            <w:r>
              <w:rPr>
                <w:sz w:val="18"/>
              </w:rPr>
              <w:t>GET /api/v1/access-groups/for-select</w:t>
            </w:r>
          </w:p>
        </w:tc>
        <w:tc>
          <w:tcPr>
            <w:tcW w:type="dxa" w:w="1701"/>
          </w:tcPr>
          <w:p>
            <w:pPr>
              <w:spacing w:after="40"/>
            </w:pPr>
            <w:r/>
            <w:r>
              <w:rPr>
                <w:sz w:val="18"/>
              </w:rPr>
              <w:t>Liste allégée pour les sélecteurs.</w:t>
            </w:r>
          </w:p>
        </w:tc>
        <w:tc>
          <w:tcPr>
            <w:tcW w:type="dxa" w:w="1928"/>
          </w:tcPr>
          <w:p>
            <w:pPr>
              <w:spacing w:after="40"/>
            </w:pPr>
            <w:r/>
            <w:r>
              <w:rPr>
                <w:sz w:val="18"/>
              </w:rPr>
              <w:t>Aucun paramètre.</w:t>
            </w:r>
          </w:p>
        </w:tc>
        <w:tc>
          <w:tcPr>
            <w:tcW w:type="dxa" w:w="1701"/>
          </w:tcPr>
          <w:p>
            <w:pPr>
              <w:spacing w:after="40"/>
            </w:pPr>
            <w:r/>
            <w:r>
              <w:rPr>
                <w:sz w:val="18"/>
              </w:rPr>
              <w:t>200 avec une liste de couples identifiant / nom, dans l'ordre des identifiants.</w:t>
            </w:r>
          </w:p>
        </w:tc>
        <w:tc>
          <w:tcPr>
            <w:tcW w:type="dxa" w:w="2154"/>
          </w:tcPr>
          <w:p>
            <w:pPr>
              <w:spacing w:after="40"/>
            </w:pPr>
            <w:r/>
            <w:r>
              <w:rPr>
                <w:sz w:val="18"/>
              </w:rPr>
              <w:t>Rien.</w:t>
            </w:r>
          </w:p>
        </w:tc>
      </w:tr>
      <w:tr>
        <w:tc>
          <w:tcPr>
            <w:tcW w:type="dxa" w:w="2041"/>
          </w:tcPr>
          <w:p>
            <w:pPr>
              <w:spacing w:after="40"/>
            </w:pPr>
            <w:r/>
            <w:r>
              <w:rPr>
                <w:sz w:val="18"/>
              </w:rPr>
              <w:t>GET /api/v1/access-groups/{id}</w:t>
            </w:r>
          </w:p>
        </w:tc>
        <w:tc>
          <w:tcPr>
            <w:tcW w:type="dxa" w:w="1701"/>
          </w:tcPr>
          <w:p>
            <w:pPr>
              <w:spacing w:after="40"/>
            </w:pPr>
            <w:r/>
            <w:r>
              <w:rPr>
                <w:sz w:val="18"/>
              </w:rPr>
              <w:t>Détail d'un groupe, y compris s'il est en corbeille.</w:t>
            </w:r>
          </w:p>
        </w:tc>
        <w:tc>
          <w:tcPr>
            <w:tcW w:type="dxa" w:w="1928"/>
          </w:tcPr>
          <w:p>
            <w:pPr>
              <w:spacing w:after="40"/>
            </w:pPr>
            <w:r/>
            <w:r>
              <w:rPr>
                <w:sz w:val="18"/>
              </w:rPr>
              <w:t>Un identifiant.</w:t>
            </w:r>
          </w:p>
        </w:tc>
        <w:tc>
          <w:tcPr>
            <w:tcW w:type="dxa" w:w="1701"/>
          </w:tcPr>
          <w:p>
            <w:pPr>
              <w:spacing w:after="40"/>
            </w:pPr>
            <w:r/>
            <w:r>
              <w:rPr>
                <w:sz w:val="18"/>
              </w:rPr>
              <w:t>200 avec le code, le nom, les deux listes nominatives et les deux compteurs.</w:t>
            </w:r>
          </w:p>
        </w:tc>
        <w:tc>
          <w:tcPr>
            <w:tcW w:type="dxa" w:w="2154"/>
          </w:tcPr>
          <w:p>
            <w:pPr>
              <w:spacing w:after="40"/>
            </w:pPr>
            <w:r/>
            <w:r>
              <w:rPr>
                <w:sz w:val="18"/>
              </w:rPr>
              <w:t>404 si le groupe n'existe pas.</w:t>
            </w:r>
          </w:p>
        </w:tc>
      </w:tr>
      <w:tr>
        <w:tc>
          <w:tcPr>
            <w:tcW w:type="dxa" w:w="2041"/>
          </w:tcPr>
          <w:p>
            <w:pPr>
              <w:spacing w:after="40"/>
            </w:pPr>
            <w:r/>
            <w:r>
              <w:rPr>
                <w:sz w:val="18"/>
              </w:rPr>
              <w:t>POST /api/v1/access-groups</w:t>
            </w:r>
          </w:p>
        </w:tc>
        <w:tc>
          <w:tcPr>
            <w:tcW w:type="dxa" w:w="1701"/>
          </w:tcPr>
          <w:p>
            <w:pPr>
              <w:spacing w:after="40"/>
            </w:pPr>
            <w:r/>
            <w:r>
              <w:rPr>
                <w:sz w:val="18"/>
              </w:rPr>
              <w:t>Crée un groupe et ses rattachements.</w:t>
            </w:r>
          </w:p>
        </w:tc>
        <w:tc>
          <w:tcPr>
            <w:tcW w:type="dxa" w:w="1928"/>
          </w:tcPr>
          <w:p>
            <w:pPr>
              <w:spacing w:after="40"/>
            </w:pPr>
            <w:r/>
            <w:r>
              <w:rPr>
                <w:sz w:val="18"/>
              </w:rPr>
              <w:t>Un code et un nom non vides, d'au plus 255 caractères chacun. Les listes d'espaces et de membres sont facultatives.</w:t>
            </w:r>
          </w:p>
        </w:tc>
        <w:tc>
          <w:tcPr>
            <w:tcW w:type="dxa" w:w="1701"/>
          </w:tcPr>
          <w:p>
            <w:pPr>
              <w:spacing w:after="40"/>
            </w:pPr>
            <w:r/>
            <w:r>
              <w:rPr>
                <w:sz w:val="18"/>
              </w:rPr>
              <w:t>201 avec le groupe créé.</w:t>
            </w:r>
          </w:p>
        </w:tc>
        <w:tc>
          <w:tcPr>
            <w:tcW w:type="dxa" w:w="2154"/>
          </w:tcPr>
          <w:p>
            <w:pPr>
              <w:spacing w:after="40"/>
            </w:pPr>
            <w:r/>
            <w:r>
              <w:rPr>
                <w:sz w:val="18"/>
              </w:rPr>
              <w:t>400 si le code ou le nom est vide, trop long, ou déjà utilisé.</w:t>
            </w:r>
          </w:p>
        </w:tc>
      </w:tr>
      <w:tr>
        <w:tc>
          <w:tcPr>
            <w:tcW w:type="dxa" w:w="2041"/>
          </w:tcPr>
          <w:p>
            <w:pPr>
              <w:spacing w:after="40"/>
            </w:pPr>
            <w:r/>
            <w:r>
              <w:rPr>
                <w:sz w:val="18"/>
              </w:rPr>
              <w:t>PUT /api/v1/access-groups/{id}</w:t>
            </w:r>
          </w:p>
        </w:tc>
        <w:tc>
          <w:tcPr>
            <w:tcW w:type="dxa" w:w="1701"/>
          </w:tcPr>
          <w:p>
            <w:pPr>
              <w:spacing w:after="40"/>
            </w:pPr>
            <w:r/>
            <w:r>
              <w:rPr>
                <w:sz w:val="18"/>
              </w:rPr>
              <w:t>Remplace le code, le nom et l'intégralité des deux rattachements.</w:t>
            </w:r>
          </w:p>
        </w:tc>
        <w:tc>
          <w:tcPr>
            <w:tcW w:type="dxa" w:w="1928"/>
          </w:tcPr>
          <w:p>
            <w:pPr>
              <w:spacing w:after="40"/>
            </w:pPr>
            <w:r/>
            <w:r>
              <w:rPr>
                <w:sz w:val="18"/>
              </w:rPr>
              <w:t>Le même corps qu'à la création.</w:t>
            </w:r>
          </w:p>
        </w:tc>
        <w:tc>
          <w:tcPr>
            <w:tcW w:type="dxa" w:w="1701"/>
          </w:tcPr>
          <w:p>
            <w:pPr>
              <w:spacing w:after="40"/>
            </w:pPr>
            <w:r/>
            <w:r>
              <w:rPr>
                <w:sz w:val="18"/>
              </w:rPr>
              <w:t>200 avec le groupe modifié.</w:t>
            </w:r>
          </w:p>
        </w:tc>
        <w:tc>
          <w:tcPr>
            <w:tcW w:type="dxa" w:w="2154"/>
          </w:tcPr>
          <w:p>
            <w:pPr>
              <w:spacing w:after="40"/>
            </w:pPr>
            <w:r/>
            <w:r>
              <w:rPr>
                <w:sz w:val="18"/>
              </w:rPr>
              <w:t>Mêmes refus qu'à la création, plus 404 si le groupe n'existe pas.</w:t>
            </w:r>
          </w:p>
        </w:tc>
      </w:tr>
      <w:tr>
        <w:tc>
          <w:tcPr>
            <w:tcW w:type="dxa" w:w="2041"/>
          </w:tcPr>
          <w:p>
            <w:pPr>
              <w:spacing w:after="40"/>
            </w:pPr>
            <w:r/>
            <w:r>
              <w:rPr>
                <w:sz w:val="18"/>
              </w:rPr>
              <w:t>DELETE /api/v1/access-groups/{id}</w:t>
            </w:r>
          </w:p>
        </w:tc>
        <w:tc>
          <w:tcPr>
            <w:tcW w:type="dxa" w:w="1701"/>
          </w:tcPr>
          <w:p>
            <w:pPr>
              <w:spacing w:after="40"/>
            </w:pPr>
            <w:r/>
            <w:r>
              <w:rPr>
                <w:sz w:val="18"/>
              </w:rPr>
              <w:t>Met le groupe à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le groupe n'existe pas. Un groupe déjà en corbeille est accepté sans effet.</w:t>
            </w:r>
          </w:p>
        </w:tc>
      </w:tr>
      <w:tr>
        <w:tc>
          <w:tcPr>
            <w:tcW w:type="dxa" w:w="2041"/>
          </w:tcPr>
          <w:p>
            <w:pPr>
              <w:spacing w:after="40"/>
            </w:pPr>
            <w:r/>
            <w:r>
              <w:rPr>
                <w:sz w:val="18"/>
              </w:rPr>
              <w:t>PATCH /api/v1/access-groups/{id}/restore</w:t>
            </w:r>
          </w:p>
        </w:tc>
        <w:tc>
          <w:tcPr>
            <w:tcW w:type="dxa" w:w="1701"/>
          </w:tcPr>
          <w:p>
            <w:pPr>
              <w:spacing w:after="40"/>
            </w:pPr>
            <w:r/>
            <w:r>
              <w:rPr>
                <w:sz w:val="18"/>
              </w:rPr>
              <w:t>Sort le groupe de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le groupe n'existe pas.</w:t>
            </w:r>
          </w:p>
        </w:tc>
      </w:tr>
      <w:tr>
        <w:tc>
          <w:tcPr>
            <w:tcW w:type="dxa" w:w="2041"/>
          </w:tcPr>
          <w:p>
            <w:pPr>
              <w:spacing w:after="40"/>
            </w:pPr>
            <w:r/>
            <w:r>
              <w:rPr>
                <w:sz w:val="18"/>
              </w:rPr>
              <w:t>DELETE /api/v1/access-groups/multiple-delete</w:t>
            </w:r>
          </w:p>
        </w:tc>
        <w:tc>
          <w:tcPr>
            <w:tcW w:type="dxa" w:w="1701"/>
          </w:tcPr>
          <w:p>
            <w:pPr>
              <w:spacing w:after="40"/>
            </w:pPr>
            <w:r/>
            <w:r>
              <w:rPr>
                <w:sz w:val="18"/>
              </w:rPr>
              <w:t>Met plusieurs groupes à la corbeille.</w:t>
            </w:r>
          </w:p>
        </w:tc>
        <w:tc>
          <w:tcPr>
            <w:tcW w:type="dxa" w:w="1928"/>
          </w:tcPr>
          <w:p>
            <w:pPr>
              <w:spacing w:after="40"/>
            </w:pPr>
            <w:r/>
            <w:r>
              <w:rPr>
                <w:sz w:val="18"/>
              </w:rPr>
              <w:t>Un corps portant une liste d'identifiants sous la clé « ids ».</w:t>
            </w:r>
          </w:p>
        </w:tc>
        <w:tc>
          <w:tcPr>
            <w:tcW w:type="dxa" w:w="1701"/>
          </w:tcPr>
          <w:p>
            <w:pPr>
              <w:spacing w:after="40"/>
            </w:pPr>
            <w:r/>
            <w:r>
              <w:rPr>
                <w:sz w:val="18"/>
              </w:rPr>
              <w:t>204, sans corps.</w:t>
            </w:r>
          </w:p>
        </w:tc>
        <w:tc>
          <w:tcPr>
            <w:tcW w:type="dxa" w:w="2154"/>
          </w:tcPr>
          <w:p>
            <w:pPr>
              <w:spacing w:after="40"/>
            </w:pPr>
            <w:r/>
            <w:r>
              <w:rPr>
                <w:sz w:val="18"/>
              </w:rPr>
              <w:t>Rien : les identifiants inconnus ou déjà en corbeille sont ignorés en silence.</w:t>
            </w:r>
          </w:p>
        </w:tc>
      </w:tr>
      <w:tr>
        <w:tc>
          <w:tcPr>
            <w:tcW w:type="dxa" w:w="2041"/>
          </w:tcPr>
          <w:p>
            <w:pPr>
              <w:spacing w:after="40"/>
            </w:pPr>
            <w:r/>
            <w:r>
              <w:rPr>
                <w:sz w:val="18"/>
              </w:rPr>
              <w:t>PATCH /api/v1/access-groups/multiple-restore</w:t>
            </w:r>
          </w:p>
        </w:tc>
        <w:tc>
          <w:tcPr>
            <w:tcW w:type="dxa" w:w="1701"/>
          </w:tcPr>
          <w:p>
            <w:pPr>
              <w:spacing w:after="40"/>
            </w:pPr>
            <w:r/>
            <w:r>
              <w:rPr>
                <w:sz w:val="18"/>
              </w:rPr>
              <w:t>Restaure plusieurs groupes.</w:t>
            </w:r>
          </w:p>
        </w:tc>
        <w:tc>
          <w:tcPr>
            <w:tcW w:type="dxa" w:w="1928"/>
          </w:tcPr>
          <w:p>
            <w:pPr>
              <w:spacing w:after="40"/>
            </w:pPr>
            <w:r/>
            <w:r>
              <w:rPr>
                <w:sz w:val="18"/>
              </w:rPr>
              <w:t>Même corps.</w:t>
            </w:r>
          </w:p>
        </w:tc>
        <w:tc>
          <w:tcPr>
            <w:tcW w:type="dxa" w:w="1701"/>
          </w:tcPr>
          <w:p>
            <w:pPr>
              <w:spacing w:after="40"/>
            </w:pPr>
            <w:r/>
            <w:r>
              <w:rPr>
                <w:sz w:val="18"/>
              </w:rPr>
              <w:t>204, sans corps.</w:t>
            </w:r>
          </w:p>
        </w:tc>
        <w:tc>
          <w:tcPr>
            <w:tcW w:type="dxa" w:w="2154"/>
          </w:tcPr>
          <w:p>
            <w:pPr>
              <w:spacing w:after="40"/>
            </w:pPr>
            <w:r/>
            <w:r>
              <w:rPr>
                <w:sz w:val="18"/>
              </w:rPr>
              <w:t>Rien, pour la même raison.</w:t>
            </w:r>
          </w:p>
        </w:tc>
      </w:tr>
    </w:tbl>
    <w:p/>
    <w:p>
      <w:pPr>
        <w:pStyle w:val="Heading2"/>
      </w:pPr>
      <w:r>
        <w:t>4.1. Le tri par nombre d'espaces ou de membres</w:t>
      </w:r>
    </w:p>
    <w:p>
      <w:r>
        <w:rPr>
          <w:b w:val="0"/>
          <w:i w:val="0"/>
        </w:rPr>
        <w:t>Ces deux colonnes sont déclarées triables à l'écran, mais elles ne correspondent à aucune colonne de la table : ce sont des cardinalités d'association. Ni un nom de méthode dérivé ni un tri ordinaire ne savent l'exprimer. Une requête dédiée est donc construite à la main, et le service y aiguille lorsque la colonne demandée est l'une des deux.</w:t>
      </w:r>
    </w:p>
    <w:p>
      <w:pPr>
        <w:pStyle w:val="ListBullet"/>
        <w:spacing w:after="60"/>
      </w:pPr>
      <w:r>
        <w:rPr>
          <w:b/>
        </w:rPr>
        <w:t>Le nom de la collection ne vient jamais de l'utilisateur.</w:t>
      </w:r>
      <w:r>
        <w:t xml:space="preserve"> Il est confronté à une liste blanche de deux valeurs avant d'entrer dans la requête. C'est indispensable : cette valeur est concaténée dans le texte de la requête, et une valeur libre y serait une injection.</w:t>
      </w:r>
    </w:p>
    <w:p>
      <w:pPr>
        <w:pStyle w:val="ListBullet"/>
        <w:spacing w:after="60"/>
      </w:pPr>
      <w:r>
        <w:rPr>
          <w:b/>
        </w:rPr>
        <w:t>Un second critère départage les ex æquo.</w:t>
      </w:r>
      <w:r>
        <w:t xml:space="preserve"> Sans lui, deux groupes ayant le même nombre d'espaces pourraient changer de place d'une page à l'autre, et l'un d'eux disparaître de la pagination.</w:t>
      </w:r>
    </w:p>
    <w:p>
      <w:pPr>
        <w:pStyle w:val="ListBullet"/>
        <w:spacing w:after="60"/>
      </w:pPr>
      <w:r>
        <w:rPr>
          <w:b/>
        </w:rPr>
        <w:t>Le comptage total fait l'objet d'une requête séparée.</w:t>
      </w:r>
      <w:r>
        <w:t xml:space="preserve"> La pagination reste donc exacte, ce qu'un découpage en mémoire n'aurait pas permis.</w:t>
      </w:r>
    </w:p>
    <w:p>
      <w:pPr>
        <w:pStyle w:val="Heading1"/>
      </w:pPr>
      <w:r>
        <w:t>5. Les règles vérifiées côté serveur</w:t>
      </w:r>
    </w:p>
    <w:p>
      <w:pPr>
        <w:pStyle w:val="Heading3"/>
      </w:pPr>
      <w:r>
        <w:t>5.1. L'identité du groupe</w:t>
      </w:r>
    </w:p>
    <w:p>
      <w:pPr>
        <w:keepNext/>
        <w:spacing w:after="40"/>
      </w:pPr>
      <w:r>
        <w:rPr>
          <w:b/>
        </w:rPr>
        <w:t xml:space="preserve">Règle 1 — </w:t>
      </w:r>
      <w:r>
        <w:rPr>
          <w:b/>
        </w:rPr>
        <w:t>Le code est obligatoire, non vide, et d'au plus 255 caractères.</w:t>
      </w:r>
    </w:p>
    <w:p>
      <w:pPr>
        <w:spacing w:after="40"/>
        <w:ind w:left="340"/>
      </w:pPr>
      <w:r>
        <w:rPr>
          <w:i/>
        </w:rPr>
        <w:t xml:space="preserve">Portée : </w:t>
      </w:r>
      <w:r>
        <w:t>Double — l'écran refuse la validation et affiche « Le code est obligatoire ».</w:t>
      </w:r>
    </w:p>
    <w:p>
      <w:pPr>
        <w:spacing w:after="160"/>
        <w:ind w:left="340"/>
      </w:pPr>
      <w:r>
        <w:rPr>
          <w:i/>
        </w:rPr>
        <w:t xml:space="preserve">Pourquoi : </w:t>
      </w:r>
      <w:r>
        <w:t>La borne est déclarée au niveau de la requête et non laissée à la base : au-delà, l'insertion échouait au fond du dépôt et l'utilisateur recevait une panne sans savoir quel champ était en cause.</w:t>
      </w:r>
    </w:p>
    <w:p>
      <w:pPr>
        <w:keepNext/>
        <w:spacing w:after="40"/>
      </w:pPr>
      <w:r>
        <w:rPr>
          <w:b/>
        </w:rPr>
        <w:t xml:space="preserve">Règle 2 — </w:t>
      </w:r>
      <w:r>
        <w:rPr>
          <w:b/>
        </w:rPr>
        <w:t>Le nom est obligatoire, non vide, et d'au plus 255 caractères.</w:t>
      </w:r>
    </w:p>
    <w:p>
      <w:pPr>
        <w:spacing w:after="40"/>
        <w:ind w:left="340"/>
      </w:pPr>
      <w:r>
        <w:rPr>
          <w:i/>
        </w:rPr>
        <w:t xml:space="preserve">Portée : </w:t>
      </w:r>
      <w:r>
        <w:t>Double — l'écran affiche « Le nom est obligatoire ».</w:t>
      </w:r>
    </w:p>
    <w:p>
      <w:pPr>
        <w:spacing w:after="160"/>
        <w:ind w:left="340"/>
      </w:pPr>
      <w:r>
        <w:rPr>
          <w:i/>
        </w:rPr>
        <w:t xml:space="preserve">Pourquoi : </w:t>
      </w:r>
      <w:r>
        <w:t>Même raisonnement. Le nom est de surcroît le seul champ sur lequel porte la recherche : un groupe sans nom serait introuvable.</w:t>
      </w:r>
    </w:p>
    <w:p>
      <w:pPr>
        <w:keepNext/>
        <w:spacing w:after="40"/>
      </w:pPr>
      <w:r>
        <w:rPr>
          <w:b/>
        </w:rPr>
        <w:t xml:space="preserve">Règle 3 — </w:t>
      </w:r>
      <w:r>
        <w:rPr>
          <w:b/>
        </w:rPr>
        <w:t>Le code est unique, sans distinction de casse.</w:t>
      </w:r>
    </w:p>
    <w:p>
      <w:pPr>
        <w:spacing w:after="40"/>
        <w:ind w:left="340"/>
      </w:pPr>
      <w:r>
        <w:rPr>
          <w:i/>
        </w:rPr>
        <w:t xml:space="preserve">Portée : </w:t>
      </w:r>
      <w:r>
        <w:t>Serveur seul — l'écran ne connaît pas les codes déjà pris.</w:t>
      </w:r>
    </w:p>
    <w:p>
      <w:pPr>
        <w:spacing w:after="160"/>
        <w:ind w:left="340"/>
      </w:pPr>
      <w:r>
        <w:rPr>
          <w:i/>
        </w:rPr>
        <w:t xml:space="preserve">Pourquoi : </w:t>
      </w:r>
      <w:r>
        <w:t>Deux groupes partageant un code rendraient toute référence ambiguë. La vérification applicative précède l'écriture afin que le refus nomme la valeur fautive ; la contrainte de la base sert de filet.</w:t>
      </w:r>
    </w:p>
    <w:p>
      <w:pPr>
        <w:keepNext/>
        <w:spacing w:after="40"/>
      </w:pPr>
      <w:r>
        <w:rPr>
          <w:b/>
        </w:rPr>
        <w:t xml:space="preserve">Règle 4 — </w:t>
      </w:r>
      <w:r>
        <w:rPr>
          <w:b/>
        </w:rPr>
        <w:t>Le nom est unique, sans distinction de casse.</w:t>
      </w:r>
    </w:p>
    <w:p>
      <w:pPr>
        <w:spacing w:after="40"/>
        <w:ind w:left="340"/>
      </w:pPr>
      <w:r>
        <w:rPr>
          <w:i/>
        </w:rPr>
        <w:t xml:space="preserve">Portée : </w:t>
      </w:r>
      <w:r>
        <w:t>Serveur seul.</w:t>
      </w:r>
    </w:p>
    <w:p>
      <w:pPr>
        <w:spacing w:after="160"/>
        <w:ind w:left="340"/>
      </w:pPr>
      <w:r>
        <w:rPr>
          <w:i/>
        </w:rPr>
        <w:t xml:space="preserve">Pourquoi : </w:t>
      </w:r>
      <w:r>
        <w:t>C'est une particularité de ce module : les espaces de travail et les règles de workflow n'imposent l'unicité que sur le code, ou sur rien. Ici les deux champs sont contraints, en base comme dans le service. Un groupe étant désigné par son nom dans les fiches de profil et sur les espaces, l'homonymie y serait particulièrement trompeuse.</w:t>
      </w:r>
    </w:p>
    <w:p>
      <w:pPr>
        <w:keepNext/>
        <w:spacing w:after="40"/>
      </w:pPr>
      <w:r>
        <w:rPr>
          <w:b/>
        </w:rPr>
        <w:t xml:space="preserve">Règle 5 — </w:t>
      </w:r>
      <w:r>
        <w:rPr>
          <w:b/>
        </w:rPr>
        <w:t>À la modification, l'unicité du code et celle du nom sont vérifiées en excluant le groupe lui-même.</w:t>
      </w:r>
    </w:p>
    <w:p>
      <w:pPr>
        <w:spacing w:after="40"/>
        <w:ind w:left="340"/>
      </w:pPr>
      <w:r>
        <w:rPr>
          <w:i/>
        </w:rPr>
        <w:t xml:space="preserve">Portée : </w:t>
      </w:r>
      <w:r>
        <w:t>Serveur seul.</w:t>
      </w:r>
    </w:p>
    <w:p>
      <w:pPr>
        <w:spacing w:after="160"/>
        <w:ind w:left="340"/>
      </w:pPr>
      <w:r>
        <w:rPr>
          <w:i/>
        </w:rPr>
        <w:t xml:space="preserve">Pourquoi : </w:t>
      </w:r>
      <w:r>
        <w:t>Sans cette exclusion, enregistrer une fiche sans changer ni son code ni son nom serait refusé, ce qui rendrait toute modification impossible.</w:t>
      </w:r>
    </w:p>
    <w:p>
      <w:pPr>
        <w:pStyle w:val="Heading3"/>
      </w:pPr>
      <w:r>
        <w:t>5.2. Les rattachements</w:t>
      </w:r>
    </w:p>
    <w:p>
      <w:pPr>
        <w:keepNext/>
        <w:spacing w:after="40"/>
      </w:pPr>
      <w:r>
        <w:rPr>
          <w:b/>
        </w:rPr>
        <w:t xml:space="preserve">Règle 6 — </w:t>
      </w:r>
      <w:r>
        <w:rPr>
          <w:b/>
        </w:rPr>
        <w:t>Un groupe sans espace et sans membre est accepté.</w:t>
      </w:r>
    </w:p>
    <w:p>
      <w:pPr>
        <w:spacing w:after="40"/>
        <w:ind w:left="340"/>
      </w:pPr>
      <w:r>
        <w:rPr>
          <w:i/>
        </w:rPr>
        <w:t xml:space="preserve">Portée : </w:t>
      </w:r>
      <w:r>
        <w:t>Double — l'écran ne marque ni l'une ni l'autre comme obligatoire.</w:t>
      </w:r>
    </w:p>
    <w:p>
      <w:pPr>
        <w:spacing w:after="160"/>
        <w:ind w:left="340"/>
      </w:pPr>
      <w:r>
        <w:rPr>
          <w:i/>
        </w:rPr>
        <w:t xml:space="preserve">Pourquoi : </w:t>
      </w:r>
      <w:r>
        <w:t>On doit pouvoir créer la structure avant de la peupler. Les deux listes sont donc facultatives, et une liste absente est traitée comme une liste vide.</w:t>
      </w:r>
    </w:p>
    <w:p>
      <w:pPr>
        <w:keepNext/>
        <w:spacing w:after="40"/>
      </w:pPr>
      <w:r>
        <w:rPr>
          <w:b/>
        </w:rPr>
        <w:t xml:space="preserve">Règle 7 — </w:t>
      </w:r>
      <w:r>
        <w:rPr>
          <w:b/>
        </w:rPr>
        <w:t>Les deux rattachements sont intégralement remplacés à chaque écriture.</w:t>
      </w:r>
    </w:p>
    <w:p>
      <w:pPr>
        <w:spacing w:after="40"/>
        <w:ind w:left="340"/>
      </w:pPr>
      <w:r>
        <w:rPr>
          <w:i/>
        </w:rPr>
        <w:t xml:space="preserve">Portée : </w:t>
      </w:r>
      <w:r>
        <w:t>Serveur seul.</w:t>
      </w:r>
    </w:p>
    <w:p>
      <w:pPr>
        <w:spacing w:after="160"/>
        <w:ind w:left="340"/>
      </w:pPr>
      <w:r>
        <w:rPr>
          <w:i/>
        </w:rPr>
        <w:t xml:space="preserve">Pourquoi : </w:t>
      </w:r>
      <w:r>
        <w:t>Il n'existe pas d'opération d'ajout ou de retrait d'un membre isolé. Le remplacement total supprime toute ambiguïté sur l'état final, au prix d'une contrainte pour l'appelant, décrite en section 10.</w:t>
      </w:r>
    </w:p>
    <w:p>
      <w:pPr>
        <w:pStyle w:val="Heading3"/>
      </w:pPr>
      <w:r>
        <w:t>5.3. Robustesse du service</w:t>
      </w:r>
    </w:p>
    <w:p>
      <w:pPr>
        <w:keepNext/>
        <w:spacing w:after="40"/>
      </w:pPr>
      <w:r>
        <w:rPr>
          <w:b/>
        </w:rPr>
        <w:t xml:space="preserve">Règle 8 — </w:t>
      </w:r>
      <w:r>
        <w:rPr>
          <w:b/>
        </w:rPr>
        <w:t>Le nom de la collection sur laquelle porter un tri par cardinalité est confronté à une liste blanche.</w:t>
      </w:r>
    </w:p>
    <w:p>
      <w:pPr>
        <w:spacing w:after="40"/>
        <w:ind w:left="340"/>
      </w:pPr>
      <w:r>
        <w:rPr>
          <w:i/>
        </w:rPr>
        <w:t xml:space="preserve">Portée : </w:t>
      </w:r>
      <w:r>
        <w:t>Serveur seul.</w:t>
      </w:r>
    </w:p>
    <w:p>
      <w:pPr>
        <w:spacing w:after="160"/>
        <w:ind w:left="340"/>
      </w:pPr>
      <w:r>
        <w:rPr>
          <w:i/>
        </w:rPr>
        <w:t xml:space="preserve">Pourquoi : </w:t>
      </w:r>
      <w:r>
        <w:t>Cette valeur est concaténée dans le texte d'une requête construite à la main. Sans liste blanche, une valeur libre permettrait d'y injecter du code : c'est le seul endroit du module où une chaîne fournie par l'appelant approche une requête, et il est verrouillé.</w:t>
      </w:r>
    </w:p>
    <w:p>
      <w:pPr>
        <w:keepNext/>
        <w:spacing w:after="40"/>
      </w:pPr>
      <w:r>
        <w:rPr>
          <w:b/>
        </w:rPr>
        <w:t xml:space="preserve">Règle 9 — </w:t>
      </w:r>
      <w:r>
        <w:rPr>
          <w:b/>
        </w:rPr>
        <w:t>Le numéro de page est vérifié avant d'atteindre la couche de persistance, et la taille de page est plafonnée à 200.</w:t>
      </w:r>
    </w:p>
    <w:p>
      <w:pPr>
        <w:spacing w:after="40"/>
        <w:ind w:left="340"/>
      </w:pPr>
      <w:r>
        <w:rPr>
          <w:i/>
        </w:rPr>
        <w:t xml:space="preserve">Portée : </w:t>
      </w:r>
      <w:r>
        <w:t>Serveur seul.</w:t>
      </w:r>
    </w:p>
    <w:p>
      <w:pPr>
        <w:spacing w:after="160"/>
        <w:ind w:left="340"/>
      </w:pPr>
      <w:r>
        <w:rPr>
          <w:i/>
        </w:rPr>
        <w:t xml:space="preserve">Pourquoi : </w:t>
      </w:r>
      <w:r>
        <w:t>Même raisonnement que sur les autres listes : un décalage hors limites est une faute de l'appelant, pas une défaillance du serveur.</w:t>
      </w:r>
    </w:p>
    <w:p>
      <w:pPr>
        <w:spacing w:before="120" w:after="200"/>
        <w:ind w:left="283"/>
      </w:pPr>
      <w:r>
        <w:rPr>
          <w:b/>
        </w:rPr>
        <w:t xml:space="preserve">Règle absente, et c'est volontaire — </w:t>
      </w:r>
      <w:r>
        <w:t>aucune vérification de droit n'est faite nulle part, parce qu'il n'y en a pas à faire. Le module ne consulte jamais l'appartenance à un groupe pour décider d'autoriser une opération, ici ou ailleurs.</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154"/>
          </w:tcPr>
          <w:p>
            <w:pPr>
              <w:spacing w:after="40"/>
            </w:pPr>
            <w:r/>
            <w:r>
              <w:rPr>
                <w:b/>
                <w:sz w:val="18"/>
              </w:rPr>
              <w:t>Situation</w:t>
            </w:r>
          </w:p>
        </w:tc>
        <w:tc>
          <w:tcPr>
            <w:tcW w:type="dxa" w:w="680"/>
          </w:tcPr>
          <w:p>
            <w:pPr>
              <w:spacing w:after="40"/>
            </w:pPr>
            <w:r/>
            <w:r>
              <w:rPr>
                <w:b/>
                <w:sz w:val="18"/>
              </w:rPr>
              <w:t>Code</w:t>
            </w:r>
          </w:p>
        </w:tc>
        <w:tc>
          <w:tcPr>
            <w:tcW w:type="dxa" w:w="3061"/>
          </w:tcPr>
          <w:p>
            <w:pPr>
              <w:spacing w:after="40"/>
            </w:pPr>
            <w:r/>
            <w:r>
              <w:rPr>
                <w:b/>
                <w:sz w:val="18"/>
              </w:rPr>
              <w:t>Message porté par le serveur</w:t>
            </w:r>
          </w:p>
        </w:tc>
        <w:tc>
          <w:tcPr>
            <w:tcW w:type="dxa" w:w="3175"/>
          </w:tcPr>
          <w:p>
            <w:pPr>
              <w:spacing w:after="40"/>
            </w:pPr>
            <w:r/>
            <w:r>
              <w:rPr>
                <w:b/>
                <w:sz w:val="18"/>
              </w:rPr>
              <w:t>Ce que l'écran en fait</w:t>
            </w:r>
          </w:p>
        </w:tc>
      </w:tr>
      <w:tr>
        <w:tc>
          <w:tcPr>
            <w:tcW w:type="dxa" w:w="2154"/>
          </w:tcPr>
          <w:p>
            <w:pPr>
              <w:spacing w:after="40"/>
            </w:pPr>
            <w:r/>
            <w:r>
              <w:rPr>
                <w:sz w:val="18"/>
              </w:rPr>
              <w:t>Code vide</w:t>
            </w:r>
          </w:p>
        </w:tc>
        <w:tc>
          <w:tcPr>
            <w:tcW w:type="dxa" w:w="680"/>
          </w:tcPr>
          <w:p>
            <w:pPr>
              <w:spacing w:after="40"/>
            </w:pPr>
            <w:r/>
            <w:r>
              <w:rPr>
                <w:sz w:val="18"/>
              </w:rPr>
              <w:t>400</w:t>
            </w:r>
          </w:p>
        </w:tc>
        <w:tc>
          <w:tcPr>
            <w:tcW w:type="dxa" w:w="3061"/>
          </w:tcPr>
          <w:p>
            <w:pPr>
              <w:spacing w:after="40"/>
            </w:pPr>
            <w:r/>
            <w:r>
              <w:rPr>
                <w:sz w:val="18"/>
              </w:rPr>
              <w:t>Corps « Données invalides » avec, sous la clé du champ, « Le code est obligatoire ».</w:t>
            </w:r>
          </w:p>
        </w:tc>
        <w:tc>
          <w:tcPr>
            <w:tcW w:type="dxa" w:w="3175"/>
          </w:tcPr>
          <w:p>
            <w:pPr>
              <w:spacing w:after="40"/>
            </w:pPr>
            <w:r/>
            <w:r>
              <w:rPr>
                <w:sz w:val="18"/>
              </w:rPr>
              <w:t>Message affiché sous le champ, curseur placé dessus, fenêtre maintenue ouverte.</w:t>
            </w:r>
          </w:p>
        </w:tc>
      </w:tr>
      <w:tr>
        <w:tc>
          <w:tcPr>
            <w:tcW w:type="dxa" w:w="2154"/>
          </w:tcPr>
          <w:p>
            <w:pPr>
              <w:spacing w:after="40"/>
            </w:pPr>
            <w:r/>
            <w:r>
              <w:rPr>
                <w:sz w:val="18"/>
              </w:rPr>
              <w:t>Nom vide</w:t>
            </w:r>
          </w:p>
        </w:tc>
        <w:tc>
          <w:tcPr>
            <w:tcW w:type="dxa" w:w="680"/>
          </w:tcPr>
          <w:p>
            <w:pPr>
              <w:spacing w:after="40"/>
            </w:pPr>
            <w:r/>
            <w:r>
              <w:rPr>
                <w:sz w:val="18"/>
              </w:rPr>
              <w:t>400</w:t>
            </w:r>
          </w:p>
        </w:tc>
        <w:tc>
          <w:tcPr>
            <w:tcW w:type="dxa" w:w="3061"/>
          </w:tcPr>
          <w:p>
            <w:pPr>
              <w:spacing w:after="40"/>
            </w:pPr>
            <w:r/>
            <w:r>
              <w:rPr>
                <w:sz w:val="18"/>
              </w:rPr>
              <w:t>« Le nom est obligatoire »</w:t>
            </w:r>
          </w:p>
        </w:tc>
        <w:tc>
          <w:tcPr>
            <w:tcW w:type="dxa" w:w="3175"/>
          </w:tcPr>
          <w:p>
            <w:pPr>
              <w:spacing w:after="40"/>
            </w:pPr>
            <w:r/>
            <w:r>
              <w:rPr>
                <w:sz w:val="18"/>
              </w:rPr>
              <w:t>Idem.</w:t>
            </w:r>
          </w:p>
        </w:tc>
      </w:tr>
      <w:tr>
        <w:tc>
          <w:tcPr>
            <w:tcW w:type="dxa" w:w="2154"/>
          </w:tcPr>
          <w:p>
            <w:pPr>
              <w:spacing w:after="40"/>
            </w:pPr>
            <w:r/>
            <w:r>
              <w:rPr>
                <w:sz w:val="18"/>
              </w:rPr>
              <w:t>Code de plus de 255 caractères</w:t>
            </w:r>
          </w:p>
        </w:tc>
        <w:tc>
          <w:tcPr>
            <w:tcW w:type="dxa" w:w="680"/>
          </w:tcPr>
          <w:p>
            <w:pPr>
              <w:spacing w:after="40"/>
            </w:pPr>
            <w:r/>
            <w:r>
              <w:rPr>
                <w:sz w:val="18"/>
              </w:rPr>
              <w:t>400</w:t>
            </w:r>
          </w:p>
        </w:tc>
        <w:tc>
          <w:tcPr>
            <w:tcW w:type="dxa" w:w="3061"/>
          </w:tcPr>
          <w:p>
            <w:pPr>
              <w:spacing w:after="40"/>
            </w:pPr>
            <w:r/>
            <w:r>
              <w:rPr>
                <w:sz w:val="18"/>
              </w:rPr>
              <w:t>« Le code ne peut pas dépasser 255 caractères »</w:t>
            </w:r>
          </w:p>
        </w:tc>
        <w:tc>
          <w:tcPr>
            <w:tcW w:type="dxa" w:w="3175"/>
          </w:tcPr>
          <w:p>
            <w:pPr>
              <w:spacing w:after="40"/>
            </w:pPr>
            <w:r/>
            <w:r>
              <w:rPr>
                <w:sz w:val="18"/>
              </w:rPr>
              <w:t>Idem.</w:t>
            </w:r>
          </w:p>
        </w:tc>
      </w:tr>
      <w:tr>
        <w:tc>
          <w:tcPr>
            <w:tcW w:type="dxa" w:w="2154"/>
          </w:tcPr>
          <w:p>
            <w:pPr>
              <w:spacing w:after="40"/>
            </w:pPr>
            <w:r/>
            <w:r>
              <w:rPr>
                <w:sz w:val="18"/>
              </w:rPr>
              <w:t>Nom de plus de 255 caractères</w:t>
            </w:r>
          </w:p>
        </w:tc>
        <w:tc>
          <w:tcPr>
            <w:tcW w:type="dxa" w:w="680"/>
          </w:tcPr>
          <w:p>
            <w:pPr>
              <w:spacing w:after="40"/>
            </w:pPr>
            <w:r/>
            <w:r>
              <w:rPr>
                <w:sz w:val="18"/>
              </w:rPr>
              <w:t>400</w:t>
            </w:r>
          </w:p>
        </w:tc>
        <w:tc>
          <w:tcPr>
            <w:tcW w:type="dxa" w:w="3061"/>
          </w:tcPr>
          <w:p>
            <w:pPr>
              <w:spacing w:after="40"/>
            </w:pPr>
            <w:r/>
            <w:r>
              <w:rPr>
                <w:sz w:val="18"/>
              </w:rPr>
              <w:t>« Le nom ne peut pas dépasser 255 caractères »</w:t>
            </w:r>
          </w:p>
        </w:tc>
        <w:tc>
          <w:tcPr>
            <w:tcW w:type="dxa" w:w="3175"/>
          </w:tcPr>
          <w:p>
            <w:pPr>
              <w:spacing w:after="40"/>
            </w:pPr>
            <w:r/>
            <w:r>
              <w:rPr>
                <w:sz w:val="18"/>
              </w:rPr>
              <w:t>Idem.</w:t>
            </w:r>
          </w:p>
        </w:tc>
      </w:tr>
      <w:tr>
        <w:tc>
          <w:tcPr>
            <w:tcW w:type="dxa" w:w="2154"/>
          </w:tcPr>
          <w:p>
            <w:pPr>
              <w:spacing w:after="40"/>
            </w:pPr>
            <w:r/>
            <w:r>
              <w:rPr>
                <w:sz w:val="18"/>
              </w:rPr>
              <w:t>Code déjà utilisé</w:t>
            </w:r>
          </w:p>
        </w:tc>
        <w:tc>
          <w:tcPr>
            <w:tcW w:type="dxa" w:w="680"/>
          </w:tcPr>
          <w:p>
            <w:pPr>
              <w:spacing w:after="40"/>
            </w:pPr>
            <w:r/>
            <w:r>
              <w:rPr>
                <w:sz w:val="18"/>
              </w:rPr>
              <w:t>400</w:t>
            </w:r>
          </w:p>
        </w:tc>
        <w:tc>
          <w:tcPr>
            <w:tcW w:type="dxa" w:w="3061"/>
          </w:tcPr>
          <w:p>
            <w:pPr>
              <w:spacing w:after="40"/>
            </w:pPr>
            <w:r/>
            <w:r>
              <w:rPr>
                <w:sz w:val="18"/>
              </w:rPr>
              <w:t>« Le code « X » est déjà utilisé »</w:t>
            </w:r>
          </w:p>
        </w:tc>
        <w:tc>
          <w:tcPr>
            <w:tcW w:type="dxa" w:w="3175"/>
          </w:tcPr>
          <w:p>
            <w:pPr>
              <w:spacing w:after="40"/>
            </w:pPr>
            <w:r/>
            <w:r>
              <w:rPr>
                <w:sz w:val="18"/>
              </w:rPr>
              <w:t>Message affiché ; la fenêtre reste ouverte et la saisie est conservée.</w:t>
            </w:r>
          </w:p>
        </w:tc>
      </w:tr>
      <w:tr>
        <w:tc>
          <w:tcPr>
            <w:tcW w:type="dxa" w:w="2154"/>
          </w:tcPr>
          <w:p>
            <w:pPr>
              <w:spacing w:after="40"/>
            </w:pPr>
            <w:r/>
            <w:r>
              <w:rPr>
                <w:sz w:val="18"/>
              </w:rPr>
              <w:t>Nom déjà utilisé</w:t>
            </w:r>
          </w:p>
        </w:tc>
        <w:tc>
          <w:tcPr>
            <w:tcW w:type="dxa" w:w="680"/>
          </w:tcPr>
          <w:p>
            <w:pPr>
              <w:spacing w:after="40"/>
            </w:pPr>
            <w:r/>
            <w:r>
              <w:rPr>
                <w:sz w:val="18"/>
              </w:rPr>
              <w:t>400</w:t>
            </w:r>
          </w:p>
        </w:tc>
        <w:tc>
          <w:tcPr>
            <w:tcW w:type="dxa" w:w="3061"/>
          </w:tcPr>
          <w:p>
            <w:pPr>
              <w:spacing w:after="40"/>
            </w:pPr>
            <w:r/>
            <w:r>
              <w:rPr>
                <w:sz w:val="18"/>
              </w:rPr>
              <w:t>« Le nom « X » est déjà utilisé »</w:t>
            </w:r>
          </w:p>
        </w:tc>
        <w:tc>
          <w:tcPr>
            <w:tcW w:type="dxa" w:w="3175"/>
          </w:tcPr>
          <w:p>
            <w:pPr>
              <w:spacing w:after="40"/>
            </w:pPr>
            <w:r/>
            <w:r>
              <w:rPr>
                <w:sz w:val="18"/>
              </w:rPr>
              <w:t>Idem.</w:t>
            </w:r>
          </w:p>
        </w:tc>
      </w:tr>
      <w:tr>
        <w:tc>
          <w:tcPr>
            <w:tcW w:type="dxa" w:w="2154"/>
          </w:tcPr>
          <w:p>
            <w:pPr>
              <w:spacing w:after="40"/>
            </w:pPr>
            <w:r/>
            <w:r>
              <w:rPr>
                <w:sz w:val="18"/>
              </w:rPr>
              <w:t>Groupe introuvable</w:t>
            </w:r>
          </w:p>
        </w:tc>
        <w:tc>
          <w:tcPr>
            <w:tcW w:type="dxa" w:w="680"/>
          </w:tcPr>
          <w:p>
            <w:pPr>
              <w:spacing w:after="40"/>
            </w:pPr>
            <w:r/>
            <w:r>
              <w:rPr>
                <w:sz w:val="18"/>
              </w:rPr>
              <w:t>404</w:t>
            </w:r>
          </w:p>
        </w:tc>
        <w:tc>
          <w:tcPr>
            <w:tcW w:type="dxa" w:w="3061"/>
          </w:tcPr>
          <w:p>
            <w:pPr>
              <w:spacing w:after="40"/>
            </w:pPr>
            <w:r/>
            <w:r>
              <w:rPr>
                <w:sz w:val="18"/>
              </w:rPr>
              <w:t>« Groupe d'accès introuvable : {identifiant} »</w:t>
            </w:r>
          </w:p>
        </w:tc>
        <w:tc>
          <w:tcPr>
            <w:tcW w:type="dxa" w:w="3175"/>
          </w:tcPr>
          <w:p>
            <w:pPr>
              <w:spacing w:after="40"/>
            </w:pPr>
            <w:r/>
            <w:r>
              <w:rPr>
                <w:sz w:val="18"/>
              </w:rPr>
              <w:t>L'écran signale l'échec et recharge la liste.</w:t>
            </w:r>
          </w:p>
        </w:tc>
      </w:tr>
      <w:tr>
        <w:tc>
          <w:tcPr>
            <w:tcW w:type="dxa" w:w="2154"/>
          </w:tcPr>
          <w:p>
            <w:pPr>
              <w:spacing w:after="40"/>
            </w:pPr>
            <w:r/>
            <w:r>
              <w:rPr>
                <w:sz w:val="18"/>
              </w:rPr>
              <w:t>Espace ou employé référencé inexistant</w:t>
            </w:r>
          </w:p>
        </w:tc>
        <w:tc>
          <w:tcPr>
            <w:tcW w:type="dxa" w:w="680"/>
          </w:tcPr>
          <w:p>
            <w:pPr>
              <w:spacing w:after="40"/>
            </w:pPr>
            <w:r/>
            <w:r>
              <w:rPr>
                <w:sz w:val="18"/>
              </w:rPr>
              <w:t>—</w:t>
            </w:r>
          </w:p>
        </w:tc>
        <w:tc>
          <w:tcPr>
            <w:tcW w:type="dxa" w:w="3061"/>
          </w:tcPr>
          <w:p>
            <w:pPr>
              <w:spacing w:after="40"/>
            </w:pPr>
            <w:r/>
            <w:r>
              <w:rPr>
                <w:sz w:val="18"/>
              </w:rPr>
              <w:t>Aucune erreur : la référence inconnue est simplement absente du rattachement.</w:t>
            </w:r>
          </w:p>
        </w:tc>
        <w:tc>
          <w:tcPr>
            <w:tcW w:type="dxa" w:w="3175"/>
          </w:tcPr>
          <w:p>
            <w:pPr>
              <w:spacing w:after="40"/>
            </w:pPr>
            <w:r/>
            <w:r>
              <w:rPr>
                <w:sz w:val="18"/>
              </w:rPr>
              <w:t>L'écran affiche un compteur plus faible que le nombre d'éléments sélectionnés, sans explication. Voir la section 10.</w:t>
            </w:r>
          </w:p>
        </w:tc>
      </w:tr>
      <w:tr>
        <w:tc>
          <w:tcPr>
            <w:tcW w:type="dxa" w:w="2154"/>
          </w:tcPr>
          <w:p>
            <w:pPr>
              <w:spacing w:after="40"/>
            </w:pPr>
            <w:r/>
            <w:r>
              <w:rPr>
                <w:sz w:val="18"/>
              </w:rPr>
              <w:t>Valeur refusée par la base</w:t>
            </w:r>
          </w:p>
        </w:tc>
        <w:tc>
          <w:tcPr>
            <w:tcW w:type="dxa" w:w="680"/>
          </w:tcPr>
          <w:p>
            <w:pPr>
              <w:spacing w:after="40"/>
            </w:pPr>
            <w:r/>
            <w:r>
              <w:rPr>
                <w:sz w:val="18"/>
              </w:rPr>
              <w:t>400</w:t>
            </w:r>
          </w:p>
        </w:tc>
        <w:tc>
          <w:tcPr>
            <w:tcW w:type="dxa" w:w="3061"/>
          </w:tcPr>
          <w:p>
            <w:pPr>
              <w:spacing w:after="40"/>
            </w:pPr>
            <w:r/>
            <w:r>
              <w:rPr>
                <w:sz w:val="18"/>
              </w:rPr>
              <w:t>« Donnée refusée par la base : cette valeur est déjà utilisée. » ou « … une valeur dépasse la longueur autorisée pour sa colonne (255 caractères pour un champ texte). »</w:t>
            </w:r>
          </w:p>
        </w:tc>
        <w:tc>
          <w:tcPr>
            <w:tcW w:type="dxa" w:w="3175"/>
          </w:tcPr>
          <w:p>
            <w:pPr>
              <w:spacing w:after="40"/>
            </w:pPr>
            <w:r/>
            <w:r>
              <w:rPr>
                <w:sz w:val="18"/>
              </w:rPr>
              <w:t>Message affiché tel quel. Il ne recopie jamais l'erreur brute de la base, qui exposerait le nom des tables et des contraintes.</w:t>
            </w:r>
          </w:p>
        </w:tc>
      </w:tr>
      <w:tr>
        <w:tc>
          <w:tcPr>
            <w:tcW w:type="dxa" w:w="2154"/>
          </w:tcPr>
          <w:p>
            <w:pPr>
              <w:spacing w:after="40"/>
            </w:pPr>
            <w:r/>
            <w:r>
              <w:rPr>
                <w:sz w:val="18"/>
              </w:rPr>
              <w:t>Numéro de page hors limites</w:t>
            </w:r>
          </w:p>
        </w:tc>
        <w:tc>
          <w:tcPr>
            <w:tcW w:type="dxa" w:w="680"/>
          </w:tcPr>
          <w:p>
            <w:pPr>
              <w:spacing w:after="40"/>
            </w:pPr>
            <w:r/>
            <w:r>
              <w:rPr>
                <w:sz w:val="18"/>
              </w:rPr>
              <w:t>400</w:t>
            </w:r>
          </w:p>
        </w:tc>
        <w:tc>
          <w:tcPr>
            <w:tcW w:type="dxa" w:w="3061"/>
          </w:tcPr>
          <w:p>
            <w:pPr>
              <w:spacing w:after="40"/>
            </w:pPr>
            <w:r/>
            <w:r>
              <w:rPr>
                <w:sz w:val="18"/>
              </w:rPr>
              <w:t>« Numéro de page hors limites : au plus N pour une taille de page de M (reçu : P). »</w:t>
            </w:r>
          </w:p>
        </w:tc>
        <w:tc>
          <w:tcPr>
            <w:tcW w:type="dxa" w:w="3175"/>
          </w:tcPr>
          <w:p>
            <w:pPr>
              <w:spacing w:after="40"/>
            </w:pPr>
            <w:r/>
            <w:r>
              <w:rPr>
                <w:sz w:val="18"/>
              </w:rPr>
              <w:t>Cas d'appel direct à l'API.</w:t>
            </w:r>
          </w:p>
        </w:tc>
      </w:tr>
      <w:tr>
        <w:tc>
          <w:tcPr>
            <w:tcW w:type="dxa" w:w="2154"/>
          </w:tcPr>
          <w:p>
            <w:pPr>
              <w:spacing w:after="40"/>
            </w:pPr>
            <w:r/>
            <w:r>
              <w:rPr>
                <w:sz w:val="18"/>
              </w:rPr>
              <w:t>Tri par cardinalité sur une collection non autorisée</w:t>
            </w:r>
          </w:p>
        </w:tc>
        <w:tc>
          <w:tcPr>
            <w:tcW w:type="dxa" w:w="680"/>
          </w:tcPr>
          <w:p>
            <w:pPr>
              <w:spacing w:after="40"/>
            </w:pPr>
            <w:r/>
            <w:r>
              <w:rPr>
                <w:sz w:val="18"/>
              </w:rPr>
              <w:t>400</w:t>
            </w:r>
          </w:p>
        </w:tc>
        <w:tc>
          <w:tcPr>
            <w:tcW w:type="dxa" w:w="3061"/>
          </w:tcPr>
          <w:p>
            <w:pPr>
              <w:spacing w:after="40"/>
            </w:pPr>
            <w:r/>
            <w:r>
              <w:rPr>
                <w:sz w:val="18"/>
              </w:rPr>
              <w:t>« Tri non autorisé : {valeur} »</w:t>
            </w:r>
          </w:p>
        </w:tc>
        <w:tc>
          <w:tcPr>
            <w:tcW w:type="dxa" w:w="3175"/>
          </w:tcPr>
          <w:p>
            <w:pPr>
              <w:spacing w:after="40"/>
            </w:pPr>
            <w:r/>
            <w:r>
              <w:rPr>
                <w:sz w:val="18"/>
              </w:rPr>
              <w:t>Cas d'appel direct à l'API : l'écran ne propose que les deux valeurs permises.</w:t>
            </w:r>
          </w:p>
        </w:tc>
      </w:tr>
      <w:tr>
        <w:tc>
          <w:tcPr>
            <w:tcW w:type="dxa" w:w="2154"/>
          </w:tcPr>
          <w:p>
            <w:pPr>
              <w:spacing w:after="40"/>
            </w:pPr>
            <w:r/>
            <w:r>
              <w:rPr>
                <w:sz w:val="18"/>
              </w:rPr>
              <w:t>Appelant non authentifié</w:t>
            </w:r>
          </w:p>
        </w:tc>
        <w:tc>
          <w:tcPr>
            <w:tcW w:type="dxa" w:w="680"/>
          </w:tcPr>
          <w:p>
            <w:pPr>
              <w:spacing w:after="40"/>
            </w:pPr>
            <w:r/>
            <w:r>
              <w:rPr>
                <w:sz w:val="18"/>
              </w:rPr>
              <w:t>401</w:t>
            </w:r>
          </w:p>
        </w:tc>
        <w:tc>
          <w:tcPr>
            <w:tcW w:type="dxa" w:w="3061"/>
          </w:tcPr>
          <w:p>
            <w:pPr>
              <w:spacing w:after="40"/>
            </w:pPr>
            <w:r/>
            <w:r>
              <w:rPr>
                <w:sz w:val="18"/>
              </w:rPr>
              <w:t>Aucun corps.</w:t>
            </w:r>
          </w:p>
        </w:tc>
        <w:tc>
          <w:tcPr>
            <w:tcW w:type="dxa" w:w="3175"/>
          </w:tcPr>
          <w:p>
            <w:pPr>
              <w:spacing w:after="40"/>
            </w:pPr>
            <w:r/>
            <w:r>
              <w:rPr>
                <w:sz w:val="18"/>
              </w:rPr>
              <w:t>L'intercepteur ferme la session et renvoie vers la connexion.</w:t>
            </w:r>
          </w:p>
        </w:tc>
      </w:tr>
    </w:tbl>
    <w:p/>
    <w:p>
      <w:pPr>
        <w:pStyle w:val="Heading1"/>
      </w:pPr>
      <w:r>
        <w:t>7. Ce qui est écrit, et dans quel ordre</w:t>
      </w:r>
    </w:p>
    <w:p>
      <w:pPr>
        <w:pStyle w:val="Heading2"/>
      </w:pPr>
      <w:r>
        <w:t>7.1. Création</w:t>
      </w:r>
    </w:p>
    <w:p>
      <w:pPr>
        <w:spacing w:after="0" w:before="0" w:line="240" w:lineRule="auto"/>
      </w:pPr>
      <w:r>
        <w:rPr>
          <w:rFonts w:ascii="Consolas" w:hAnsi="Consolas" w:cs="Consolas"/>
          <w:sz w:val="18"/>
        </w:rPr>
        <w:t xml:space="preserve"> 1. Validation du corps : code et nom presents et bornes         -&gt; 400</w:t>
      </w:r>
    </w:p>
    <w:p>
      <w:pPr>
        <w:spacing w:after="0" w:before="0" w:line="240" w:lineRule="auto"/>
      </w:pPr>
      <w:r>
        <w:rPr>
          <w:rFonts w:ascii="Consolas" w:hAnsi="Consolas" w:cs="Consolas"/>
          <w:sz w:val="18"/>
        </w:rPr>
        <w:t xml:space="preserve"> 2. Verification d'unicite du code                               -&gt; 400</w:t>
      </w:r>
    </w:p>
    <w:p>
      <w:pPr>
        <w:spacing w:after="0" w:before="0" w:line="240" w:lineRule="auto"/>
      </w:pPr>
      <w:r>
        <w:rPr>
          <w:rFonts w:ascii="Consolas" w:hAnsi="Consolas" w:cs="Consolas"/>
          <w:sz w:val="18"/>
        </w:rPr>
        <w:t xml:space="preserve"> 3. Verification d'unicite du nom                                -&gt; 400</w:t>
      </w:r>
    </w:p>
    <w:p>
      <w:pPr>
        <w:spacing w:after="0" w:before="0" w:line="240" w:lineRule="auto"/>
      </w:pPr>
      <w:r>
        <w:rPr>
          <w:rFonts w:ascii="Consolas" w:hAnsi="Consolas" w:cs="Consolas"/>
          <w:sz w:val="18"/>
        </w:rPr>
        <w:t xml:space="preserve"> 4. Construction du groupe en memoire (code, nom)</w:t>
      </w:r>
    </w:p>
    <w:p>
      <w:pPr>
        <w:spacing w:after="0" w:before="0" w:line="240" w:lineRule="auto"/>
      </w:pPr>
      <w:r>
        <w:rPr>
          <w:rFonts w:ascii="Consolas" w:hAnsi="Consolas" w:cs="Consolas"/>
          <w:sz w:val="18"/>
        </w:rPr>
        <w:t xml:space="preserve"> 5. Lecture des espaces designes (une requete, ids inconnus</w:t>
      </w:r>
    </w:p>
    <w:p>
      <w:pPr>
        <w:spacing w:after="0" w:before="0" w:line="240" w:lineRule="auto"/>
      </w:pPr>
      <w:r>
        <w:rPr>
          <w:rFonts w:ascii="Consolas" w:hAnsi="Consolas" w:cs="Consolas"/>
          <w:sz w:val="18"/>
        </w:rPr>
        <w:t xml:space="preserve">    simplement absents du resultat)</w:t>
      </w:r>
    </w:p>
    <w:p>
      <w:pPr>
        <w:spacing w:after="0" w:before="0" w:line="240" w:lineRule="auto"/>
      </w:pPr>
      <w:r>
        <w:rPr>
          <w:rFonts w:ascii="Consolas" w:hAnsi="Consolas" w:cs="Consolas"/>
          <w:sz w:val="18"/>
        </w:rPr>
        <w:t xml:space="preserve"> 6. Remplacement complet de la collection d'espaces</w:t>
      </w:r>
    </w:p>
    <w:p>
      <w:pPr>
        <w:spacing w:after="0" w:before="0" w:line="240" w:lineRule="auto"/>
      </w:pPr>
      <w:r>
        <w:rPr>
          <w:rFonts w:ascii="Consolas" w:hAnsi="Consolas" w:cs="Consolas"/>
          <w:sz w:val="18"/>
        </w:rPr>
        <w:t xml:space="preserve"> 7. Lecture des employes designes (meme principe)</w:t>
      </w:r>
    </w:p>
    <w:p>
      <w:pPr>
        <w:spacing w:after="0" w:before="0" w:line="240" w:lineRule="auto"/>
      </w:pPr>
      <w:r>
        <w:rPr>
          <w:rFonts w:ascii="Consolas" w:hAnsi="Consolas" w:cs="Consolas"/>
          <w:sz w:val="18"/>
        </w:rPr>
        <w:t xml:space="preserve"> 8. Remplacement complet de la collection de membres</w:t>
      </w:r>
    </w:p>
    <w:p>
      <w:pPr>
        <w:spacing w:after="0" w:before="0" w:line="240" w:lineRule="auto"/>
      </w:pPr>
      <w:r>
        <w:rPr>
          <w:rFonts w:ascii="Consolas" w:hAnsi="Consolas" w:cs="Consolas"/>
          <w:sz w:val="18"/>
        </w:rPr>
        <w:t xml:space="preserve"> 9. ECRITURE du groupe ; la synchronisation des collections</w:t>
      </w:r>
    </w:p>
    <w:p>
      <w:pPr>
        <w:spacing w:after="0" w:before="0" w:line="240" w:lineRule="auto"/>
      </w:pPr>
      <w:r>
        <w:rPr>
          <w:rFonts w:ascii="Consolas" w:hAnsi="Consolas" w:cs="Consolas"/>
          <w:sz w:val="18"/>
        </w:rPr>
        <w:t xml:space="preserve">    insere les lignes de liaison</w:t>
      </w:r>
    </w:p>
    <w:p>
      <w:pPr>
        <w:spacing w:after="0" w:before="0" w:line="240" w:lineRule="auto"/>
      </w:pPr>
      <w:r>
        <w:rPr>
          <w:rFonts w:ascii="Consolas" w:hAnsi="Consolas" w:cs="Consolas"/>
          <w:sz w:val="18"/>
        </w:rPr>
        <w:t>10. Composition de la reponse (les compteurs sont la taille des</w:t>
      </w:r>
    </w:p>
    <w:p>
      <w:pPr>
        <w:spacing w:after="0" w:before="0" w:line="240" w:lineRule="auto"/>
      </w:pPr>
      <w:r>
        <w:rPr>
          <w:rFonts w:ascii="Consolas" w:hAnsi="Consolas" w:cs="Consolas"/>
          <w:sz w:val="18"/>
        </w:rPr>
        <w:t xml:space="preserve">    listes reellement enregistrees)</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Les etapes 1 a 3 sont des refus francs. Les etapes 5 et 7 ne refusent</w:t>
      </w:r>
    </w:p>
    <w:p>
      <w:pPr>
        <w:spacing w:after="0" w:before="0" w:line="240" w:lineRule="auto"/>
      </w:pPr>
      <w:r>
        <w:rPr>
          <w:rFonts w:ascii="Consolas" w:hAnsi="Consolas" w:cs="Consolas"/>
          <w:sz w:val="18"/>
        </w:rPr>
        <w:t xml:space="preserve"> rien : une reference inconnue disparait silencieusement.</w:t>
      </w:r>
    </w:p>
    <w:p/>
    <w:p>
      <w:pPr>
        <w:pStyle w:val="Heading2"/>
      </w:pPr>
      <w:r>
        <w:t>7.2. Modification</w:t>
      </w:r>
    </w:p>
    <w:p>
      <w:r>
        <w:rPr>
          <w:b w:val="0"/>
          <w:i w:val="0"/>
        </w:rPr>
        <w:t>La séquence est identique, précédée du chargement du groupe avec ses deux collections. Deux points méritent d'être soulignés.</w:t>
      </w:r>
    </w:p>
    <w:p>
      <w:pPr>
        <w:pStyle w:val="ListBullet"/>
        <w:spacing w:after="60"/>
      </w:pPr>
      <w:r>
        <w:rPr>
          <w:b/>
        </w:rPr>
        <w:t>Le remplacement est total.</w:t>
      </w:r>
      <w:r>
        <w:t xml:space="preserve"> Les deux collections sont vidées puis reconstruites à partir du corps reçu. Un client qui n'enverrait que le nom, sans les listes, viderait les deux rattachements : une liste absente est traitée exactement comme une liste vide.</w:t>
      </w:r>
    </w:p>
    <w:p>
      <w:pPr>
        <w:pStyle w:val="ListBullet"/>
        <w:spacing w:after="60"/>
      </w:pPr>
      <w:r>
        <w:rPr>
          <w:b/>
        </w:rPr>
        <w:t>Les lignes de liaison sont recalculées.</w:t>
      </w:r>
      <w:r>
        <w:t xml:space="preserve"> Les couples inchangés sont réécrits à l'identique ; ceux qui ne figurent plus dans le corps sont physiquement supprimés de la table de liaison. C'est la seule suppression définitive de ce module, et elle ne porte que sur des lignes de rattachement, jamais sur un employé ni sur un espace.</w:t>
      </w:r>
    </w:p>
    <w:p>
      <w:pPr>
        <w:pStyle w:val="Heading2"/>
      </w:pPr>
      <w:r>
        <w:t>7.3. Corbeille et opérations groupées</w:t>
      </w:r>
    </w:p>
    <w:p>
      <w:pPr>
        <w:pStyle w:val="ListBullet"/>
        <w:spacing w:after="60"/>
      </w:pPr>
      <w:r>
        <w:rPr>
          <w:b/>
        </w:rPr>
        <w:t>Mise à la corbeille.</w:t>
      </w:r>
      <w:r>
        <w:t xml:space="preserve"> Chargement du groupe avec ses collections, puis écriture du drapeau. Les lignes de liaison ne sont pas touchées : elles reviennent intactes à la restauration. C'est ce qui rend le geste réellement réversible — mais aussi ce qui produit l'effet décrit en section 10.2.</w:t>
      </w:r>
    </w:p>
    <w:p>
      <w:pPr>
        <w:pStyle w:val="ListBullet"/>
        <w:spacing w:after="60"/>
      </w:pPr>
      <w:r>
        <w:rPr>
          <w:b/>
        </w:rPr>
        <w:t>Restauration.</w:t>
      </w:r>
      <w:r>
        <w:t xml:space="preserve"> Écriture inverse du drapeau. Aucune confirmation n'est demandée par l'API, conformément à la règle selon laquelle restaurer une ligne est immédiat.</w:t>
      </w:r>
    </w:p>
    <w:p>
      <w:pPr>
        <w:pStyle w:val="ListBullet"/>
        <w:spacing w:after="60"/>
      </w:pPr>
      <w:r>
        <w:rPr>
          <w:b/>
        </w:rPr>
        <w:t>Opérations groupées.</w:t>
      </w:r>
      <w:r>
        <w:t xml:space="preserve"> Une seule requête ramène les groupes déjà dans le bon état de corbeille, puis chacun est marqué. Les identifiants inconnus ou déjà dans l'état cible sont ignorés. La réponse est toujours vide de corps.</w:t>
      </w:r>
    </w:p>
    <w:p>
      <w:pPr>
        <w:pStyle w:val="Heading2"/>
      </w:pPr>
      <w:r>
        <w:t>7.4. Si une étape échoue en cours de route</w:t>
      </w:r>
    </w:p>
    <w:p>
      <w:r>
        <w:rPr>
          <w:b w:val="0"/>
          <w:i w:val="0"/>
        </w:rPr>
        <w:t>Toutes les opérations d'écriture sont transactionnelles. Le cas sensible est la modification, qui vide les deux collections avant de les reconstruire : une défaillance entre les deux annule l'ensemble, et le groupe conserve ses rattachements d'origine. Il n'existe pas d'état où un groupe se retrouverait vidé de ses membres à la suite d'une erreur.</w:t>
      </w:r>
    </w:p>
    <w:p>
      <w:pPr>
        <w:pStyle w:val="Heading1"/>
      </w:pPr>
      <w:r>
        <w:t>8. Les effets de bord</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Effet</w:t>
            </w:r>
          </w:p>
        </w:tc>
        <w:tc>
          <w:tcPr>
            <w:tcW w:type="dxa" w:w="2041"/>
          </w:tcPr>
          <w:p>
            <w:pPr>
              <w:spacing w:after="40"/>
            </w:pPr>
            <w:r/>
            <w:r>
              <w:rPr>
                <w:b/>
                <w:sz w:val="18"/>
              </w:rPr>
              <w:t>Déclencheur</w:t>
            </w:r>
          </w:p>
        </w:tc>
        <w:tc>
          <w:tcPr>
            <w:tcW w:type="dxa" w:w="5102"/>
          </w:tcPr>
          <w:p>
            <w:pPr>
              <w:spacing w:after="40"/>
            </w:pPr>
            <w:r/>
            <w:r>
              <w:rPr>
                <w:b/>
                <w:sz w:val="18"/>
              </w:rPr>
              <w:t>Conséquence</w:t>
            </w:r>
          </w:p>
        </w:tc>
      </w:tr>
      <w:tr>
        <w:tc>
          <w:tcPr>
            <w:tcW w:type="dxa" w:w="1928"/>
          </w:tcPr>
          <w:p>
            <w:pPr>
              <w:spacing w:after="40"/>
            </w:pPr>
            <w:r/>
            <w:r>
              <w:rPr>
                <w:sz w:val="18"/>
              </w:rPr>
              <w:t>Rattachements conservés en corbeille</w:t>
            </w:r>
          </w:p>
        </w:tc>
        <w:tc>
          <w:tcPr>
            <w:tcW w:type="dxa" w:w="2041"/>
          </w:tcPr>
          <w:p>
            <w:pPr>
              <w:spacing w:after="40"/>
            </w:pPr>
            <w:r/>
            <w:r>
              <w:rPr>
                <w:sz w:val="18"/>
              </w:rPr>
              <w:t>Mise à la corbeille d'un groupe</w:t>
            </w:r>
          </w:p>
        </w:tc>
        <w:tc>
          <w:tcPr>
            <w:tcW w:type="dxa" w:w="5102"/>
          </w:tcPr>
          <w:p>
            <w:pPr>
              <w:spacing w:after="40"/>
            </w:pPr>
            <w:r/>
            <w:r>
              <w:rPr>
                <w:sz w:val="18"/>
              </w:rPr>
              <w:t>Les lignes de liaison restent. Le groupe continue donc d'apparaître sur la fiche des espaces qu'il couvrait, alors qu'il est absent de la liste des groupes. Voir la section 10.</w:t>
            </w:r>
          </w:p>
        </w:tc>
      </w:tr>
      <w:tr>
        <w:tc>
          <w:tcPr>
            <w:tcW w:type="dxa" w:w="1928"/>
          </w:tcPr>
          <w:p>
            <w:pPr>
              <w:spacing w:after="40"/>
            </w:pPr>
            <w:r/>
            <w:r>
              <w:rPr>
                <w:sz w:val="18"/>
              </w:rPr>
              <w:t>Suppression de lignes de liaison</w:t>
            </w:r>
          </w:p>
        </w:tc>
        <w:tc>
          <w:tcPr>
            <w:tcW w:type="dxa" w:w="2041"/>
          </w:tcPr>
          <w:p>
            <w:pPr>
              <w:spacing w:after="40"/>
            </w:pPr>
            <w:r/>
            <w:r>
              <w:rPr>
                <w:sz w:val="18"/>
              </w:rPr>
              <w:t>Modification d'un groupe retirant un espace ou un membre</w:t>
            </w:r>
          </w:p>
        </w:tc>
        <w:tc>
          <w:tcPr>
            <w:tcW w:type="dxa" w:w="5102"/>
          </w:tcPr>
          <w:p>
            <w:pPr>
              <w:spacing w:after="40"/>
            </w:pPr>
            <w:r/>
            <w:r>
              <w:rPr>
                <w:sz w:val="18"/>
              </w:rPr>
              <w:t>Les couples concernés sont effacés de la table de liaison. Ni l'espace ni l'employé ne sont touchés : seul le rattachement disparaît.</w:t>
            </w:r>
          </w:p>
        </w:tc>
      </w:tr>
      <w:tr>
        <w:tc>
          <w:tcPr>
            <w:tcW w:type="dxa" w:w="1928"/>
          </w:tcPr>
          <w:p>
            <w:pPr>
              <w:spacing w:after="40"/>
            </w:pPr>
            <w:r/>
            <w:r>
              <w:rPr>
                <w:sz w:val="18"/>
              </w:rPr>
              <w:t>Écriture des colonnes de droits héritées</w:t>
            </w:r>
          </w:p>
        </w:tc>
        <w:tc>
          <w:tcPr>
            <w:tcW w:type="dxa" w:w="2041"/>
          </w:tcPr>
          <w:p>
            <w:pPr>
              <w:spacing w:after="40"/>
            </w:pPr>
            <w:r/>
            <w:r>
              <w:rPr>
                <w:sz w:val="18"/>
              </w:rPr>
              <w:t>Toute création</w:t>
            </w:r>
          </w:p>
        </w:tc>
        <w:tc>
          <w:tcPr>
            <w:tcW w:type="dxa" w:w="5102"/>
          </w:tcPr>
          <w:p>
            <w:pPr>
              <w:spacing w:after="40"/>
            </w:pPr>
            <w:r/>
            <w:r>
              <w:rPr>
                <w:sz w:val="18"/>
              </w:rPr>
              <w:t>Les huit booléens sont écrits à faux, valeur par défaut de l'objet embarqué. Ils ne sont jamais relus. Aucune modification ne les touche.</w:t>
            </w:r>
          </w:p>
        </w:tc>
      </w:tr>
      <w:tr>
        <w:tc>
          <w:tcPr>
            <w:tcW w:type="dxa" w:w="1928"/>
          </w:tcPr>
          <w:p>
            <w:pPr>
              <w:spacing w:after="40"/>
            </w:pPr>
            <w:r/>
            <w:r>
              <w:rPr>
                <w:sz w:val="18"/>
              </w:rPr>
              <w:t>Recalcul des compteurs</w:t>
            </w:r>
          </w:p>
        </w:tc>
        <w:tc>
          <w:tcPr>
            <w:tcW w:type="dxa" w:w="2041"/>
          </w:tcPr>
          <w:p>
            <w:pPr>
              <w:spacing w:after="40"/>
            </w:pPr>
            <w:r/>
            <w:r>
              <w:rPr>
                <w:sz w:val="18"/>
              </w:rPr>
              <w:t>Toute lecture</w:t>
            </w:r>
          </w:p>
        </w:tc>
        <w:tc>
          <w:tcPr>
            <w:tcW w:type="dxa" w:w="5102"/>
          </w:tcPr>
          <w:p>
            <w:pPr>
              <w:spacing w:after="40"/>
            </w:pPr>
            <w:r/>
            <w:r>
              <w:rPr>
                <w:sz w:val="18"/>
              </w:rPr>
              <w:t>Aucun compteur n'est stocké ; ils sont toujours la taille des listes chargées.</w:t>
            </w:r>
          </w:p>
        </w:tc>
      </w:tr>
      <w:tr>
        <w:tc>
          <w:tcPr>
            <w:tcW w:type="dxa" w:w="1928"/>
          </w:tcPr>
          <w:p>
            <w:pPr>
              <w:spacing w:after="40"/>
            </w:pPr>
            <w:r/>
            <w:r>
              <w:rPr>
                <w:sz w:val="18"/>
              </w:rPr>
              <w:t>Aucun effet sur les autorisations</w:t>
            </w:r>
          </w:p>
        </w:tc>
        <w:tc>
          <w:tcPr>
            <w:tcW w:type="dxa" w:w="2041"/>
          </w:tcPr>
          <w:p>
            <w:pPr>
              <w:spacing w:after="40"/>
            </w:pPr>
            <w:r/>
            <w:r>
              <w:rPr>
                <w:sz w:val="18"/>
              </w:rPr>
              <w:t>Toute opération</w:t>
            </w:r>
          </w:p>
        </w:tc>
        <w:tc>
          <w:tcPr>
            <w:tcW w:type="dxa" w:w="5102"/>
          </w:tcPr>
          <w:p>
            <w:pPr>
              <w:spacing w:after="40"/>
            </w:pPr>
            <w:r/>
            <w:r>
              <w:rPr>
                <w:sz w:val="18"/>
              </w:rPr>
              <w:t>C'est l'effet de bord le plus important à énoncer : il n'y en a aucun. Créer, peupler, vider ou supprimer un groupe ne change strictement rien à ce que l'utilisateur peut faire dans l'application.</w:t>
            </w:r>
          </w:p>
        </w:tc>
      </w:tr>
      <w:tr>
        <w:tc>
          <w:tcPr>
            <w:tcW w:type="dxa" w:w="1928"/>
          </w:tcPr>
          <w:p>
            <w:pPr>
              <w:spacing w:after="40"/>
            </w:pPr>
            <w:r/>
            <w:r>
              <w:rPr>
                <w:sz w:val="18"/>
              </w:rPr>
              <w:t>Aucun fichier, aucun calcul</w:t>
            </w:r>
          </w:p>
        </w:tc>
        <w:tc>
          <w:tcPr>
            <w:tcW w:type="dxa" w:w="2041"/>
          </w:tcPr>
          <w:p>
            <w:pPr>
              <w:spacing w:after="40"/>
            </w:pPr>
            <w:r/>
            <w:r>
              <w:rPr>
                <w:sz w:val="18"/>
              </w:rPr>
              <w:t>—</w:t>
            </w:r>
          </w:p>
        </w:tc>
        <w:tc>
          <w:tcPr>
            <w:tcW w:type="dxa" w:w="5102"/>
          </w:tcPr>
          <w:p>
            <w:pPr>
              <w:spacing w:after="40"/>
            </w:pPr>
            <w:r/>
            <w:r>
              <w:rPr>
                <w:sz w:val="18"/>
              </w:rPr>
              <w:t>Le module n'écrit rien sur disque et ne déclenche aucun traitement différé.</w:t>
            </w:r>
          </w:p>
        </w:tc>
      </w:tr>
    </w:tbl>
    <w:p/>
    <w:p>
      <w:pPr>
        <w:pStyle w:val="Heading2"/>
      </w:pPr>
      <w:r>
        <w:t>8.1. Ce qui n'est jamais supprimé</w:t>
      </w:r>
    </w:p>
    <w:p>
      <w:pPr>
        <w:pStyle w:val="ListBullet"/>
        <w:spacing w:after="60"/>
      </w:pPr>
      <w:r>
        <w:t>Aucune ligne de groupe n'est effacée par l'API : la suppression est un marquage.</w:t>
      </w:r>
    </w:p>
    <w:p>
      <w:pPr>
        <w:pStyle w:val="ListBullet"/>
        <w:spacing w:after="60"/>
      </w:pPr>
      <w:r>
        <w:t>Aucun employé ni aucun espace de travail n'est supprimé par ce module, en aucune circonstance.</w:t>
      </w:r>
    </w:p>
    <w:p>
      <w:pPr>
        <w:pStyle w:val="ListBullet"/>
        <w:spacing w:after="60"/>
      </w:pPr>
      <w:r>
        <w:t>Les colonnes de droits héritées ne sont jamais purgées, précisément pour ne rien détruire de ce qui aurait été enregistré par une version antérieure du produit.</w:t>
      </w:r>
    </w:p>
    <w:p>
      <w:pPr>
        <w:pStyle w:val="Heading1"/>
      </w:pPr>
      <w:r>
        <w:t>9. Sécurité et contrôle d'accès</w:t>
      </w:r>
    </w:p>
    <w:p>
      <w:r>
        <w:rPr>
          <w:b w:val="0"/>
          <w:i w:val="0"/>
        </w:rPr>
        <w:t>L'application ne comporte qu'un seul compte, l'administrateur. Toutes les opérations de ce module lui sont ouvertes, et la seule question posée par la chaîne de filtres est « l'appelant est-il authentifié ? ».</w:t>
      </w:r>
    </w:p>
    <w:p>
      <w:pPr>
        <w:pStyle w:val="Heading2"/>
      </w:pPr>
      <w:r>
        <w:t>9.1. Pourquoi ce module n'accorde aucun droit</w:t>
      </w:r>
    </w:p>
    <w:p>
      <w:r>
        <w:rPr>
          <w:b w:val="0"/>
          <w:i w:val="0"/>
        </w:rPr>
        <w:t>La démonstration est facile à faire et mérite d'être écrite noir sur blanc, car le nom du module suggère le contraire.</w:t>
      </w:r>
    </w:p>
    <w:p>
      <w:pPr>
        <w:pStyle w:val="ListBullet"/>
        <w:spacing w:after="60"/>
      </w:pPr>
      <w:r>
        <w:rPr>
          <w:b/>
        </w:rPr>
        <w:t>Il n'existe aucune annotation d'autorisation dans le code applicatif.</w:t>
      </w:r>
      <w:r>
        <w:t xml:space="preserve"> La couche d'autorisation par rôle a été retirée en même temps que les profils utilisateurs.</w:t>
      </w:r>
    </w:p>
    <w:p>
      <w:pPr>
        <w:pStyle w:val="ListBullet"/>
        <w:spacing w:after="60"/>
      </w:pPr>
      <w:r>
        <w:rPr>
          <w:b/>
        </w:rPr>
        <w:t>L'objet représentant l'appelant authentifié renvoie une liste d'habilitations vide.</w:t>
      </w:r>
      <w:r>
        <w:t xml:space="preserve"> Il n'y a donc rien à confronter à un groupe.</w:t>
      </w:r>
    </w:p>
    <w:p>
      <w:pPr>
        <w:pStyle w:val="ListBullet"/>
        <w:spacing w:after="60"/>
      </w:pPr>
      <w:r>
        <w:rPr>
          <w:b/>
        </w:rPr>
        <w:t>Aucune requête de l'application ne filtre sur l'appartenance à un groupe.</w:t>
      </w:r>
      <w:r>
        <w:t xml:space="preserve"> Ni la liste des documents, ni celle des espaces, ni le dépôt, ni la signature.</w:t>
      </w:r>
    </w:p>
    <w:p>
      <w:pPr>
        <w:pStyle w:val="ListBullet"/>
        <w:spacing w:after="60"/>
      </w:pPr>
      <w:r>
        <w:rPr>
          <w:b/>
        </w:rPr>
        <w:t>Les huit colonnes de droits fins ne sont ni lues ni écrites.</w:t>
      </w:r>
      <w:r>
        <w:t xml:space="preserve"> Elles sont déclarées dans le modèle uniquement pour que la couche de persistance ne les efface pas.</w:t>
      </w:r>
    </w:p>
    <w:p>
      <w:pPr>
        <w:pStyle w:val="ListBullet"/>
        <w:spacing w:after="60"/>
      </w:pPr>
      <w:r>
        <w:rPr>
          <w:b/>
        </w:rPr>
        <w:t>La réponse de l'API ne contient plus aucun champ de droits.</w:t>
      </w:r>
      <w:r>
        <w:t xml:space="preserve"> Une campagne de tests vérifie explicitement leur absence, afin qu'aucune régression ne les réintroduise dans le contrat.</w:t>
      </w:r>
    </w:p>
    <w:p>
      <w:pPr>
        <w:pStyle w:val="ListBullet"/>
        <w:spacing w:after="60"/>
      </w:pPr>
      <w:r>
        <w:rPr>
          <w:b/>
        </w:rPr>
        <w:t>Un ancien client qui enverrait encore un bloc de droits est ignoré sans erreur.</w:t>
      </w:r>
      <w:r>
        <w:t xml:space="preserve"> La désérialisation est tolérante aux champs inconnus.</w:t>
      </w:r>
    </w:p>
    <w:p>
      <w:pPr>
        <w:pStyle w:val="Heading2"/>
      </w:pPr>
      <w:r>
        <w:t>9.2. Le vocabulaire à ne pas employer</w:t>
      </w:r>
    </w:p>
    <w:p>
      <w:r>
        <w:rPr>
          <w:b w:val="0"/>
          <w:i w:val="0"/>
        </w:rPr>
        <w:t>L'écran, la documentation et les messages doivent éviter les termes « droits », « autorisations », « restrictions », « accès limité ». Le groupe doit être présenté pour ce qu'il est : un rattachement, comparable à un organigramme. La confirmation de suppression annonce d'ailleurs l'ampleur du geste en nombre de membres qui perdent le rattachement, et non en droits retirés — ce qui est exactement la bonne formulation, et le serveur fournit le compteur nécessaire.</w:t>
      </w:r>
    </w:p>
    <w:p>
      <w:pPr>
        <w:pStyle w:val="Heading2"/>
      </w:pPr>
      <w:r>
        <w:t>9.3. Ce que le module protège réellement</w:t>
      </w:r>
    </w:p>
    <w:p>
      <w:pPr>
        <w:pStyle w:val="ListBullet"/>
        <w:spacing w:after="60"/>
      </w:pPr>
      <w:r>
        <w:t>L'unicité du code et du nom, vérifiée à deux niveaux.</w:t>
      </w:r>
    </w:p>
    <w:p>
      <w:pPr>
        <w:pStyle w:val="ListBullet"/>
        <w:spacing w:after="60"/>
      </w:pPr>
      <w:r>
        <w:t>La cohérence des tables de liaison, garantie par leurs clés primaires composées : un même couple ne peut pas être enregistré deux fois.</w:t>
      </w:r>
    </w:p>
    <w:p>
      <w:pPr>
        <w:pStyle w:val="ListBullet"/>
        <w:spacing w:after="60"/>
      </w:pPr>
      <w:r>
        <w:t>L'intégrité référentielle : les deux clés étrangères des tables de liaison interdisent qu'un espace ou un employé disparaisse sous un rattachement.</w:t>
      </w:r>
    </w:p>
    <w:p>
      <w:pPr>
        <w:pStyle w:val="ListBullet"/>
        <w:spacing w:after="60"/>
      </w:pPr>
      <w:r>
        <w:t>La construction de la requête de tri par cardinalité, verrouillée par une liste blanche.</w:t>
      </w:r>
    </w:p>
    <w:p>
      <w:pPr>
        <w:pStyle w:val="ListBullet"/>
        <w:spacing w:after="60"/>
      </w:pPr>
      <w:r>
        <w:t>La stabilité du service : plafond de taille de page, contrôle du numéro de page, liste blanche des colonnes de tri.</w:t>
      </w:r>
    </w:p>
    <w:p>
      <w:pPr>
        <w:pStyle w:val="Heading1"/>
      </w:pPr>
      <w:r>
        <w:t>10. Points de vigilance et limites connues</w:t>
      </w:r>
    </w:p>
    <w:p>
      <w:pPr>
        <w:pStyle w:val="Heading2"/>
      </w:pPr>
      <w:r>
        <w:t>10.1. La description n'est pas persistée</w:t>
      </w:r>
    </w:p>
    <w:p>
      <w:r>
        <w:rPr>
          <w:b w:val="0"/>
          <w:i w:val="0"/>
        </w:rPr>
        <w:t>Le formulaire spécifié comporte un champ « Description » de type texte long, facultatif. Ce champ n'existe nulle part côté serveur : ni colonne dans la table, ni propriété dans l'entité, ni champ dans le corps de requête, ni champ dans la réponse. Une description saisie à l'écran serait donc silencieusement perdue à l'enregistrement — la désérialisation étant tolérante, elle ne provoquerait même pas d'erreur.</w:t>
      </w:r>
    </w:p>
    <w:p>
      <w:pPr>
        <w:spacing w:before="120" w:after="200"/>
        <w:ind w:left="283"/>
      </w:pPr>
      <w:r>
        <w:rPr>
          <w:b/>
        </w:rPr>
        <w:t xml:space="preserve">Décision à prendre — </w:t>
      </w:r>
      <w:r>
        <w:t>soit ajouter la colonne et les champs correspondants, soit retirer le champ du formulaire. La situation actuelle — un champ saisissable dont la valeur disparaît — est la pire des trois.</w:t>
      </w:r>
    </w:p>
    <w:p>
      <w:pPr>
        <w:pStyle w:val="Heading2"/>
      </w:pPr>
      <w:r>
        <w:t>10.2. Un groupe supprimé reste visible sur les espaces qu'il couvrait</w:t>
      </w:r>
    </w:p>
    <w:p>
      <w:r>
        <w:rPr>
          <w:b w:val="0"/>
          <w:i w:val="0"/>
        </w:rPr>
        <w:t>La mise à la corbeille d'un groupe ne touche pas les lignes de liaison. Or la fiche d'un espace de travail restitue les groupes qui le couvrent en lisant le côté inverse de la relation, sans filtrer sur l'état de corbeille. Un groupe supprimé continue donc d'apparaître sur la fiche de ses espaces, alors qu'il a disparu de la liste des groupes.</w:t>
      </w:r>
    </w:p>
    <w:p>
      <w:r>
        <w:rPr>
          <w:b w:val="0"/>
          <w:i w:val="0"/>
        </w:rPr>
        <w:t>L'incohérence est d'autant plus visible que la fiche de profil d'un employé, elle, écarte correctement les groupes en corbeille : deux écrans de la même application répondent différemment à la même question.</w:t>
      </w:r>
    </w:p>
    <w:p>
      <w:pPr>
        <w:pStyle w:val="Heading2"/>
      </w:pPr>
      <w:r>
        <w:t>10.3. Les références ne sont pas vérifiées</w:t>
      </w:r>
    </w:p>
    <w:p>
      <w:r>
        <w:rPr>
          <w:b w:val="0"/>
          <w:i w:val="0"/>
        </w:rPr>
        <w:t>Contrairement au module des espaces de travail, qui refuse en 404 un propriétaire ou un circuit inexistant, ce module lit les espaces et les employés désignés par une requête de masse et se contente de ce qui revient. Un identifiant inconnu, ou un identifiant d'espace en corbeille, ne provoque aucune erreur.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Cas</w:t>
            </w:r>
          </w:p>
        </w:tc>
        <w:tc>
          <w:tcPr>
            <w:tcW w:type="dxa" w:w="2494"/>
          </w:tcPr>
          <w:p>
            <w:pPr>
              <w:spacing w:after="40"/>
            </w:pPr>
            <w:r/>
            <w:r>
              <w:rPr>
                <w:b/>
                <w:sz w:val="18"/>
              </w:rPr>
              <w:t>Comportement</w:t>
            </w:r>
          </w:p>
        </w:tc>
        <w:tc>
          <w:tcPr>
            <w:tcW w:type="dxa" w:w="4535"/>
          </w:tcPr>
          <w:p>
            <w:pPr>
              <w:spacing w:after="40"/>
            </w:pPr>
            <w:r/>
            <w:r>
              <w:rPr>
                <w:b/>
                <w:sz w:val="18"/>
              </w:rPr>
              <w:t>Ce que l'utilisateur observe</w:t>
            </w:r>
          </w:p>
        </w:tc>
      </w:tr>
      <w:tr>
        <w:tc>
          <w:tcPr>
            <w:tcW w:type="dxa" w:w="2041"/>
          </w:tcPr>
          <w:p>
            <w:pPr>
              <w:spacing w:after="40"/>
            </w:pPr>
            <w:r/>
            <w:r>
              <w:rPr>
                <w:sz w:val="18"/>
              </w:rPr>
              <w:t>Identifiant d'espace inexistant</w:t>
            </w:r>
          </w:p>
        </w:tc>
        <w:tc>
          <w:tcPr>
            <w:tcW w:type="dxa" w:w="2494"/>
          </w:tcPr>
          <w:p>
            <w:pPr>
              <w:spacing w:after="40"/>
            </w:pPr>
            <w:r/>
            <w:r>
              <w:rPr>
                <w:sz w:val="18"/>
              </w:rPr>
              <w:t>Ignoré silencieusement.</w:t>
            </w:r>
          </w:p>
        </w:tc>
        <w:tc>
          <w:tcPr>
            <w:tcW w:type="dxa" w:w="4535"/>
          </w:tcPr>
          <w:p>
            <w:pPr>
              <w:spacing w:after="40"/>
            </w:pPr>
            <w:r/>
            <w:r>
              <w:rPr>
                <w:sz w:val="18"/>
              </w:rPr>
              <w:t>Le compteur affiché est inférieur au nombre d'éléments qu'il croit avoir sélectionnés, sans aucun message.</w:t>
            </w:r>
          </w:p>
        </w:tc>
      </w:tr>
      <w:tr>
        <w:tc>
          <w:tcPr>
            <w:tcW w:type="dxa" w:w="2041"/>
          </w:tcPr>
          <w:p>
            <w:pPr>
              <w:spacing w:after="40"/>
            </w:pPr>
            <w:r/>
            <w:r>
              <w:rPr>
                <w:sz w:val="18"/>
              </w:rPr>
              <w:t>Identifiant d'employé inexistant</w:t>
            </w:r>
          </w:p>
        </w:tc>
        <w:tc>
          <w:tcPr>
            <w:tcW w:type="dxa" w:w="2494"/>
          </w:tcPr>
          <w:p>
            <w:pPr>
              <w:spacing w:after="40"/>
            </w:pPr>
            <w:r/>
            <w:r>
              <w:rPr>
                <w:sz w:val="18"/>
              </w:rPr>
              <w:t>Ignoré silencieusement.</w:t>
            </w:r>
          </w:p>
        </w:tc>
        <w:tc>
          <w:tcPr>
            <w:tcW w:type="dxa" w:w="4535"/>
          </w:tcPr>
          <w:p>
            <w:pPr>
              <w:spacing w:after="40"/>
            </w:pPr>
            <w:r/>
            <w:r>
              <w:rPr>
                <w:sz w:val="18"/>
              </w:rPr>
              <w:t>Idem.</w:t>
            </w:r>
          </w:p>
        </w:tc>
      </w:tr>
      <w:tr>
        <w:tc>
          <w:tcPr>
            <w:tcW w:type="dxa" w:w="2041"/>
          </w:tcPr>
          <w:p>
            <w:pPr>
              <w:spacing w:after="40"/>
            </w:pPr>
            <w:r/>
            <w:r>
              <w:rPr>
                <w:sz w:val="18"/>
              </w:rPr>
              <w:t>Identifiant d'espace en corbeille</w:t>
            </w:r>
          </w:p>
        </w:tc>
        <w:tc>
          <w:tcPr>
            <w:tcW w:type="dxa" w:w="2494"/>
          </w:tcPr>
          <w:p>
            <w:pPr>
              <w:spacing w:after="40"/>
            </w:pPr>
            <w:r/>
            <w:r>
              <w:rPr>
                <w:sz w:val="18"/>
              </w:rPr>
              <w:t>Accepté : l'espace est rattaché.</w:t>
            </w:r>
          </w:p>
        </w:tc>
        <w:tc>
          <w:tcPr>
            <w:tcW w:type="dxa" w:w="4535"/>
          </w:tcPr>
          <w:p>
            <w:pPr>
              <w:spacing w:after="40"/>
            </w:pPr>
            <w:r/>
            <w:r>
              <w:rPr>
                <w:sz w:val="18"/>
              </w:rPr>
              <w:t>Un espace supprimé figure dans la liste nominative du groupe.</w:t>
            </w:r>
          </w:p>
        </w:tc>
      </w:tr>
      <w:tr>
        <w:tc>
          <w:tcPr>
            <w:tcW w:type="dxa" w:w="2041"/>
          </w:tcPr>
          <w:p>
            <w:pPr>
              <w:spacing w:after="40"/>
            </w:pPr>
            <w:r/>
            <w:r>
              <w:rPr>
                <w:sz w:val="18"/>
              </w:rPr>
              <w:t>Liste absente du corps</w:t>
            </w:r>
          </w:p>
        </w:tc>
        <w:tc>
          <w:tcPr>
            <w:tcW w:type="dxa" w:w="2494"/>
          </w:tcPr>
          <w:p>
            <w:pPr>
              <w:spacing w:after="40"/>
            </w:pPr>
            <w:r/>
            <w:r>
              <w:rPr>
                <w:sz w:val="18"/>
              </w:rPr>
              <w:t>Traitée comme une liste vide.</w:t>
            </w:r>
          </w:p>
        </w:tc>
        <w:tc>
          <w:tcPr>
            <w:tcW w:type="dxa" w:w="4535"/>
          </w:tcPr>
          <w:p>
            <w:pPr>
              <w:spacing w:after="40"/>
            </w:pPr>
            <w:r/>
            <w:r>
              <w:rPr>
                <w:sz w:val="18"/>
              </w:rPr>
              <w:t>Une modification partielle vide les rattachements.</w:t>
            </w:r>
          </w:p>
        </w:tc>
      </w:tr>
    </w:tbl>
    <w:p/>
    <w:p>
      <w:pPr>
        <w:pStyle w:val="Heading2"/>
      </w:pPr>
      <w:r>
        <w:t>10.4. Autres limites</w:t>
      </w:r>
    </w:p>
    <w:p>
      <w:pPr>
        <w:pStyle w:val="ListBullet"/>
        <w:spacing w:after="60"/>
      </w:pPr>
      <w:r>
        <w:rPr>
          <w:b/>
        </w:rPr>
        <w:t>Un groupe en corbeille reste modifiable.</w:t>
      </w:r>
      <w:r>
        <w:t xml:space="preserve"> Le chargement ne vérifie pas l'état de corbeille, contrairement au module des espaces de travail. On peut donc renommer et repeupler un groupe supprimé.</w:t>
      </w:r>
    </w:p>
    <w:p>
      <w:pPr>
        <w:pStyle w:val="ListBullet"/>
        <w:spacing w:after="60"/>
      </w:pPr>
      <w:r>
        <w:rPr>
          <w:b/>
        </w:rPr>
        <w:t>La recherche ne porte que sur le nom.</w:t>
      </w:r>
      <w:r>
        <w:t xml:space="preserve"> Chercher un code ne renvoie rien, alors que le code est affiché en première colonne du tableau.</w:t>
      </w:r>
    </w:p>
    <w:p>
      <w:pPr>
        <w:pStyle w:val="ListBullet"/>
        <w:spacing w:after="60"/>
      </w:pPr>
      <w:r>
        <w:rPr>
          <w:b/>
        </w:rPr>
        <w:t>Le tri explicite sur l'identifiant est traité comme du texte.</w:t>
      </w:r>
      <w:r>
        <w:t xml:space="preserve"> Comme sur les autres listes, aucune colonne n'est déclarée numérique : un tri demandé sur l'identifiant range « 9 » après « 10 ». Le tri par défaut n'est pas affecté.</w:t>
      </w:r>
    </w:p>
    <w:p>
      <w:pPr>
        <w:pStyle w:val="ListBullet"/>
        <w:spacing w:after="60"/>
      </w:pPr>
      <w:r>
        <w:rPr>
          <w:b/>
        </w:rPr>
        <w:t>Les collections sont chargées paresseusement en liste.</w:t>
      </w:r>
      <w:r>
        <w:t xml:space="preserve"> La requête de liste ne les précharge pas : chaque ligne provoque deux requêtes supplémentaires, une par collection. Une page de dix groupes coûte donc vingt et une requêtes. Le détail d'un groupe, lui, utilise un graphe de chargement explicite.</w:t>
      </w:r>
    </w:p>
    <w:p>
      <w:pPr>
        <w:pStyle w:val="ListBullet"/>
        <w:spacing w:after="60"/>
      </w:pPr>
      <w:r>
        <w:rPr>
          <w:b/>
        </w:rPr>
        <w:t>Aucune limite au nombre de membres ou d'espaces.</w:t>
      </w:r>
      <w:r>
        <w:t xml:space="preserve"> Un groupe peut rattacher la totalité des employés et des espaces ; la réponse de liste porte alors deux listes nominatives complètes que le tableau n'affiche pas.</w:t>
      </w:r>
    </w:p>
    <w:p>
      <w:pPr>
        <w:pStyle w:val="ListBullet"/>
        <w:spacing w:after="60"/>
      </w:pPr>
      <w:r>
        <w:rPr>
          <w:b/>
        </w:rPr>
        <w:t>Aucun employé n'est filtré à l'entrée.</w:t>
      </w:r>
      <w:r>
        <w:t xml:space="preserve"> Le serveur accepte comme membre n'importe quel employé existant, qu'il possède ou non un compte. C'est cohérent avec la nature descriptive du module, mais cela signifie que la liste des membres n'a aucun rapport avec la capacité à se connecter — ce qui est précisément le message à faire passer.</w:t>
      </w:r>
    </w:p>
    <w:p>
      <w:pPr>
        <w:pStyle w:val="Heading2"/>
      </w:pPr>
      <w:r>
        <w:t>10.5. Ce qui reste à faire</w:t>
      </w:r>
    </w:p>
    <w:p>
      <w:pPr>
        <w:pStyle w:val="ListBullet"/>
        <w:spacing w:after="60"/>
      </w:pPr>
      <w:r>
        <w:t>Trancher le sort du champ « Description » : le persister ou le retirer du formulaire.</w:t>
      </w:r>
    </w:p>
    <w:p>
      <w:pPr>
        <w:pStyle w:val="ListBullet"/>
        <w:spacing w:after="60"/>
      </w:pPr>
      <w:r>
        <w:t>Filtrer les groupes en corbeille dans la liste restituée par la fiche d'un espace de travail, afin d'aligner ce comportement sur celui de la fiche de profil.</w:t>
      </w:r>
    </w:p>
    <w:p>
      <w:pPr>
        <w:pStyle w:val="ListBullet"/>
        <w:spacing w:after="60"/>
      </w:pPr>
      <w:r>
        <w:t>Aligner le comportement sur celui des espaces de travail : refuser la modification d'un groupe en corbeille, et refuser explicitement les références inexistantes plutôt que de les ignorer.</w:t>
      </w:r>
    </w:p>
    <w:p>
      <w:pPr>
        <w:pStyle w:val="ListBullet"/>
        <w:spacing w:after="60"/>
      </w:pPr>
      <w:r>
        <w:t>Étendre la recherche au code.</w:t>
      </w:r>
    </w:p>
    <w:p>
      <w:pPr>
        <w:pStyle w:val="ListBullet"/>
        <w:spacing w:after="60"/>
      </w:pPr>
      <w:r>
        <w:t>Déclarer l'identifiant comme colonne numérique dans le mécanisme de tri.</w:t>
      </w:r>
    </w:p>
    <w:p>
      <w:pPr>
        <w:pStyle w:val="ListBullet"/>
        <w:spacing w:after="60"/>
      </w:pPr>
      <w:r>
        <w:t>Précharger les deux collections dans la requête de liste.</w:t>
      </w:r>
    </w:p>
    <w:p>
      <w:pPr>
        <w:pStyle w:val="ListBullet"/>
        <w:spacing w:after="60"/>
      </w:pPr>
      <w:r>
        <w:t>Décider si les espaces en corbeille doivent rester rattachables.</w:t>
      </w:r>
    </w:p>
    <w:p>
      <w:pPr>
        <w:pStyle w:val="ListBullet"/>
        <w:spacing w:after="60"/>
      </w:pPr>
      <w:r>
        <w:t>Prévoir, si le produit passe un jour à plusieurs utilisateurs, la reprise des huit colonnes de droits conservées à cet effet — en gardant à l'esprit qu'elles sont aujourd'hui toutes à faux, et qu'elles ne décrivent donc aucun paramétrage exploitable.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GED Marchica Med — 05 Groupes d'accès (backend)  —  page </w:t>
    </w:r>
    <w:r>
      <w:rPr>
        <w:color w:val="666666"/>
        <w:sz w:val="16"/>
      </w:rPr>
      <w:fldChar w:fldCharType="begin"/>
      <w:instrText xml:space="preserve">PAGE</w:instrText>
      <w:fldChar w:fldCharType="end"/>
    </w:r>
    <w:r>
      <w:rPr>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35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