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B57"/>
          <w:sz w:val="26"/>
        </w:rPr>
        <w:t>GED MARCHICA MED</w:t>
      </w:r>
    </w:p>
    <w:p>
      <w:pPr>
        <w:jc w:val="center"/>
      </w:pPr>
      <w:r>
        <w:rPr>
          <w:color w:val="444444"/>
          <w:sz w:val="21"/>
        </w:rPr>
        <w:t>Gestion électronique de documents</w:t>
      </w:r>
    </w:p>
    <w:p/>
    <w:p>
      <w:pPr>
        <w:jc w:val="center"/>
      </w:pPr>
      <w:r>
        <w:rPr>
          <w:color w:val="444444"/>
          <w:sz w:val="24"/>
        </w:rPr>
        <w:t>Rapport technique — volet backend</w:t>
      </w:r>
    </w:p>
    <w:p>
      <w:pPr>
        <w:spacing w:before="360"/>
        <w:jc w:val="center"/>
      </w:pPr>
      <w:r>
        <w:rPr>
          <w:b/>
          <w:color w:val="1F3B57"/>
          <w:sz w:val="48"/>
        </w:rPr>
        <w:t>06 — Index</w:t>
      </w:r>
    </w:p>
    <w:p>
      <w:pPr>
        <w:jc w:val="center"/>
      </w:pPr>
      <w:r>
        <w:rPr>
          <w:i/>
          <w:color w:val="444444"/>
          <w:sz w:val="22"/>
        </w:rPr>
        <w:t>Champs de métadonnées : types de champ, obligation, groupage</w:t>
      </w:r>
    </w:p>
    <w:p/>
    <w:p/>
    <w:p/>
    <w:p/>
    <w:p/>
    <w:p/>
    <w:p>
      <w:pPr>
        <w:spacing w:after="60"/>
        <w:jc w:val="center"/>
      </w:pPr>
      <w:r>
        <w:rPr>
          <w:b/>
          <w:color w:val="1F3B57"/>
          <w:sz w:val="19"/>
        </w:rPr>
        <w:t xml:space="preserve">Application : </w:t>
      </w:r>
      <w:r>
        <w:rPr>
          <w:color w:val="444444"/>
          <w:sz w:val="19"/>
        </w:rPr>
        <w:t>GED Marchica Med</w:t>
      </w:r>
    </w:p>
    <w:p>
      <w:pPr>
        <w:spacing w:after="60"/>
        <w:jc w:val="center"/>
      </w:pPr>
      <w:r>
        <w:rPr>
          <w:b/>
          <w:color w:val="1F3B57"/>
          <w:sz w:val="19"/>
        </w:rPr>
        <w:t xml:space="preserve">Interface : </w:t>
      </w:r>
      <w:r>
        <w:rPr>
          <w:color w:val="444444"/>
          <w:sz w:val="19"/>
        </w:rPr>
        <w:t>06 — Index</w:t>
      </w:r>
    </w:p>
    <w:p>
      <w:pPr>
        <w:spacing w:after="60"/>
        <w:jc w:val="center"/>
      </w:pPr>
      <w:r>
        <w:rPr>
          <w:b/>
          <w:color w:val="1F3B57"/>
          <w:sz w:val="19"/>
        </w:rPr>
        <w:t xml:space="preserve">Volet : </w:t>
      </w:r>
      <w:r>
        <w:rPr>
          <w:color w:val="444444"/>
          <w:sz w:val="19"/>
        </w:rPr>
        <w:t>Backend (comportement du serveur)</w:t>
      </w:r>
    </w:p>
    <w:p>
      <w:pPr>
        <w:spacing w:after="60"/>
        <w:jc w:val="center"/>
      </w:pPr>
      <w:r>
        <w:rPr>
          <w:b/>
          <w:color w:val="1F3B57"/>
          <w:sz w:val="19"/>
        </w:rPr>
        <w:t xml:space="preserve">Socle technique : </w:t>
      </w:r>
      <w:r>
        <w:rPr>
          <w:color w:val="444444"/>
          <w:sz w:val="19"/>
        </w:rPr>
        <w:t>Spring Boot, Java 17, JPA/Hibernate, MySQL, Flyway</w:t>
      </w:r>
    </w:p>
    <w:p>
      <w:pPr>
        <w:spacing w:after="60"/>
        <w:jc w:val="center"/>
      </w:pPr>
      <w:r>
        <w:rPr>
          <w:b/>
          <w:color w:val="1F3B57"/>
          <w:sz w:val="19"/>
        </w:rPr>
        <w:t xml:space="preserve">Date d'édition : </w:t>
      </w:r>
      <w:r>
        <w:rPr>
          <w:color w:val="444444"/>
          <w:sz w:val="19"/>
        </w:rPr>
        <w:t>13 août 2026</w:t>
      </w:r>
    </w:p>
    <w:p>
      <w:r>
        <w:br w:type="page"/>
      </w:r>
    </w:p>
    <w:p>
      <w:pPr>
        <w:pStyle w:val="Heading1"/>
      </w:pPr>
      <w:r>
        <w:t>Sommaire</w:t>
      </w:r>
    </w:p>
    <w:p>
      <w:r>
        <w:rPr>
          <w:b w:val="0"/>
          <w:i w:val="0"/>
        </w:rPr>
        <w:t>Le présent document suit le plan ci-dessous.</w:t>
      </w:r>
    </w:p>
    <w:p>
      <w:pPr>
        <w:spacing w:after="40"/>
        <w:ind w:left="340"/>
      </w:pPr>
      <w:r>
        <w:rPr>
          <w:sz w:val="21"/>
        </w:rPr>
        <w:t>1.  Rôle du serveur pour cette interface</w:t>
      </w:r>
    </w:p>
    <w:p>
      <w:pPr>
        <w:spacing w:after="40"/>
        <w:ind w:left="340"/>
      </w:pPr>
      <w:r>
        <w:rPr>
          <w:sz w:val="21"/>
        </w:rPr>
        <w:t>2.  Les données conservées</w:t>
      </w:r>
    </w:p>
    <w:p>
      <w:pPr>
        <w:spacing w:after="40"/>
        <w:ind w:left="340"/>
      </w:pPr>
      <w:r>
        <w:rPr>
          <w:sz w:val="21"/>
        </w:rPr>
        <w:t>3.  Les relations</w:t>
      </w:r>
    </w:p>
    <w:p>
      <w:pPr>
        <w:spacing w:after="40"/>
        <w:ind w:left="340"/>
      </w:pPr>
      <w:r>
        <w:rPr>
          <w:sz w:val="21"/>
        </w:rPr>
        <w:t>4.  Les opérations disponibles</w:t>
      </w:r>
    </w:p>
    <w:p>
      <w:pPr>
        <w:spacing w:after="40"/>
        <w:ind w:left="340"/>
      </w:pPr>
      <w:r>
        <w:rPr>
          <w:sz w:val="21"/>
        </w:rPr>
        <w:t>5.  Les règles vérifiées côté serveur</w:t>
      </w:r>
    </w:p>
    <w:p>
      <w:pPr>
        <w:spacing w:after="40"/>
        <w:ind w:left="340"/>
      </w:pPr>
      <w:r>
        <w:rPr>
          <w:sz w:val="21"/>
        </w:rPr>
        <w:t>6.  Les erreurs et les réponses</w:t>
      </w:r>
    </w:p>
    <w:p>
      <w:pPr>
        <w:spacing w:after="40"/>
        <w:ind w:left="340"/>
      </w:pPr>
      <w:r>
        <w:rPr>
          <w:sz w:val="21"/>
        </w:rPr>
        <w:t>7.  Ce qui est écrit, et dans quel ordre</w:t>
      </w:r>
    </w:p>
    <w:p>
      <w:pPr>
        <w:spacing w:after="40"/>
        <w:ind w:left="340"/>
      </w:pPr>
      <w:r>
        <w:rPr>
          <w:sz w:val="21"/>
        </w:rPr>
        <w:t>8.  Les effets de bord</w:t>
      </w:r>
    </w:p>
    <w:p>
      <w:pPr>
        <w:spacing w:after="40"/>
        <w:ind w:left="340"/>
      </w:pPr>
      <w:r>
        <w:rPr>
          <w:sz w:val="21"/>
        </w:rPr>
        <w:t>9.  Sécurité et contrôle d'accès</w:t>
      </w:r>
    </w:p>
    <w:p>
      <w:pPr>
        <w:spacing w:after="40"/>
        <w:ind w:left="340"/>
      </w:pPr>
      <w:r>
        <w:rPr>
          <w:sz w:val="21"/>
        </w:rPr>
        <w:t>10.  Points de vigilance et limites connues</w:t>
      </w:r>
    </w:p>
    <w:p>
      <w:r>
        <w:br w:type="page"/>
      </w:r>
    </w:p>
    <w:p>
      <w:pPr>
        <w:pStyle w:val="Heading1"/>
      </w:pPr>
      <w:r>
        <w:t>1. Rôle du serveur pour cette interface</w:t>
      </w:r>
    </w:p>
    <w:p>
      <w:r>
        <w:rPr>
          <w:b w:val="0"/>
          <w:i w:val="0"/>
        </w:rPr>
        <w:t>L'écran « Index » administre le vocabulaire de description des documents : « Numéro de facture », « Date d'émission », « Fournisseur », « Priorité ». Derrière cet écran, le serveur tient le catalogue de ces champs, en garantit la cohérence, et en publie la définition à tous les modules qui en dépendent. C'est le premier maillon de la chaîne de paramétrage : sans index, un plan d'indexation n'a rien à assembler, un type de document n'a aucune information structurée à porter, et l'étape d'indexation du dépôt n'a aucun champ à présenter.</w:t>
      </w:r>
    </w:p>
    <w:p>
      <w:pPr>
        <w:pStyle w:val="Heading2"/>
      </w:pPr>
      <w:r>
        <w:t>1.1 Ce que le serveur fournit</w:t>
      </w:r>
    </w:p>
    <w:p>
      <w:pPr>
        <w:pStyle w:val="ListBullet"/>
        <w:spacing w:after="60"/>
      </w:pPr>
      <w:r>
        <w:t>La persistance d'un champ de métadonnée sous la forme d'une entité unique — la classe IndexField, portée par la table « indices » — et de tout ce qui la caractérise : son code, son libellé, son type de saisie, ses options de liste, sa valeur par défaut et ses trois drapeaux de comportement.</w:t>
      </w:r>
    </w:p>
    <w:p>
      <w:pPr>
        <w:pStyle w:val="ListBullet"/>
        <w:spacing w:after="60"/>
      </w:pPr>
      <w:r>
        <w:t>Une liste paginée, filtrable par libellé et triable sur un ensemble borné de colonnes, dupliquée en une seconde liste symétrique pour la corbeille.</w:t>
      </w:r>
    </w:p>
    <w:p>
      <w:pPr>
        <w:pStyle w:val="ListBullet"/>
        <w:spacing w:after="60"/>
      </w:pPr>
      <w:r>
        <w:t>Une liste allégée, réduite à l'identifiant et au nom, destinée aux sélecteurs des autres écrans — en pratique, au formulaire des plans d'indexation.</w:t>
      </w:r>
    </w:p>
    <w:p>
      <w:pPr>
        <w:pStyle w:val="ListBullet"/>
        <w:spacing w:after="60"/>
      </w:pPr>
      <w:r>
        <w:t>Une fiche unitaire par identifiant, utilisée par l'écran pour pré-remplir le formulaire de modification.</w:t>
      </w:r>
    </w:p>
    <w:p>
      <w:pPr>
        <w:pStyle w:val="ListBullet"/>
        <w:spacing w:after="60"/>
      </w:pPr>
      <w:r>
        <w:t>Les quatre opérations d'écriture : création, modification, mise à la corbeille (unitaire ou groupée) et restauration (unitaire ou groupée).</w:t>
      </w:r>
    </w:p>
    <w:p>
      <w:pPr>
        <w:pStyle w:val="Heading2"/>
      </w:pPr>
      <w:r>
        <w:t>1.2 Ce que le serveur garantit</w:t>
      </w:r>
    </w:p>
    <w:p>
      <w:pPr>
        <w:pStyle w:val="ListBullet"/>
        <w:spacing w:after="60"/>
      </w:pPr>
      <w:r>
        <w:t>L'unicité du code, vérifiée sans tenir compte de la casse au niveau applicatif, et doublée d'une contrainte d'unicité au niveau de la base.</w:t>
      </w:r>
    </w:p>
    <w:p>
      <w:pPr>
        <w:pStyle w:val="ListBullet"/>
        <w:spacing w:after="60"/>
      </w:pPr>
      <w:r>
        <w:t>La cohérence entre le type de champ et les options de liste : les valeurs ne sont conservées que si le type est « Liste ». Sur tout autre type, la colonne est remise à vide, quelle que soit la teneur de la requête reçue.</w:t>
      </w:r>
    </w:p>
    <w:p>
      <w:pPr>
        <w:pStyle w:val="ListBullet"/>
        <w:spacing w:after="60"/>
      </w:pPr>
      <w:r>
        <w:t>La réversibilité de la suppression : aucune ligne n'est retirée de la table, un indicateur booléen suffit à faire basculer l'index entre la liste active et la corbeille.</w:t>
      </w:r>
    </w:p>
    <w:p>
      <w:pPr>
        <w:pStyle w:val="ListBullet"/>
        <w:spacing w:after="60"/>
      </w:pPr>
      <w:r>
        <w:t>Le caractère borné de la pagination et du tri : une taille de page démesurée est ramenée à un plafond, un champ de tri inconnu est ignoré au profit d'un ordre par défaut, et un numéro de page hors limites est refusé avant d'atteindre la couche de persistance.</w:t>
      </w:r>
    </w:p>
    <w:p>
      <w:pPr>
        <w:pStyle w:val="ListBullet"/>
        <w:spacing w:after="60"/>
      </w:pPr>
      <w:r>
        <w:t>Le nettoyage des chaînes reçues : une valeur composée uniquement d'espaces est enregistrée comme absente, et non comme une chaîne vide — deux états qui, conservés côte à côte, obligeraient chaque lecteur à traiter les deux cas.</w:t>
      </w:r>
    </w:p>
    <w:p>
      <w:pPr>
        <w:pStyle w:val="Heading2"/>
      </w:pPr>
      <w:r>
        <w:t>1.3 Ce que le serveur ne fait pas ici</w:t>
      </w:r>
    </w:p>
    <w:p>
      <w:r>
        <w:rPr>
          <w:b w:val="0"/>
          <w:i w:val="0"/>
        </w:rPr>
        <w:t>Trois précisions évitent une lecture optimiste du module. D'abord, le module « Index » ne porte aucune logique d'application : les trois drapeaux qu'il enregistre — « obligatoire », « indexé pour recherche », « index de groupage » — n'ont aucun effet dans ce module ; ils sont lus ailleurs, par le module d'indexation et de recherche, au moment où un document est réellement décrit ou recherché. Ensuite, la suppression d'un index n'entraîne aucune vérification d'usage : le serveur ne regarde pas si un plan d'indexation s'appuie sur lui. Enfin, la valeur par défaut est conservée mais n'est appliquée nulle part par le serveur ; ce point est développé en section 10.</w:t>
      </w:r>
    </w:p>
    <w:p>
      <w:r>
        <w:br w:type="page"/>
      </w:r>
    </w:p>
    <w:p>
      <w:pPr>
        <w:pStyle w:val="Heading1"/>
      </w:pPr>
      <w:r>
        <w:t>2. Les données conservées</w:t>
      </w:r>
    </w:p>
    <w:p>
      <w:r>
        <w:rPr>
          <w:b w:val="0"/>
          <w:i w:val="0"/>
        </w:rPr>
        <w:t>Un index occupe une ligne de la table « indices ». Le tableau ci-dessous décrit chaque information persistée, du point de vue métier d'abord, puis du point de vue de la base.</w:t>
      </w:r>
    </w:p>
    <w:tbl>
      <w:tblPr>
        <w:tblStyle w:val="LightGrid-Accent1"/>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474"/>
          </w:tcPr>
          <w:p>
            <w:pPr>
              <w:spacing w:after="40"/>
            </w:pPr>
            <w:r/>
            <w:r>
              <w:rPr>
                <w:b/>
                <w:sz w:val="18"/>
              </w:rPr>
              <w:t>Information</w:t>
            </w:r>
          </w:p>
        </w:tc>
        <w:tc>
          <w:tcPr>
            <w:tcW w:type="dxa" w:w="1701"/>
          </w:tcPr>
          <w:p>
            <w:pPr>
              <w:spacing w:after="40"/>
            </w:pPr>
            <w:r/>
            <w:r>
              <w:rPr>
                <w:b/>
                <w:sz w:val="18"/>
              </w:rPr>
              <w:t>Nature</w:t>
            </w:r>
          </w:p>
        </w:tc>
        <w:tc>
          <w:tcPr>
            <w:tcW w:type="dxa" w:w="964"/>
          </w:tcPr>
          <w:p>
            <w:pPr>
              <w:spacing w:after="40"/>
            </w:pPr>
            <w:r/>
            <w:r>
              <w:rPr>
                <w:b/>
                <w:sz w:val="18"/>
              </w:rPr>
              <w:t>Oblig.</w:t>
            </w:r>
          </w:p>
        </w:tc>
        <w:tc>
          <w:tcPr>
            <w:tcW w:type="dxa" w:w="1191"/>
          </w:tcPr>
          <w:p>
            <w:pPr>
              <w:spacing w:after="40"/>
            </w:pPr>
            <w:r/>
            <w:r>
              <w:rPr>
                <w:b/>
                <w:sz w:val="18"/>
              </w:rPr>
              <w:t>Défaut</w:t>
            </w:r>
          </w:p>
        </w:tc>
        <w:tc>
          <w:tcPr>
            <w:tcW w:type="dxa" w:w="1757"/>
          </w:tcPr>
          <w:p>
            <w:pPr>
              <w:spacing w:after="40"/>
            </w:pPr>
            <w:r/>
            <w:r>
              <w:rPr>
                <w:b/>
                <w:sz w:val="18"/>
              </w:rPr>
              <w:t>Unicité</w:t>
            </w:r>
          </w:p>
        </w:tc>
        <w:tc>
          <w:tcPr>
            <w:tcW w:type="dxa" w:w="2551"/>
          </w:tcPr>
          <w:p>
            <w:pPr>
              <w:spacing w:after="40"/>
            </w:pPr>
            <w:r/>
            <w:r>
              <w:rPr>
                <w:b/>
                <w:sz w:val="18"/>
              </w:rPr>
              <w:t>Relation</w:t>
            </w:r>
          </w:p>
        </w:tc>
      </w:tr>
      <w:tr>
        <w:tc>
          <w:tcPr>
            <w:tcW w:type="dxa" w:w="1474"/>
          </w:tcPr>
          <w:p>
            <w:pPr>
              <w:spacing w:after="40"/>
            </w:pPr>
            <w:r/>
            <w:r>
              <w:rPr>
                <w:sz w:val="18"/>
              </w:rPr>
              <w:t>Identifiant</w:t>
            </w:r>
          </w:p>
        </w:tc>
        <w:tc>
          <w:tcPr>
            <w:tcW w:type="dxa" w:w="1701"/>
          </w:tcPr>
          <w:p>
            <w:pPr>
              <w:spacing w:after="40"/>
            </w:pPr>
            <w:r/>
            <w:r>
              <w:rPr>
                <w:sz w:val="18"/>
              </w:rPr>
              <w:t>Entier long, attribué par la base</w:t>
            </w:r>
          </w:p>
        </w:tc>
        <w:tc>
          <w:tcPr>
            <w:tcW w:type="dxa" w:w="964"/>
          </w:tcPr>
          <w:p>
            <w:pPr>
              <w:spacing w:after="40"/>
            </w:pPr>
            <w:r/>
            <w:r>
              <w:rPr>
                <w:sz w:val="18"/>
              </w:rPr>
              <w:t>Oui</w:t>
            </w:r>
          </w:p>
        </w:tc>
        <w:tc>
          <w:tcPr>
            <w:tcW w:type="dxa" w:w="1191"/>
          </w:tcPr>
          <w:p>
            <w:pPr>
              <w:spacing w:after="40"/>
            </w:pPr>
            <w:r/>
            <w:r>
              <w:rPr>
                <w:sz w:val="18"/>
              </w:rPr>
              <w:t>Auto-incrément</w:t>
            </w:r>
          </w:p>
        </w:tc>
        <w:tc>
          <w:tcPr>
            <w:tcW w:type="dxa" w:w="1757"/>
          </w:tcPr>
          <w:p>
            <w:pPr>
              <w:spacing w:after="40"/>
            </w:pPr>
            <w:r/>
            <w:r>
              <w:rPr>
                <w:sz w:val="18"/>
              </w:rPr>
              <w:t>Clé primaire</w:t>
            </w:r>
          </w:p>
        </w:tc>
        <w:tc>
          <w:tcPr>
            <w:tcW w:type="dxa" w:w="2551"/>
          </w:tcPr>
          <w:p>
            <w:pPr>
              <w:spacing w:after="40"/>
            </w:pPr>
            <w:r/>
            <w:r>
              <w:rPr>
                <w:sz w:val="18"/>
              </w:rPr>
              <w:t>Cible des jetons de charte et des valeurs de document</w:t>
            </w:r>
          </w:p>
        </w:tc>
      </w:tr>
      <w:tr>
        <w:tc>
          <w:tcPr>
            <w:tcW w:type="dxa" w:w="1474"/>
          </w:tcPr>
          <w:p>
            <w:pPr>
              <w:spacing w:after="40"/>
            </w:pPr>
            <w:r/>
            <w:r>
              <w:rPr>
                <w:sz w:val="18"/>
              </w:rPr>
              <w:t>Code</w:t>
            </w:r>
          </w:p>
        </w:tc>
        <w:tc>
          <w:tcPr>
            <w:tcW w:type="dxa" w:w="1701"/>
          </w:tcPr>
          <w:p>
            <w:pPr>
              <w:spacing w:after="40"/>
            </w:pPr>
            <w:r/>
            <w:r>
              <w:rPr>
                <w:sz w:val="18"/>
              </w:rPr>
              <w:t>Texte, 255 caractères</w:t>
            </w:r>
          </w:p>
        </w:tc>
        <w:tc>
          <w:tcPr>
            <w:tcW w:type="dxa" w:w="964"/>
          </w:tcPr>
          <w:p>
            <w:pPr>
              <w:spacing w:after="40"/>
            </w:pPr>
            <w:r/>
            <w:r>
              <w:rPr>
                <w:sz w:val="18"/>
              </w:rPr>
              <w:t>Oui</w:t>
            </w:r>
          </w:p>
        </w:tc>
        <w:tc>
          <w:tcPr>
            <w:tcW w:type="dxa" w:w="1191"/>
          </w:tcPr>
          <w:p>
            <w:pPr>
              <w:spacing w:after="40"/>
            </w:pPr>
            <w:r/>
            <w:r>
              <w:rPr>
                <w:sz w:val="18"/>
              </w:rPr>
              <w:t>Aucun</w:t>
            </w:r>
          </w:p>
        </w:tc>
        <w:tc>
          <w:tcPr>
            <w:tcW w:type="dxa" w:w="1757"/>
          </w:tcPr>
          <w:p>
            <w:pPr>
              <w:spacing w:after="40"/>
            </w:pPr>
            <w:r/>
            <w:r>
              <w:rPr>
                <w:sz w:val="18"/>
              </w:rPr>
              <w:t>Unique (contrainte de base + contrôle applicatif insensible à la casse)</w:t>
            </w:r>
          </w:p>
        </w:tc>
        <w:tc>
          <w:tcPr>
            <w:tcW w:type="dxa" w:w="2551"/>
          </w:tcPr>
          <w:p>
            <w:pPr>
              <w:spacing w:after="40"/>
            </w:pPr>
            <w:r/>
            <w:r>
              <w:rPr>
                <w:sz w:val="18"/>
              </w:rPr>
              <w:t>Aucune</w:t>
            </w:r>
          </w:p>
        </w:tc>
      </w:tr>
      <w:tr>
        <w:tc>
          <w:tcPr>
            <w:tcW w:type="dxa" w:w="1474"/>
          </w:tcPr>
          <w:p>
            <w:pPr>
              <w:spacing w:after="40"/>
            </w:pPr>
            <w:r/>
            <w:r>
              <w:rPr>
                <w:sz w:val="18"/>
              </w:rPr>
              <w:t>Nom de l'index</w:t>
            </w:r>
          </w:p>
        </w:tc>
        <w:tc>
          <w:tcPr>
            <w:tcW w:type="dxa" w:w="1701"/>
          </w:tcPr>
          <w:p>
            <w:pPr>
              <w:spacing w:after="40"/>
            </w:pPr>
            <w:r/>
            <w:r>
              <w:rPr>
                <w:sz w:val="18"/>
              </w:rPr>
              <w:t>Texte, 255 caractères</w:t>
            </w:r>
          </w:p>
        </w:tc>
        <w:tc>
          <w:tcPr>
            <w:tcW w:type="dxa" w:w="964"/>
          </w:tcPr>
          <w:p>
            <w:pPr>
              <w:spacing w:after="40"/>
            </w:pPr>
            <w:r/>
            <w:r>
              <w:rPr>
                <w:sz w:val="18"/>
              </w:rPr>
              <w:t>Oui</w:t>
            </w:r>
          </w:p>
        </w:tc>
        <w:tc>
          <w:tcPr>
            <w:tcW w:type="dxa" w:w="1191"/>
          </w:tcPr>
          <w:p>
            <w:pPr>
              <w:spacing w:after="40"/>
            </w:pPr>
            <w:r/>
            <w:r>
              <w:rPr>
                <w:sz w:val="18"/>
              </w:rPr>
              <w:t>Aucun</w:t>
            </w:r>
          </w:p>
        </w:tc>
        <w:tc>
          <w:tcPr>
            <w:tcW w:type="dxa" w:w="1757"/>
          </w:tcPr>
          <w:p>
            <w:pPr>
              <w:spacing w:after="40"/>
            </w:pPr>
            <w:r/>
            <w:r>
              <w:rPr>
                <w:sz w:val="18"/>
              </w:rPr>
              <w:t>Non</w:t>
            </w:r>
          </w:p>
        </w:tc>
        <w:tc>
          <w:tcPr>
            <w:tcW w:type="dxa" w:w="2551"/>
          </w:tcPr>
          <w:p>
            <w:pPr>
              <w:spacing w:after="40"/>
            </w:pPr>
            <w:r/>
            <w:r>
              <w:rPr>
                <w:sz w:val="18"/>
              </w:rPr>
              <w:t>Libellé repris partout</w:t>
            </w:r>
          </w:p>
        </w:tc>
      </w:tr>
      <w:tr>
        <w:tc>
          <w:tcPr>
            <w:tcW w:type="dxa" w:w="1474"/>
          </w:tcPr>
          <w:p>
            <w:pPr>
              <w:spacing w:after="40"/>
            </w:pPr>
            <w:r/>
            <w:r>
              <w:rPr>
                <w:sz w:val="18"/>
              </w:rPr>
              <w:t>Type de champ</w:t>
            </w:r>
          </w:p>
        </w:tc>
        <w:tc>
          <w:tcPr>
            <w:tcW w:type="dxa" w:w="1701"/>
          </w:tcPr>
          <w:p>
            <w:pPr>
              <w:spacing w:after="40"/>
            </w:pPr>
            <w:r/>
            <w:r>
              <w:rPr>
                <w:sz w:val="18"/>
              </w:rPr>
              <w:t>Énumération : TEXTE, NOMBRE, DATE, LISTE</w:t>
            </w:r>
          </w:p>
        </w:tc>
        <w:tc>
          <w:tcPr>
            <w:tcW w:type="dxa" w:w="964"/>
          </w:tcPr>
          <w:p>
            <w:pPr>
              <w:spacing w:after="40"/>
            </w:pPr>
            <w:r/>
            <w:r>
              <w:rPr>
                <w:sz w:val="18"/>
              </w:rPr>
              <w:t>Oui</w:t>
            </w:r>
          </w:p>
        </w:tc>
        <w:tc>
          <w:tcPr>
            <w:tcW w:type="dxa" w:w="1191"/>
          </w:tcPr>
          <w:p>
            <w:pPr>
              <w:spacing w:after="40"/>
            </w:pPr>
            <w:r/>
            <w:r>
              <w:rPr>
                <w:sz w:val="18"/>
              </w:rPr>
              <w:t>TEXTE</w:t>
            </w:r>
          </w:p>
        </w:tc>
        <w:tc>
          <w:tcPr>
            <w:tcW w:type="dxa" w:w="1757"/>
          </w:tcPr>
          <w:p>
            <w:pPr>
              <w:spacing w:after="40"/>
            </w:pPr>
            <w:r/>
            <w:r>
              <w:rPr>
                <w:sz w:val="18"/>
              </w:rPr>
              <w:t>Non</w:t>
            </w:r>
          </w:p>
        </w:tc>
        <w:tc>
          <w:tcPr>
            <w:tcW w:type="dxa" w:w="2551"/>
          </w:tcPr>
          <w:p>
            <w:pPr>
              <w:spacing w:after="40"/>
            </w:pPr>
            <w:r/>
            <w:r>
              <w:rPr>
                <w:sz w:val="18"/>
              </w:rPr>
              <w:t>Pilote le contrôle des valeurs saisies</w:t>
            </w:r>
          </w:p>
        </w:tc>
      </w:tr>
      <w:tr>
        <w:tc>
          <w:tcPr>
            <w:tcW w:type="dxa" w:w="1474"/>
          </w:tcPr>
          <w:p>
            <w:pPr>
              <w:spacing w:after="40"/>
            </w:pPr>
            <w:r/>
            <w:r>
              <w:rPr>
                <w:sz w:val="18"/>
              </w:rPr>
              <w:t>Valeurs</w:t>
            </w:r>
          </w:p>
        </w:tc>
        <w:tc>
          <w:tcPr>
            <w:tcW w:type="dxa" w:w="1701"/>
          </w:tcPr>
          <w:p>
            <w:pPr>
              <w:spacing w:after="40"/>
            </w:pPr>
            <w:r/>
            <w:r>
              <w:rPr>
                <w:sz w:val="18"/>
              </w:rPr>
              <w:t>Texte long, options séparées par des virgules</w:t>
            </w:r>
          </w:p>
        </w:tc>
        <w:tc>
          <w:tcPr>
            <w:tcW w:type="dxa" w:w="964"/>
          </w:tcPr>
          <w:p>
            <w:pPr>
              <w:spacing w:after="40"/>
            </w:pPr>
            <w:r/>
            <w:r>
              <w:rPr>
                <w:sz w:val="18"/>
              </w:rPr>
              <w:t>Non</w:t>
            </w:r>
          </w:p>
        </w:tc>
        <w:tc>
          <w:tcPr>
            <w:tcW w:type="dxa" w:w="1191"/>
          </w:tcPr>
          <w:p>
            <w:pPr>
              <w:spacing w:after="40"/>
            </w:pPr>
            <w:r/>
            <w:r>
              <w:rPr>
                <w:sz w:val="18"/>
              </w:rPr>
              <w:t>Vide</w:t>
            </w:r>
          </w:p>
        </w:tc>
        <w:tc>
          <w:tcPr>
            <w:tcW w:type="dxa" w:w="1757"/>
          </w:tcPr>
          <w:p>
            <w:pPr>
              <w:spacing w:after="40"/>
            </w:pPr>
            <w:r/>
            <w:r>
              <w:rPr>
                <w:sz w:val="18"/>
              </w:rPr>
              <w:t>Non</w:t>
            </w:r>
          </w:p>
        </w:tc>
        <w:tc>
          <w:tcPr>
            <w:tcW w:type="dxa" w:w="2551"/>
          </w:tcPr>
          <w:p>
            <w:pPr>
              <w:spacing w:after="40"/>
            </w:pPr>
            <w:r/>
            <w:r>
              <w:rPr>
                <w:sz w:val="18"/>
              </w:rPr>
              <w:t>N'a de sens qu'avec le type LISTE</w:t>
            </w:r>
          </w:p>
        </w:tc>
      </w:tr>
      <w:tr>
        <w:tc>
          <w:tcPr>
            <w:tcW w:type="dxa" w:w="1474"/>
          </w:tcPr>
          <w:p>
            <w:pPr>
              <w:spacing w:after="40"/>
            </w:pPr>
            <w:r/>
            <w:r>
              <w:rPr>
                <w:sz w:val="18"/>
              </w:rPr>
              <w:t>Valeur par défaut</w:t>
            </w:r>
          </w:p>
        </w:tc>
        <w:tc>
          <w:tcPr>
            <w:tcW w:type="dxa" w:w="1701"/>
          </w:tcPr>
          <w:p>
            <w:pPr>
              <w:spacing w:after="40"/>
            </w:pPr>
            <w:r/>
            <w:r>
              <w:rPr>
                <w:sz w:val="18"/>
              </w:rPr>
              <w:t>Texte, 255 caractères</w:t>
            </w:r>
          </w:p>
        </w:tc>
        <w:tc>
          <w:tcPr>
            <w:tcW w:type="dxa" w:w="964"/>
          </w:tcPr>
          <w:p>
            <w:pPr>
              <w:spacing w:after="40"/>
            </w:pPr>
            <w:r/>
            <w:r>
              <w:rPr>
                <w:sz w:val="18"/>
              </w:rPr>
              <w:t>Non</w:t>
            </w:r>
          </w:p>
        </w:tc>
        <w:tc>
          <w:tcPr>
            <w:tcW w:type="dxa" w:w="1191"/>
          </w:tcPr>
          <w:p>
            <w:pPr>
              <w:spacing w:after="40"/>
            </w:pPr>
            <w:r/>
            <w:r>
              <w:rPr>
                <w:sz w:val="18"/>
              </w:rPr>
              <w:t>Vide</w:t>
            </w:r>
          </w:p>
        </w:tc>
        <w:tc>
          <w:tcPr>
            <w:tcW w:type="dxa" w:w="1757"/>
          </w:tcPr>
          <w:p>
            <w:pPr>
              <w:spacing w:after="40"/>
            </w:pPr>
            <w:r/>
            <w:r>
              <w:rPr>
                <w:sz w:val="18"/>
              </w:rPr>
              <w:t>Non</w:t>
            </w:r>
          </w:p>
        </w:tc>
        <w:tc>
          <w:tcPr>
            <w:tcW w:type="dxa" w:w="2551"/>
          </w:tcPr>
          <w:p>
            <w:pPr>
              <w:spacing w:after="40"/>
            </w:pPr>
            <w:r/>
            <w:r>
              <w:rPr>
                <w:sz w:val="18"/>
              </w:rPr>
              <w:t>Aucune</w:t>
            </w:r>
          </w:p>
        </w:tc>
      </w:tr>
      <w:tr>
        <w:tc>
          <w:tcPr>
            <w:tcW w:type="dxa" w:w="1474"/>
          </w:tcPr>
          <w:p>
            <w:pPr>
              <w:spacing w:after="40"/>
            </w:pPr>
            <w:r/>
            <w:r>
              <w:rPr>
                <w:sz w:val="18"/>
              </w:rPr>
              <w:t>Obligatoire</w:t>
            </w:r>
          </w:p>
        </w:tc>
        <w:tc>
          <w:tcPr>
            <w:tcW w:type="dxa" w:w="1701"/>
          </w:tcPr>
          <w:p>
            <w:pPr>
              <w:spacing w:after="40"/>
            </w:pPr>
            <w:r/>
            <w:r>
              <w:rPr>
                <w:sz w:val="18"/>
              </w:rPr>
              <w:t>Booléen</w:t>
            </w:r>
          </w:p>
        </w:tc>
        <w:tc>
          <w:tcPr>
            <w:tcW w:type="dxa" w:w="964"/>
          </w:tcPr>
          <w:p>
            <w:pPr>
              <w:spacing w:after="40"/>
            </w:pPr>
            <w:r/>
            <w:r>
              <w:rPr>
                <w:sz w:val="18"/>
              </w:rPr>
              <w:t>Oui (valeur toujours présente)</w:t>
            </w:r>
          </w:p>
        </w:tc>
        <w:tc>
          <w:tcPr>
            <w:tcW w:type="dxa" w:w="1191"/>
          </w:tcPr>
          <w:p>
            <w:pPr>
              <w:spacing w:after="40"/>
            </w:pPr>
            <w:r/>
            <w:r>
              <w:rPr>
                <w:sz w:val="18"/>
              </w:rPr>
              <w:t>Faux</w:t>
            </w:r>
          </w:p>
        </w:tc>
        <w:tc>
          <w:tcPr>
            <w:tcW w:type="dxa" w:w="1757"/>
          </w:tcPr>
          <w:p>
            <w:pPr>
              <w:spacing w:after="40"/>
            </w:pPr>
            <w:r/>
            <w:r>
              <w:rPr>
                <w:sz w:val="18"/>
              </w:rPr>
              <w:t>Non</w:t>
            </w:r>
          </w:p>
        </w:tc>
        <w:tc>
          <w:tcPr>
            <w:tcW w:type="dxa" w:w="2551"/>
          </w:tcPr>
          <w:p>
            <w:pPr>
              <w:spacing w:after="40"/>
            </w:pPr>
            <w:r/>
            <w:r>
              <w:rPr>
                <w:sz w:val="18"/>
              </w:rPr>
              <w:t>Lu à l'enregistrement des valeurs d'un document</w:t>
            </w:r>
          </w:p>
        </w:tc>
      </w:tr>
      <w:tr>
        <w:tc>
          <w:tcPr>
            <w:tcW w:type="dxa" w:w="1474"/>
          </w:tcPr>
          <w:p>
            <w:pPr>
              <w:spacing w:after="40"/>
            </w:pPr>
            <w:r/>
            <w:r>
              <w:rPr>
                <w:sz w:val="18"/>
              </w:rPr>
              <w:t>Indexé pour recherche</w:t>
            </w:r>
          </w:p>
        </w:tc>
        <w:tc>
          <w:tcPr>
            <w:tcW w:type="dxa" w:w="1701"/>
          </w:tcPr>
          <w:p>
            <w:pPr>
              <w:spacing w:after="40"/>
            </w:pPr>
            <w:r/>
            <w:r>
              <w:rPr>
                <w:sz w:val="18"/>
              </w:rPr>
              <w:t>Booléen</w:t>
            </w:r>
          </w:p>
        </w:tc>
        <w:tc>
          <w:tcPr>
            <w:tcW w:type="dxa" w:w="964"/>
          </w:tcPr>
          <w:p>
            <w:pPr>
              <w:spacing w:after="40"/>
            </w:pPr>
            <w:r/>
            <w:r>
              <w:rPr>
                <w:sz w:val="18"/>
              </w:rPr>
              <w:t>Oui</w:t>
            </w:r>
          </w:p>
        </w:tc>
        <w:tc>
          <w:tcPr>
            <w:tcW w:type="dxa" w:w="1191"/>
          </w:tcPr>
          <w:p>
            <w:pPr>
              <w:spacing w:after="40"/>
            </w:pPr>
            <w:r/>
            <w:r>
              <w:rPr>
                <w:sz w:val="18"/>
              </w:rPr>
              <w:t>Faux</w:t>
            </w:r>
          </w:p>
        </w:tc>
        <w:tc>
          <w:tcPr>
            <w:tcW w:type="dxa" w:w="1757"/>
          </w:tcPr>
          <w:p>
            <w:pPr>
              <w:spacing w:after="40"/>
            </w:pPr>
            <w:r/>
            <w:r>
              <w:rPr>
                <w:sz w:val="18"/>
              </w:rPr>
              <w:t>Non</w:t>
            </w:r>
          </w:p>
        </w:tc>
        <w:tc>
          <w:tcPr>
            <w:tcW w:type="dxa" w:w="2551"/>
          </w:tcPr>
          <w:p>
            <w:pPr>
              <w:spacing w:after="40"/>
            </w:pPr>
            <w:r/>
            <w:r>
              <w:rPr>
                <w:sz w:val="18"/>
              </w:rPr>
              <w:t>Fait apparaître un critère de recherche</w:t>
            </w:r>
          </w:p>
        </w:tc>
      </w:tr>
      <w:tr>
        <w:tc>
          <w:tcPr>
            <w:tcW w:type="dxa" w:w="1474"/>
          </w:tcPr>
          <w:p>
            <w:pPr>
              <w:spacing w:after="40"/>
            </w:pPr>
            <w:r/>
            <w:r>
              <w:rPr>
                <w:sz w:val="18"/>
              </w:rPr>
              <w:t>Index de groupage</w:t>
            </w:r>
          </w:p>
        </w:tc>
        <w:tc>
          <w:tcPr>
            <w:tcW w:type="dxa" w:w="1701"/>
          </w:tcPr>
          <w:p>
            <w:pPr>
              <w:spacing w:after="40"/>
            </w:pPr>
            <w:r/>
            <w:r>
              <w:rPr>
                <w:sz w:val="18"/>
              </w:rPr>
              <w:t>Booléen</w:t>
            </w:r>
          </w:p>
        </w:tc>
        <w:tc>
          <w:tcPr>
            <w:tcW w:type="dxa" w:w="964"/>
          </w:tcPr>
          <w:p>
            <w:pPr>
              <w:spacing w:after="40"/>
            </w:pPr>
            <w:r/>
            <w:r>
              <w:rPr>
                <w:sz w:val="18"/>
              </w:rPr>
              <w:t>Oui</w:t>
            </w:r>
          </w:p>
        </w:tc>
        <w:tc>
          <w:tcPr>
            <w:tcW w:type="dxa" w:w="1191"/>
          </w:tcPr>
          <w:p>
            <w:pPr>
              <w:spacing w:after="40"/>
            </w:pPr>
            <w:r/>
            <w:r>
              <w:rPr>
                <w:sz w:val="18"/>
              </w:rPr>
              <w:t>Faux</w:t>
            </w:r>
          </w:p>
        </w:tc>
        <w:tc>
          <w:tcPr>
            <w:tcW w:type="dxa" w:w="1757"/>
          </w:tcPr>
          <w:p>
            <w:pPr>
              <w:spacing w:after="40"/>
            </w:pPr>
            <w:r/>
            <w:r>
              <w:rPr>
                <w:sz w:val="18"/>
              </w:rPr>
              <w:t>Non</w:t>
            </w:r>
          </w:p>
        </w:tc>
        <w:tc>
          <w:tcPr>
            <w:tcW w:type="dxa" w:w="2551"/>
          </w:tcPr>
          <w:p>
            <w:pPr>
              <w:spacing w:after="40"/>
            </w:pPr>
            <w:r/>
            <w:r>
              <w:rPr>
                <w:sz w:val="18"/>
              </w:rPr>
              <w:t>Fait apparaître une clé de regroupement des résultats</w:t>
            </w:r>
          </w:p>
        </w:tc>
      </w:tr>
      <w:tr>
        <w:tc>
          <w:tcPr>
            <w:tcW w:type="dxa" w:w="1474"/>
          </w:tcPr>
          <w:p>
            <w:pPr>
              <w:spacing w:after="40"/>
            </w:pPr>
            <w:r/>
            <w:r>
              <w:rPr>
                <w:sz w:val="18"/>
              </w:rPr>
              <w:t>Corbeille</w:t>
            </w:r>
          </w:p>
        </w:tc>
        <w:tc>
          <w:tcPr>
            <w:tcW w:type="dxa" w:w="1701"/>
          </w:tcPr>
          <w:p>
            <w:pPr>
              <w:spacing w:after="40"/>
            </w:pPr>
            <w:r/>
            <w:r>
              <w:rPr>
                <w:sz w:val="18"/>
              </w:rPr>
              <w:t>Booléen</w:t>
            </w:r>
          </w:p>
        </w:tc>
        <w:tc>
          <w:tcPr>
            <w:tcW w:type="dxa" w:w="964"/>
          </w:tcPr>
          <w:p>
            <w:pPr>
              <w:spacing w:after="40"/>
            </w:pPr>
            <w:r/>
            <w:r>
              <w:rPr>
                <w:sz w:val="18"/>
              </w:rPr>
              <w:t>Oui</w:t>
            </w:r>
          </w:p>
        </w:tc>
        <w:tc>
          <w:tcPr>
            <w:tcW w:type="dxa" w:w="1191"/>
          </w:tcPr>
          <w:p>
            <w:pPr>
              <w:spacing w:after="40"/>
            </w:pPr>
            <w:r/>
            <w:r>
              <w:rPr>
                <w:sz w:val="18"/>
              </w:rPr>
              <w:t>Faux</w:t>
            </w:r>
          </w:p>
        </w:tc>
        <w:tc>
          <w:tcPr>
            <w:tcW w:type="dxa" w:w="1757"/>
          </w:tcPr>
          <w:p>
            <w:pPr>
              <w:spacing w:after="40"/>
            </w:pPr>
            <w:r/>
            <w:r>
              <w:rPr>
                <w:sz w:val="18"/>
              </w:rPr>
              <w:t>Non</w:t>
            </w:r>
          </w:p>
        </w:tc>
        <w:tc>
          <w:tcPr>
            <w:tcW w:type="dxa" w:w="2551"/>
          </w:tcPr>
          <w:p>
            <w:pPr>
              <w:spacing w:after="40"/>
            </w:pPr>
            <w:r/>
            <w:r>
              <w:rPr>
                <w:sz w:val="18"/>
              </w:rPr>
              <w:t>Filtre de toutes les listes</w:t>
            </w:r>
          </w:p>
        </w:tc>
      </w:tr>
      <w:tr>
        <w:tc>
          <w:tcPr>
            <w:tcW w:type="dxa" w:w="1474"/>
          </w:tcPr>
          <w:p>
            <w:pPr>
              <w:spacing w:after="40"/>
            </w:pPr>
            <w:r/>
            <w:r>
              <w:rPr>
                <w:sz w:val="18"/>
              </w:rPr>
              <w:t>Date de création</w:t>
            </w:r>
          </w:p>
        </w:tc>
        <w:tc>
          <w:tcPr>
            <w:tcW w:type="dxa" w:w="1701"/>
          </w:tcPr>
          <w:p>
            <w:pPr>
              <w:spacing w:after="40"/>
            </w:pPr>
            <w:r/>
            <w:r>
              <w:rPr>
                <w:sz w:val="18"/>
              </w:rPr>
              <w:t>Horodatage</w:t>
            </w:r>
          </w:p>
        </w:tc>
        <w:tc>
          <w:tcPr>
            <w:tcW w:type="dxa" w:w="964"/>
          </w:tcPr>
          <w:p>
            <w:pPr>
              <w:spacing w:after="40"/>
            </w:pPr>
            <w:r/>
            <w:r>
              <w:rPr>
                <w:sz w:val="18"/>
              </w:rPr>
              <w:t>Renseignée automatiquement</w:t>
            </w:r>
          </w:p>
        </w:tc>
        <w:tc>
          <w:tcPr>
            <w:tcW w:type="dxa" w:w="1191"/>
          </w:tcPr>
          <w:p>
            <w:pPr>
              <w:spacing w:after="40"/>
            </w:pPr>
            <w:r/>
            <w:r>
              <w:rPr>
                <w:sz w:val="18"/>
              </w:rPr>
              <w:t>Instant de l'insertion</w:t>
            </w:r>
          </w:p>
        </w:tc>
        <w:tc>
          <w:tcPr>
            <w:tcW w:type="dxa" w:w="1757"/>
          </w:tcPr>
          <w:p>
            <w:pPr>
              <w:spacing w:after="40"/>
            </w:pPr>
            <w:r/>
            <w:r>
              <w:rPr>
                <w:sz w:val="18"/>
              </w:rPr>
              <w:t>Non</w:t>
            </w:r>
          </w:p>
        </w:tc>
        <w:tc>
          <w:tcPr>
            <w:tcW w:type="dxa" w:w="2551"/>
          </w:tcPr>
          <w:p>
            <w:pPr>
              <w:spacing w:after="40"/>
            </w:pPr>
            <w:r/>
            <w:r>
              <w:rPr>
                <w:sz w:val="18"/>
              </w:rPr>
              <w:t>Aucune</w:t>
            </w:r>
          </w:p>
        </w:tc>
      </w:tr>
      <w:tr>
        <w:tc>
          <w:tcPr>
            <w:tcW w:type="dxa" w:w="1474"/>
          </w:tcPr>
          <w:p>
            <w:pPr>
              <w:spacing w:after="40"/>
            </w:pPr>
            <w:r/>
            <w:r>
              <w:rPr>
                <w:sz w:val="18"/>
              </w:rPr>
              <w:t>Date de mise à jour</w:t>
            </w:r>
          </w:p>
        </w:tc>
        <w:tc>
          <w:tcPr>
            <w:tcW w:type="dxa" w:w="1701"/>
          </w:tcPr>
          <w:p>
            <w:pPr>
              <w:spacing w:after="40"/>
            </w:pPr>
            <w:r/>
            <w:r>
              <w:rPr>
                <w:sz w:val="18"/>
              </w:rPr>
              <w:t>Horodatage</w:t>
            </w:r>
          </w:p>
        </w:tc>
        <w:tc>
          <w:tcPr>
            <w:tcW w:type="dxa" w:w="964"/>
          </w:tcPr>
          <w:p>
            <w:pPr>
              <w:spacing w:after="40"/>
            </w:pPr>
            <w:r/>
            <w:r>
              <w:rPr>
                <w:sz w:val="18"/>
              </w:rPr>
              <w:t>Renseignée automatiquement</w:t>
            </w:r>
          </w:p>
        </w:tc>
        <w:tc>
          <w:tcPr>
            <w:tcW w:type="dxa" w:w="1191"/>
          </w:tcPr>
          <w:p>
            <w:pPr>
              <w:spacing w:after="40"/>
            </w:pPr>
            <w:r/>
            <w:r>
              <w:rPr>
                <w:sz w:val="18"/>
              </w:rPr>
              <w:t>Instant de la dernière écriture</w:t>
            </w:r>
          </w:p>
        </w:tc>
        <w:tc>
          <w:tcPr>
            <w:tcW w:type="dxa" w:w="1757"/>
          </w:tcPr>
          <w:p>
            <w:pPr>
              <w:spacing w:after="40"/>
            </w:pPr>
            <w:r/>
            <w:r>
              <w:rPr>
                <w:sz w:val="18"/>
              </w:rPr>
              <w:t>Non</w:t>
            </w:r>
          </w:p>
        </w:tc>
        <w:tc>
          <w:tcPr>
            <w:tcW w:type="dxa" w:w="2551"/>
          </w:tcPr>
          <w:p>
            <w:pPr>
              <w:spacing w:after="40"/>
            </w:pPr>
            <w:r/>
            <w:r>
              <w:rPr>
                <w:sz w:val="18"/>
              </w:rPr>
              <w:t>Aucune</w:t>
            </w:r>
          </w:p>
        </w:tc>
      </w:tr>
    </w:tbl>
    <w:p>
      <w:pPr>
        <w:spacing w:after="80"/>
      </w:pPr>
    </w:p>
    <w:p>
      <w:pPr>
        <w:pStyle w:val="Heading2"/>
      </w:pPr>
      <w:r>
        <w:t>2.1 À quoi sert chacune de ces informations</w:t>
      </w:r>
    </w:p>
    <w:p>
      <w:pPr>
        <w:pStyle w:val="Heading3"/>
      </w:pPr>
      <w:r>
        <w:t>Le code</w:t>
      </w:r>
    </w:p>
    <w:p>
      <w:r>
        <w:rPr>
          <w:b w:val="0"/>
          <w:i w:val="0"/>
        </w:rPr>
        <w:t>Le code est l'identifiant métier de l'index, celui que l'administrateur reconnaît (« IDX-NUMFACT », « IDX-DATEEMI »). Il est unique parce qu'il sert de repère stable dans les échanges : c'est lui, et non l'identifiant technique, qui est renvoyé avec chaque critère de recherche et chaque valeur d'index d'un document. Deux index portant le même code rendraient ces réponses ambiguës.</w:t>
      </w:r>
    </w:p>
    <w:p>
      <w:pPr>
        <w:pStyle w:val="Heading3"/>
      </w:pPr>
      <w:r>
        <w:t>Le nom de l'index</w:t>
      </w:r>
    </w:p>
    <w:p>
      <w:r>
        <w:rPr>
          <w:b w:val="0"/>
          <w:i w:val="0"/>
        </w:rPr>
        <w:t>Le nom est le libellé affiché : en tête de colonne dans la liste, en étiquette de champ dans le formulaire d'indexation, en jeton dans l'atelier de composition de la charte de nommage, et en clé de regroupement dans les résultats de recherche. C'est aussi la seule colonne sur laquelle porte la recherche de la liste — un point détaillé en section 5.</w:t>
      </w:r>
    </w:p>
    <w:p>
      <w:pPr>
        <w:pStyle w:val="Heading3"/>
      </w:pPr>
      <w:r>
        <w:t>Le type de champ</w:t>
      </w:r>
    </w:p>
    <w:p>
      <w:r>
        <w:rPr>
          <w:b w:val="0"/>
          <w:i w:val="0"/>
        </w:rPr>
        <w:t>Le type décide de la qualité de la donnée qui sera stockée. Il prend l'une de quatre valeurs seulement, enregistrées telles quelles sous forme de chaîne dans une colonne de type énumération : TEXTE, NOMBRE, DATE, LISTE. Le serveur s'en sert plus tard, au moment de l'indexation d'un document, pour refuser une valeur incompatible : un texte quelconque sur un index NOMBRE, une date qui n'est pas au format AAAA-MM-JJ sur un index DATE, une valeur absente des options sur un index LISTE. Le type TEXTE, lui, n'impose rien.</w:t>
      </w:r>
    </w:p>
    <w:p>
      <w:pPr>
        <w:pStyle w:val="Heading3"/>
      </w:pPr>
      <w:r>
        <w:t>Les valeurs et la valeur par défaut</w:t>
      </w:r>
    </w:p>
    <w:p>
      <w:r>
        <w:rPr>
          <w:b w:val="0"/>
          <w:i w:val="0"/>
        </w:rPr>
        <w:t>Les valeurs sont les options proposées par un index de type LISTE, écrites dans une seule colonne de texte long et séparées par des virgules. Le serveur ne les conserve que si le type est LISTE ; sur tout autre type, il les efface. Cette normalisation est délibérée : conserver des options en arrière-plan les ferait réapparaître à la première rebascule vers le type LISTE, sans que personne ne comprenne d'où elles viennent. La valeur par défaut, en revanche, est conservée quel que soit le type.</w:t>
      </w:r>
    </w:p>
    <w:p>
      <w:pPr>
        <w:pStyle w:val="Heading3"/>
      </w:pPr>
      <w:r>
        <w:t>Les trois drapeaux</w:t>
      </w:r>
    </w:p>
    <w:p>
      <w:r>
        <w:rPr>
          <w:b w:val="0"/>
          <w:i w:val="0"/>
        </w:rPr>
        <w:t>Les trois booléens n'ont aucun effet dans ce module ; ils prennent leur sens ailleurs, et c'est ce qui rend leur paramétrage engageant. « Obligatoire » est lu à l'enregistrement des valeurs d'un document : le serveur refuse alors l'opération tant que l'index n'a pas reçu de valeur, et le refus porte sur le plan entier, pas seulement sur les lignes envoyées. « Indexé pour recherche » fait apparaître l'index dans la liste des critères de recherche : cocher la case suffit à créer un nouveau filtre, sans écrire une ligne de code. « Index de groupage » l'ajoute à la liste des clés de regroupement des résultats.</w:t>
      </w:r>
    </w:p>
    <w:p>
      <w:pPr>
        <w:pStyle w:val="Heading3"/>
      </w:pPr>
      <w:r>
        <w:t>La corbeille et les horodatages</w:t>
      </w:r>
    </w:p>
    <w:p>
      <w:r>
        <w:rPr>
          <w:b w:val="0"/>
          <w:i w:val="0"/>
        </w:rPr>
        <w:t>Le booléen de corbeille est le filtre de toutes les listes du module ; il est indexé en base pour cette raison. Les deux horodatages sont renseignés par la couche de persistance, sans intervention du code applicatif : la date de création est posée à l'insertion et n'est plus modifiable, la date de mise à jour est réécrite à chaque enregistrement.</w:t>
      </w:r>
    </w:p>
    <w:p>
      <w:r>
        <w:br w:type="page"/>
      </w:r>
    </w:p>
    <w:p>
      <w:pPr>
        <w:pStyle w:val="Heading1"/>
      </w:pPr>
      <w:r>
        <w:t>3. Les relations</w:t>
      </w:r>
    </w:p>
    <w:p>
      <w:r>
        <w:rPr>
          <w:b w:val="0"/>
          <w:i w:val="0"/>
        </w:rPr>
        <w:t>L'index est une donnée de référence : il n'appartient à rien, mais deux objets s'appuient sur lui. Les deux liens sont dirigés vers l'index, jamais l'inverse — l'entité IndexField ne connaît ni les plans qui l'utilisent, ni les documents qui portent ses valeurs.</w:t>
      </w:r>
    </w:p>
    <w:p>
      <w:pPr>
        <w:pStyle w:val="Heading2"/>
      </w:pPr>
      <w:r>
        <w:t>3.1 Le plan d'indexation</w:t>
      </w:r>
    </w:p>
    <w:p>
      <w:r>
        <w:rPr>
          <w:b w:val="0"/>
          <w:i w:val="0"/>
        </w:rPr>
        <w:t>Un plan d'indexation regroupe des index dans un ordre significatif. La relation est de type plusieurs-à-plusieurs et passe par une table de liaison qui porte, en plus des deux identifiants, une colonne de position. Cette colonne est ce qui rend l'ordre persistant : sans elle, l'ordre de nommage dépendrait de l'ordre de restitution de la base, c'est-à-dire de rien de garanti.</w:t>
      </w:r>
    </w:p>
    <w:p>
      <w:pPr>
        <w:pStyle w:val="Heading2"/>
      </w:pPr>
      <w:r>
        <w:t>3.2 La valeur d'index d'un document</w:t>
      </w:r>
    </w:p>
    <w:p>
      <w:r>
        <w:rPr>
          <w:b w:val="0"/>
          <w:i w:val="0"/>
        </w:rPr>
        <w:t>Lorsqu'un document est indexé, chaque champ renseigné produit une ligne dans la table des valeurs d'index, qui référence à la fois le document et l'index. Une contrainte d'unicité porte sur le couple (document, index) : un même document ne peut pas porter deux valeurs pour le même index. C'est cette table qui rend les trois drapeaux effectifs — sans elle, index et plans ne seraient que de la configuration sans conséquence.</w:t>
      </w:r>
    </w:p>
    <w:p>
      <w:pPr>
        <w:pStyle w:val="Heading2"/>
      </w:pPr>
      <w:r>
        <w:t>3.3 Ce qui se passe quand l'index disparaît</w:t>
      </w:r>
    </w:p>
    <w:p>
      <w:r>
        <w:rPr>
          <w:b w:val="0"/>
          <w:i w:val="0"/>
        </w:rPr>
        <w:t>L'index ne disparaît jamais physiquement. La suppression bascule un indicateur, la ligne reste, et les deux clés étrangères qui la visent restent valides. Le comportement des objets liés diffère toutefois selon l'endroit où ils lisent l'index :</w:t>
      </w:r>
    </w:p>
    <w:p>
      <w:pPr>
        <w:pStyle w:val="ListBullet"/>
        <w:spacing w:after="60"/>
      </w:pPr>
      <w:r>
        <w:t>L'étape d'indexation d'un document écarte explicitement les index en corbeille : les champs présentés, les champs autorisés à l'écriture et les champs déclarés obligatoires sont filtrés sur l'indicateur de corbeille. Un index supprimé cesse donc immédiatement d'être demandé.</w:t>
      </w:r>
    </w:p>
    <w:p>
      <w:pPr>
        <w:pStyle w:val="ListBullet"/>
        <w:spacing w:after="60"/>
      </w:pPr>
      <w:r>
        <w:t>Les critères de recherche et les clés de regroupement écartent également les index en corbeille : ils sont construits à partir de la liste active.</w:t>
      </w:r>
    </w:p>
    <w:p>
      <w:pPr>
        <w:pStyle w:val="ListBullet"/>
        <w:spacing w:after="60"/>
      </w:pPr>
      <w:r>
        <w:t>En revanche, la fiche d'un plan d'indexation ne filtre pas : un index mis à la corbeille continue d'apparaître dans la liste des index du plan et dans l'aperçu du nommage de ce plan. L'écran de paramétrage montre donc un index que l'étape de dépôt ne demandera plus.</w:t>
      </w:r>
    </w:p>
    <w:p>
      <w:pPr>
        <w:pStyle w:val="ListBullet"/>
        <w:spacing w:after="60"/>
      </w:pPr>
      <w:r>
        <w:t>Les valeurs déjà enregistrées sur des documents ne sont pas touchées : elles restent en base et restent restituées avec le document.</w:t>
      </w:r>
    </w:p>
    <w:p>
      <w:r>
        <w:rPr>
          <w:b w:val="0"/>
          <w:i w:val="0"/>
        </w:rPr>
        <w:t>Une suppression physique serait de toute façon refusée par la base tant qu'un plan ou une valeur de document référence l'index. Le module ne propose aucune opération de ce genre.</w:t>
      </w:r>
    </w:p>
    <w:p>
      <w:pPr>
        <w:pStyle w:val="Heading2"/>
      </w:pPr>
      <w:r>
        <w:t>3.4 Schéma des relations</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INDEX            |</w:t>
      </w:r>
    </w:p>
    <w:p>
      <w:pPr>
        <w:spacing w:after="0" w:before="0" w:line="240" w:lineRule="auto"/>
      </w:pPr>
      <w:r>
        <w:rPr>
          <w:rFonts w:ascii="Consolas" w:hAnsi="Consolas" w:cs="Consolas" w:eastAsia="Consolas"/>
          <w:sz w:val="18"/>
        </w:rPr>
        <w:t xml:space="preserve">                        |  table : indices          |</w:t>
      </w:r>
    </w:p>
    <w:p>
      <w:pPr>
        <w:spacing w:after="0" w:before="0" w:line="240" w:lineRule="auto"/>
      </w:pPr>
      <w:r>
        <w:rPr>
          <w:rFonts w:ascii="Consolas" w:hAnsi="Consolas" w:cs="Consolas" w:eastAsia="Consolas"/>
          <w:sz w:val="18"/>
        </w:rPr>
        <w:t xml:space="preserve">                        |  code (unique)            |</w:t>
      </w:r>
    </w:p>
    <w:p>
      <w:pPr>
        <w:spacing w:after="0" w:before="0" w:line="240" w:lineRule="auto"/>
      </w:pPr>
      <w:r>
        <w:rPr>
          <w:rFonts w:ascii="Consolas" w:hAnsi="Consolas" w:cs="Consolas" w:eastAsia="Consolas"/>
          <w:sz w:val="18"/>
        </w:rPr>
        <w:t xml:space="preserve">                        |  nom_index                |</w:t>
      </w:r>
    </w:p>
    <w:p>
      <w:pPr>
        <w:spacing w:after="0" w:before="0" w:line="240" w:lineRule="auto"/>
      </w:pPr>
      <w:r>
        <w:rPr>
          <w:rFonts w:ascii="Consolas" w:hAnsi="Consolas" w:cs="Consolas" w:eastAsia="Consolas"/>
          <w:sz w:val="18"/>
        </w:rPr>
        <w:t xml:space="preserve">                        |  type_champs (enum)       |</w:t>
      </w:r>
    </w:p>
    <w:p>
      <w:pPr>
        <w:spacing w:after="0" w:before="0" w:line="240" w:lineRule="auto"/>
      </w:pPr>
      <w:r>
        <w:rPr>
          <w:rFonts w:ascii="Consolas" w:hAnsi="Consolas" w:cs="Consolas" w:eastAsia="Consolas"/>
          <w:sz w:val="18"/>
        </w:rPr>
        <w:t xml:space="preserve">                        |  valeurs / valeur_defaut  |</w:t>
      </w:r>
    </w:p>
    <w:p>
      <w:pPr>
        <w:spacing w:after="0" w:before="0" w:line="240" w:lineRule="auto"/>
      </w:pPr>
      <w:r>
        <w:rPr>
          <w:rFonts w:ascii="Consolas" w:hAnsi="Consolas" w:cs="Consolas" w:eastAsia="Consolas"/>
          <w:sz w:val="18"/>
        </w:rPr>
        <w:t xml:space="preserve">                        |  3 drapeaux + deleted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reference           |            reference</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 pivot_plan_d_indexation_indices |          |   document_index_values     |</w:t>
      </w:r>
    </w:p>
    <w:p>
      <w:pPr>
        <w:spacing w:after="0" w:before="0" w:line="240" w:lineRule="auto"/>
      </w:pPr>
      <w:r>
        <w:rPr>
          <w:rFonts w:ascii="Consolas" w:hAnsi="Consolas" w:cs="Consolas" w:eastAsia="Consolas"/>
          <w:sz w:val="18"/>
        </w:rPr>
        <w:t xml:space="preserve">  |  plan_d_indexation_id           |          |    document_id              |</w:t>
      </w:r>
    </w:p>
    <w:p>
      <w:pPr>
        <w:spacing w:after="0" w:before="0" w:line="240" w:lineRule="auto"/>
      </w:pPr>
      <w:r>
        <w:rPr>
          <w:rFonts w:ascii="Consolas" w:hAnsi="Consolas" w:cs="Consolas" w:eastAsia="Consolas"/>
          <w:sz w:val="18"/>
        </w:rPr>
        <w:t xml:space="preserve">  |  index_id                       |          |    index_field_id           |</w:t>
      </w:r>
    </w:p>
    <w:p>
      <w:pPr>
        <w:spacing w:after="0" w:before="0" w:line="240" w:lineRule="auto"/>
      </w:pPr>
      <w:r>
        <w:rPr>
          <w:rFonts w:ascii="Consolas" w:hAnsi="Consolas" w:cs="Consolas" w:eastAsia="Consolas"/>
          <w:sz w:val="18"/>
        </w:rPr>
        <w:t xml:space="preserve">  |  position  (ordre du nommage)   |          |    valeur (texte)           |</w:t>
      </w:r>
    </w:p>
    <w:p>
      <w:pPr>
        <w:spacing w:after="0" w:before="0" w:line="240" w:lineRule="auto"/>
      </w:pPr>
      <w:r>
        <w:rPr>
          <w:rFonts w:ascii="Consolas" w:hAnsi="Consolas" w:cs="Consolas" w:eastAsia="Consolas"/>
          <w:sz w:val="18"/>
        </w:rPr>
        <w:t xml:space="preserve">  +-----+---------------------------+          |  unique (document, index)   |</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v                                                     v</w:t>
      </w:r>
    </w:p>
    <w:p>
      <w:pPr>
        <w:spacing w:after="0" w:before="0" w:line="240" w:lineRule="auto"/>
      </w:pPr>
      <w:r>
        <w:rPr>
          <w:rFonts w:ascii="Consolas" w:hAnsi="Consolas" w:cs="Consolas" w:eastAsia="Consolas"/>
          <w:sz w:val="18"/>
        </w:rPr>
        <w:t xml:space="preserve">  PLAN D'INDEXATION  --- porte par ---&gt;  TYPE DE DOCUMENT ---&gt;  DOCUMENT</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Sens de lecture : l'index ignore tout de ses utilisateurs.</w:t>
      </w:r>
    </w:p>
    <w:p>
      <w:pPr>
        <w:spacing w:after="0" w:before="0" w:line="240" w:lineRule="auto"/>
      </w:pPr>
      <w:r>
        <w:rPr>
          <w:rFonts w:ascii="Consolas" w:hAnsi="Consolas" w:cs="Consolas" w:eastAsia="Consolas"/>
          <w:sz w:val="18"/>
        </w:rPr>
        <w:t xml:space="preserve">  Suppression = bascule d'un indicateur ; aucune ligne n'est retiree,</w:t>
      </w:r>
    </w:p>
    <w:p>
      <w:pPr>
        <w:spacing w:after="0" w:before="0" w:line="240" w:lineRule="auto"/>
      </w:pPr>
      <w:r>
        <w:rPr>
          <w:rFonts w:ascii="Consolas" w:hAnsi="Consolas" w:cs="Consolas" w:eastAsia="Consolas"/>
          <w:sz w:val="18"/>
        </w:rPr>
        <w:t xml:space="preserve">  aucune cle etrangere ne casse.</w:t>
      </w:r>
    </w:p>
    <w:p>
      <w:pPr>
        <w:spacing w:after="80"/>
      </w:pPr>
    </w:p>
    <w:p>
      <w:r>
        <w:br w:type="page"/>
      </w:r>
    </w:p>
    <w:p>
      <w:pPr>
        <w:pStyle w:val="Heading1"/>
      </w:pPr>
      <w:r>
        <w:t>4. Les opérations disponibles</w:t>
      </w:r>
    </w:p>
    <w:p>
      <w:r>
        <w:rPr>
          <w:b w:val="0"/>
          <w:i w:val="0"/>
        </w:rPr>
        <w:t>Toutes les adresses sont préfixées par « /api/v1/indices ». Les paramètres de liste — numéro de page, taille, terme recherché, colonne et sens de tri — sont communs aux deux listes.</w:t>
      </w:r>
    </w:p>
    <w:tbl>
      <w:tblPr>
        <w:tblStyle w:val="LightGrid-Accent1"/>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928"/>
          </w:tcPr>
          <w:p>
            <w:pPr>
              <w:spacing w:after="40"/>
            </w:pPr>
            <w:r/>
            <w:r>
              <w:rPr>
                <w:b/>
                <w:sz w:val="18"/>
              </w:rPr>
              <w:t>Opération</w:t>
            </w:r>
          </w:p>
        </w:tc>
        <w:tc>
          <w:tcPr>
            <w:tcW w:type="dxa" w:w="1701"/>
          </w:tcPr>
          <w:p>
            <w:pPr>
              <w:spacing w:after="40"/>
            </w:pPr>
            <w:r/>
            <w:r>
              <w:rPr>
                <w:b/>
                <w:sz w:val="18"/>
              </w:rPr>
              <w:t>Ce qu'elle fait</w:t>
            </w:r>
          </w:p>
        </w:tc>
        <w:tc>
          <w:tcPr>
            <w:tcW w:type="dxa" w:w="1928"/>
          </w:tcPr>
          <w:p>
            <w:pPr>
              <w:spacing w:after="40"/>
            </w:pPr>
            <w:r/>
            <w:r>
              <w:rPr>
                <w:b/>
                <w:sz w:val="18"/>
              </w:rPr>
              <w:t>Ce qu'elle exige</w:t>
            </w:r>
          </w:p>
        </w:tc>
        <w:tc>
          <w:tcPr>
            <w:tcW w:type="dxa" w:w="1474"/>
          </w:tcPr>
          <w:p>
            <w:pPr>
              <w:spacing w:after="40"/>
            </w:pPr>
            <w:r/>
            <w:r>
              <w:rPr>
                <w:b/>
                <w:sz w:val="18"/>
              </w:rPr>
              <w:t>Ce qu'elle renvoie</w:t>
            </w:r>
          </w:p>
        </w:tc>
        <w:tc>
          <w:tcPr>
            <w:tcW w:type="dxa" w:w="2608"/>
          </w:tcPr>
          <w:p>
            <w:pPr>
              <w:spacing w:after="40"/>
            </w:pPr>
            <w:r/>
            <w:r>
              <w:rPr>
                <w:b/>
                <w:sz w:val="18"/>
              </w:rPr>
              <w:t>Ce qu'elle refuse</w:t>
            </w:r>
          </w:p>
        </w:tc>
      </w:tr>
      <w:tr>
        <w:tc>
          <w:tcPr>
            <w:tcW w:type="dxa" w:w="1928"/>
          </w:tcPr>
          <w:p>
            <w:pPr>
              <w:spacing w:after="40"/>
            </w:pPr>
            <w:r/>
            <w:r>
              <w:rPr>
                <w:sz w:val="18"/>
              </w:rPr>
              <w:t>GET /api/v1/indices</w:t>
            </w:r>
          </w:p>
        </w:tc>
        <w:tc>
          <w:tcPr>
            <w:tcW w:type="dxa" w:w="1701"/>
          </w:tcPr>
          <w:p>
            <w:pPr>
              <w:spacing w:after="40"/>
            </w:pPr>
            <w:r/>
            <w:r>
              <w:rPr>
                <w:sz w:val="18"/>
              </w:rPr>
              <w:t>Liste paginée des index actifs.</w:t>
            </w:r>
          </w:p>
        </w:tc>
        <w:tc>
          <w:tcPr>
            <w:tcW w:type="dxa" w:w="1928"/>
          </w:tcPr>
          <w:p>
            <w:pPr>
              <w:spacing w:after="40"/>
            </w:pPr>
            <w:r/>
            <w:r>
              <w:rPr>
                <w:sz w:val="18"/>
              </w:rPr>
              <w:t>Rien. Les paramètres page (0), size (10), search (vide), sortBy et sortDir sont facultatifs.</w:t>
            </w:r>
          </w:p>
        </w:tc>
        <w:tc>
          <w:tcPr>
            <w:tcW w:type="dxa" w:w="1474"/>
          </w:tcPr>
          <w:p>
            <w:pPr>
              <w:spacing w:after="40"/>
            </w:pPr>
            <w:r/>
            <w:r>
              <w:rPr>
                <w:sz w:val="18"/>
              </w:rPr>
              <w:t>200 : contenu, total, page courante, taille et nombre de pages.</w:t>
            </w:r>
          </w:p>
        </w:tc>
        <w:tc>
          <w:tcPr>
            <w:tcW w:type="dxa" w:w="2608"/>
          </w:tcPr>
          <w:p>
            <w:pPr>
              <w:spacing w:after="40"/>
            </w:pPr>
            <w:r/>
            <w:r>
              <w:rPr>
                <w:sz w:val="18"/>
              </w:rPr>
              <w:t>400 si le numéro de page est négatif ou produit un décalage hors limites.</w:t>
            </w:r>
          </w:p>
        </w:tc>
      </w:tr>
      <w:tr>
        <w:tc>
          <w:tcPr>
            <w:tcW w:type="dxa" w:w="1928"/>
          </w:tcPr>
          <w:p>
            <w:pPr>
              <w:spacing w:after="40"/>
            </w:pPr>
            <w:r/>
            <w:r>
              <w:rPr>
                <w:sz w:val="18"/>
              </w:rPr>
              <w:t>GET /api/v1/indices/trashed</w:t>
            </w:r>
          </w:p>
        </w:tc>
        <w:tc>
          <w:tcPr>
            <w:tcW w:type="dxa" w:w="1701"/>
          </w:tcPr>
          <w:p>
            <w:pPr>
              <w:spacing w:after="40"/>
            </w:pPr>
            <w:r/>
            <w:r>
              <w:rPr>
                <w:sz w:val="18"/>
              </w:rPr>
              <w:t>Même liste, restreinte aux index en corbeille.</w:t>
            </w:r>
          </w:p>
        </w:tc>
        <w:tc>
          <w:tcPr>
            <w:tcW w:type="dxa" w:w="1928"/>
          </w:tcPr>
          <w:p>
            <w:pPr>
              <w:spacing w:after="40"/>
            </w:pPr>
            <w:r/>
            <w:r>
              <w:rPr>
                <w:sz w:val="18"/>
              </w:rPr>
              <w:t>Mêmes paramètres.</w:t>
            </w:r>
          </w:p>
        </w:tc>
        <w:tc>
          <w:tcPr>
            <w:tcW w:type="dxa" w:w="1474"/>
          </w:tcPr>
          <w:p>
            <w:pPr>
              <w:spacing w:after="40"/>
            </w:pPr>
            <w:r/>
            <w:r>
              <w:rPr>
                <w:sz w:val="18"/>
              </w:rPr>
              <w:t>200, même enveloppe.</w:t>
            </w:r>
          </w:p>
        </w:tc>
        <w:tc>
          <w:tcPr>
            <w:tcW w:type="dxa" w:w="2608"/>
          </w:tcPr>
          <w:p>
            <w:pPr>
              <w:spacing w:after="40"/>
            </w:pPr>
            <w:r/>
            <w:r>
              <w:rPr>
                <w:sz w:val="18"/>
              </w:rPr>
              <w:t>Idem.</w:t>
            </w:r>
          </w:p>
        </w:tc>
      </w:tr>
      <w:tr>
        <w:tc>
          <w:tcPr>
            <w:tcW w:type="dxa" w:w="1928"/>
          </w:tcPr>
          <w:p>
            <w:pPr>
              <w:spacing w:after="40"/>
            </w:pPr>
            <w:r/>
            <w:r>
              <w:rPr>
                <w:sz w:val="18"/>
              </w:rPr>
              <w:t>GET /api/v1/indices/for-select</w:t>
            </w:r>
          </w:p>
        </w:tc>
        <w:tc>
          <w:tcPr>
            <w:tcW w:type="dxa" w:w="1701"/>
          </w:tcPr>
          <w:p>
            <w:pPr>
              <w:spacing w:after="40"/>
            </w:pPr>
            <w:r/>
            <w:r>
              <w:rPr>
                <w:sz w:val="18"/>
              </w:rPr>
              <w:t>Liste allégée pour les sélecteurs : identifiant et nom, dans l'ordre de création croissant.</w:t>
            </w:r>
          </w:p>
        </w:tc>
        <w:tc>
          <w:tcPr>
            <w:tcW w:type="dxa" w:w="1928"/>
          </w:tcPr>
          <w:p>
            <w:pPr>
              <w:spacing w:after="40"/>
            </w:pPr>
            <w:r/>
            <w:r>
              <w:rPr>
                <w:sz w:val="18"/>
              </w:rPr>
              <w:t>Rien.</w:t>
            </w:r>
          </w:p>
        </w:tc>
        <w:tc>
          <w:tcPr>
            <w:tcW w:type="dxa" w:w="1474"/>
          </w:tcPr>
          <w:p>
            <w:pPr>
              <w:spacing w:after="40"/>
            </w:pPr>
            <w:r/>
            <w:r>
              <w:rPr>
                <w:sz w:val="18"/>
              </w:rPr>
              <w:t>200 : tableau d'objets à deux clés.</w:t>
            </w:r>
          </w:p>
        </w:tc>
        <w:tc>
          <w:tcPr>
            <w:tcW w:type="dxa" w:w="2608"/>
          </w:tcPr>
          <w:p>
            <w:pPr>
              <w:spacing w:after="40"/>
            </w:pPr>
            <w:r/>
            <w:r>
              <w:rPr>
                <w:sz w:val="18"/>
              </w:rPr>
              <w:t>Rien. La corbeille est exclue d'office.</w:t>
            </w:r>
          </w:p>
        </w:tc>
      </w:tr>
      <w:tr>
        <w:tc>
          <w:tcPr>
            <w:tcW w:type="dxa" w:w="1928"/>
          </w:tcPr>
          <w:p>
            <w:pPr>
              <w:spacing w:after="40"/>
            </w:pPr>
            <w:r/>
            <w:r>
              <w:rPr>
                <w:sz w:val="18"/>
              </w:rPr>
              <w:t>GET /api/v1/indices/{id}</w:t>
            </w:r>
          </w:p>
        </w:tc>
        <w:tc>
          <w:tcPr>
            <w:tcW w:type="dxa" w:w="1701"/>
          </w:tcPr>
          <w:p>
            <w:pPr>
              <w:spacing w:after="40"/>
            </w:pPr>
            <w:r/>
            <w:r>
              <w:rPr>
                <w:sz w:val="18"/>
              </w:rPr>
              <w:t>Fiche complète d'un index.</w:t>
            </w:r>
          </w:p>
        </w:tc>
        <w:tc>
          <w:tcPr>
            <w:tcW w:type="dxa" w:w="1928"/>
          </w:tcPr>
          <w:p>
            <w:pPr>
              <w:spacing w:after="40"/>
            </w:pPr>
            <w:r/>
            <w:r>
              <w:rPr>
                <w:sz w:val="18"/>
              </w:rPr>
              <w:t>Un identifiant.</w:t>
            </w:r>
          </w:p>
        </w:tc>
        <w:tc>
          <w:tcPr>
            <w:tcW w:type="dxa" w:w="1474"/>
          </w:tcPr>
          <w:p>
            <w:pPr>
              <w:spacing w:after="40"/>
            </w:pPr>
            <w:r/>
            <w:r>
              <w:rPr>
                <w:sz w:val="18"/>
              </w:rPr>
              <w:t>200 : la fiche.</w:t>
            </w:r>
          </w:p>
        </w:tc>
        <w:tc>
          <w:tcPr>
            <w:tcW w:type="dxa" w:w="2608"/>
          </w:tcPr>
          <w:p>
            <w:pPr>
              <w:spacing w:after="40"/>
            </w:pPr>
            <w:r/>
            <w:r>
              <w:rPr>
                <w:sz w:val="18"/>
              </w:rPr>
              <w:t>404 si l'identifiant n'existe pas. Un index en corbeille est renvoyé normalement.</w:t>
            </w:r>
          </w:p>
        </w:tc>
      </w:tr>
      <w:tr>
        <w:tc>
          <w:tcPr>
            <w:tcW w:type="dxa" w:w="1928"/>
          </w:tcPr>
          <w:p>
            <w:pPr>
              <w:spacing w:after="40"/>
            </w:pPr>
            <w:r/>
            <w:r>
              <w:rPr>
                <w:sz w:val="18"/>
              </w:rPr>
              <w:t>POST /api/v1/indices</w:t>
            </w:r>
          </w:p>
        </w:tc>
        <w:tc>
          <w:tcPr>
            <w:tcW w:type="dxa" w:w="1701"/>
          </w:tcPr>
          <w:p>
            <w:pPr>
              <w:spacing w:after="40"/>
            </w:pPr>
            <w:r/>
            <w:r>
              <w:rPr>
                <w:sz w:val="18"/>
              </w:rPr>
              <w:t>Crée un index.</w:t>
            </w:r>
          </w:p>
        </w:tc>
        <w:tc>
          <w:tcPr>
            <w:tcW w:type="dxa" w:w="1928"/>
          </w:tcPr>
          <w:p>
            <w:pPr>
              <w:spacing w:after="40"/>
            </w:pPr>
            <w:r/>
            <w:r>
              <w:rPr>
                <w:sz w:val="18"/>
              </w:rPr>
              <w:t>Un corps JSON complet : code, nom, type de champ ; valeurs, valeur par défaut et les trois drapeaux sont facultatifs.</w:t>
            </w:r>
          </w:p>
        </w:tc>
        <w:tc>
          <w:tcPr>
            <w:tcW w:type="dxa" w:w="1474"/>
          </w:tcPr>
          <w:p>
            <w:pPr>
              <w:spacing w:after="40"/>
            </w:pPr>
            <w:r/>
            <w:r>
              <w:rPr>
                <w:sz w:val="18"/>
              </w:rPr>
              <w:t>201 : la fiche créée, identifiant compris.</w:t>
            </w:r>
          </w:p>
        </w:tc>
        <w:tc>
          <w:tcPr>
            <w:tcW w:type="dxa" w:w="2608"/>
          </w:tcPr>
          <w:p>
            <w:pPr>
              <w:spacing w:after="40"/>
            </w:pPr>
            <w:r/>
            <w:r>
              <w:rPr>
                <w:sz w:val="18"/>
              </w:rPr>
              <w:t>400 si un champ obligatoire manque, si le code est déjà pris, ou si le type n'est pas l'une des quatre valeurs admises.</w:t>
            </w:r>
          </w:p>
        </w:tc>
      </w:tr>
      <w:tr>
        <w:tc>
          <w:tcPr>
            <w:tcW w:type="dxa" w:w="1928"/>
          </w:tcPr>
          <w:p>
            <w:pPr>
              <w:spacing w:after="40"/>
            </w:pPr>
            <w:r/>
            <w:r>
              <w:rPr>
                <w:sz w:val="18"/>
              </w:rPr>
              <w:t>PUT /api/v1/indices/{id}</w:t>
            </w:r>
          </w:p>
        </w:tc>
        <w:tc>
          <w:tcPr>
            <w:tcW w:type="dxa" w:w="1701"/>
          </w:tcPr>
          <w:p>
            <w:pPr>
              <w:spacing w:after="40"/>
            </w:pPr>
            <w:r/>
            <w:r>
              <w:rPr>
                <w:sz w:val="18"/>
              </w:rPr>
              <w:t>Remplace intégralement la définition d'un index.</w:t>
            </w:r>
          </w:p>
        </w:tc>
        <w:tc>
          <w:tcPr>
            <w:tcW w:type="dxa" w:w="1928"/>
          </w:tcPr>
          <w:p>
            <w:pPr>
              <w:spacing w:after="40"/>
            </w:pPr>
            <w:r/>
            <w:r>
              <w:rPr>
                <w:sz w:val="18"/>
              </w:rPr>
              <w:t>Un identifiant et le même corps qu'à la création.</w:t>
            </w:r>
          </w:p>
        </w:tc>
        <w:tc>
          <w:tcPr>
            <w:tcW w:type="dxa" w:w="1474"/>
          </w:tcPr>
          <w:p>
            <w:pPr>
              <w:spacing w:after="40"/>
            </w:pPr>
            <w:r/>
            <w:r>
              <w:rPr>
                <w:sz w:val="18"/>
              </w:rPr>
              <w:t>200 : la fiche mise à jour.</w:t>
            </w:r>
          </w:p>
        </w:tc>
        <w:tc>
          <w:tcPr>
            <w:tcW w:type="dxa" w:w="2608"/>
          </w:tcPr>
          <w:p>
            <w:pPr>
              <w:spacing w:after="40"/>
            </w:pPr>
            <w:r/>
            <w:r>
              <w:rPr>
                <w:sz w:val="18"/>
              </w:rPr>
              <w:t>404 si l'index n'existe pas ; 400 dans les mêmes cas qu'à la création.</w:t>
            </w:r>
          </w:p>
        </w:tc>
      </w:tr>
      <w:tr>
        <w:tc>
          <w:tcPr>
            <w:tcW w:type="dxa" w:w="1928"/>
          </w:tcPr>
          <w:p>
            <w:pPr>
              <w:spacing w:after="40"/>
            </w:pPr>
            <w:r/>
            <w:r>
              <w:rPr>
                <w:sz w:val="18"/>
              </w:rPr>
              <w:t>DELETE /api/v1/indices/{id}</w:t>
            </w:r>
          </w:p>
        </w:tc>
        <w:tc>
          <w:tcPr>
            <w:tcW w:type="dxa" w:w="1701"/>
          </w:tcPr>
          <w:p>
            <w:pPr>
              <w:spacing w:after="40"/>
            </w:pPr>
            <w:r/>
            <w:r>
              <w:rPr>
                <w:sz w:val="18"/>
              </w:rPr>
              <w:t>Met l'index à la corbeille.</w:t>
            </w:r>
          </w:p>
        </w:tc>
        <w:tc>
          <w:tcPr>
            <w:tcW w:type="dxa" w:w="1928"/>
          </w:tcPr>
          <w:p>
            <w:pPr>
              <w:spacing w:after="40"/>
            </w:pPr>
            <w:r/>
            <w:r>
              <w:rPr>
                <w:sz w:val="18"/>
              </w:rPr>
              <w:t>Un identifiant.</w:t>
            </w:r>
          </w:p>
        </w:tc>
        <w:tc>
          <w:tcPr>
            <w:tcW w:type="dxa" w:w="1474"/>
          </w:tcPr>
          <w:p>
            <w:pPr>
              <w:spacing w:after="40"/>
            </w:pPr>
            <w:r/>
            <w:r>
              <w:rPr>
                <w:sz w:val="18"/>
              </w:rPr>
              <w:t>204, sans corps.</w:t>
            </w:r>
          </w:p>
        </w:tc>
        <w:tc>
          <w:tcPr>
            <w:tcW w:type="dxa" w:w="2608"/>
          </w:tcPr>
          <w:p>
            <w:pPr>
              <w:spacing w:after="40"/>
            </w:pPr>
            <w:r/>
            <w:r>
              <w:rPr>
                <w:sz w:val="18"/>
              </w:rPr>
              <w:t>404 si l'index n'existe pas. Un index déjà en corbeille est accepté sans changement visible.</w:t>
            </w:r>
          </w:p>
        </w:tc>
      </w:tr>
      <w:tr>
        <w:tc>
          <w:tcPr>
            <w:tcW w:type="dxa" w:w="1928"/>
          </w:tcPr>
          <w:p>
            <w:pPr>
              <w:spacing w:after="40"/>
            </w:pPr>
            <w:r/>
            <w:r>
              <w:rPr>
                <w:sz w:val="18"/>
              </w:rPr>
              <w:t>PATCH /api/v1/indices/{id}/restore</w:t>
            </w:r>
          </w:p>
        </w:tc>
        <w:tc>
          <w:tcPr>
            <w:tcW w:type="dxa" w:w="1701"/>
          </w:tcPr>
          <w:p>
            <w:pPr>
              <w:spacing w:after="40"/>
            </w:pPr>
            <w:r/>
            <w:r>
              <w:rPr>
                <w:sz w:val="18"/>
              </w:rPr>
              <w:t>Sort l'index de la corbeille.</w:t>
            </w:r>
          </w:p>
        </w:tc>
        <w:tc>
          <w:tcPr>
            <w:tcW w:type="dxa" w:w="1928"/>
          </w:tcPr>
          <w:p>
            <w:pPr>
              <w:spacing w:after="40"/>
            </w:pPr>
            <w:r/>
            <w:r>
              <w:rPr>
                <w:sz w:val="18"/>
              </w:rPr>
              <w:t>Un identifiant.</w:t>
            </w:r>
          </w:p>
        </w:tc>
        <w:tc>
          <w:tcPr>
            <w:tcW w:type="dxa" w:w="1474"/>
          </w:tcPr>
          <w:p>
            <w:pPr>
              <w:spacing w:after="40"/>
            </w:pPr>
            <w:r/>
            <w:r>
              <w:rPr>
                <w:sz w:val="18"/>
              </w:rPr>
              <w:t>204, sans corps.</w:t>
            </w:r>
          </w:p>
        </w:tc>
        <w:tc>
          <w:tcPr>
            <w:tcW w:type="dxa" w:w="2608"/>
          </w:tcPr>
          <w:p>
            <w:pPr>
              <w:spacing w:after="40"/>
            </w:pPr>
            <w:r/>
            <w:r>
              <w:rPr>
                <w:sz w:val="18"/>
              </w:rPr>
              <w:t>404 si l'index n'existe pas.</w:t>
            </w:r>
          </w:p>
        </w:tc>
      </w:tr>
      <w:tr>
        <w:tc>
          <w:tcPr>
            <w:tcW w:type="dxa" w:w="1928"/>
          </w:tcPr>
          <w:p>
            <w:pPr>
              <w:spacing w:after="40"/>
            </w:pPr>
            <w:r/>
            <w:r>
              <w:rPr>
                <w:sz w:val="18"/>
              </w:rPr>
              <w:t>DELETE /api/v1/indices/multiple-delete</w:t>
            </w:r>
          </w:p>
        </w:tc>
        <w:tc>
          <w:tcPr>
            <w:tcW w:type="dxa" w:w="1701"/>
          </w:tcPr>
          <w:p>
            <w:pPr>
              <w:spacing w:after="40"/>
            </w:pPr>
            <w:r/>
            <w:r>
              <w:rPr>
                <w:sz w:val="18"/>
              </w:rPr>
              <w:t>Met à la corbeille tous les index désignés.</w:t>
            </w:r>
          </w:p>
        </w:tc>
        <w:tc>
          <w:tcPr>
            <w:tcW w:type="dxa" w:w="1928"/>
          </w:tcPr>
          <w:p>
            <w:pPr>
              <w:spacing w:after="40"/>
            </w:pPr>
            <w:r/>
            <w:r>
              <w:rPr>
                <w:sz w:val="18"/>
              </w:rPr>
              <w:t>Un corps JSON contenant une liste d'identifiants sous la clé « ids ».</w:t>
            </w:r>
          </w:p>
        </w:tc>
        <w:tc>
          <w:tcPr>
            <w:tcW w:type="dxa" w:w="1474"/>
          </w:tcPr>
          <w:p>
            <w:pPr>
              <w:spacing w:after="40"/>
            </w:pPr>
            <w:r/>
            <w:r>
              <w:rPr>
                <w:sz w:val="18"/>
              </w:rPr>
              <w:t>204, sans corps.</w:t>
            </w:r>
          </w:p>
        </w:tc>
        <w:tc>
          <w:tcPr>
            <w:tcW w:type="dxa" w:w="2608"/>
          </w:tcPr>
          <w:p>
            <w:pPr>
              <w:spacing w:after="40"/>
            </w:pPr>
            <w:r/>
            <w:r>
              <w:rPr>
                <w:sz w:val="18"/>
              </w:rPr>
              <w:t>Rien : les identifiants inconnus ou déjà en corbeille sont ignorés en silence.</w:t>
            </w:r>
          </w:p>
        </w:tc>
      </w:tr>
      <w:tr>
        <w:tc>
          <w:tcPr>
            <w:tcW w:type="dxa" w:w="1928"/>
          </w:tcPr>
          <w:p>
            <w:pPr>
              <w:spacing w:after="40"/>
            </w:pPr>
            <w:r/>
            <w:r>
              <w:rPr>
                <w:sz w:val="18"/>
              </w:rPr>
              <w:t>PATCH /api/v1/indices/multiple-restore</w:t>
            </w:r>
          </w:p>
        </w:tc>
        <w:tc>
          <w:tcPr>
            <w:tcW w:type="dxa" w:w="1701"/>
          </w:tcPr>
          <w:p>
            <w:pPr>
              <w:spacing w:after="40"/>
            </w:pPr>
            <w:r/>
            <w:r>
              <w:rPr>
                <w:sz w:val="18"/>
              </w:rPr>
              <w:t>Restaure tous les index désignés.</w:t>
            </w:r>
          </w:p>
        </w:tc>
        <w:tc>
          <w:tcPr>
            <w:tcW w:type="dxa" w:w="1928"/>
          </w:tcPr>
          <w:p>
            <w:pPr>
              <w:spacing w:after="40"/>
            </w:pPr>
            <w:r/>
            <w:r>
              <w:rPr>
                <w:sz w:val="18"/>
              </w:rPr>
              <w:t>Même corps.</w:t>
            </w:r>
          </w:p>
        </w:tc>
        <w:tc>
          <w:tcPr>
            <w:tcW w:type="dxa" w:w="1474"/>
          </w:tcPr>
          <w:p>
            <w:pPr>
              <w:spacing w:after="40"/>
            </w:pPr>
            <w:r/>
            <w:r>
              <w:rPr>
                <w:sz w:val="18"/>
              </w:rPr>
              <w:t>204, sans corps.</w:t>
            </w:r>
          </w:p>
        </w:tc>
        <w:tc>
          <w:tcPr>
            <w:tcW w:type="dxa" w:w="2608"/>
          </w:tcPr>
          <w:p>
            <w:pPr>
              <w:spacing w:after="40"/>
            </w:pPr>
            <w:r/>
            <w:r>
              <w:rPr>
                <w:sz w:val="18"/>
              </w:rPr>
              <w:t>Rien, pour la même raison.</w:t>
            </w:r>
          </w:p>
        </w:tc>
      </w:tr>
    </w:tbl>
    <w:p>
      <w:pPr>
        <w:spacing w:after="80"/>
      </w:pPr>
    </w:p>
    <w:p>
      <w:pPr>
        <w:pStyle w:val="Heading2"/>
      </w:pPr>
      <w:r>
        <w:t>4.1 Deux remarques sur la forme des opérations</w:t>
      </w:r>
    </w:p>
    <w:p>
      <w:r>
        <w:rPr>
          <w:b w:val="0"/>
          <w:i w:val="0"/>
        </w:rPr>
        <w:t>La suppression groupée est exposée en DELETE avec un corps de requête. Ce n'est pas la forme la plus orthodoxe — un corps sur un DELETE reste faiblement spécifié — mais elle est cohérente sur les huit écrans de liste de l'application, et le client HTTP du frontend la produit sans difficulté. L'adresse littérale « multiple-delete » ne peut pas entrer en conflit avec le gabarit « {id} » : un chemin littéral l'emporte sur un gabarit dans la résolution des routes.</w:t>
      </w:r>
    </w:p>
    <w:p>
      <w:r>
        <w:rPr>
          <w:b w:val="0"/>
          <w:i w:val="0"/>
        </w:rPr>
        <w:t>Les deux opérations groupées ne renvoient aucun compte rendu. L'écran ne peut donc pas savoir combien d'index ont réellement changé d'état ; il affiche le nombre qu'il avait sélectionné. Tant que la sélection provient de la liste affichée, les deux nombres coïncident.</w:t>
      </w:r>
    </w:p>
    <w:p>
      <w:r>
        <w:br w:type="page"/>
      </w:r>
    </w:p>
    <w:p>
      <w:pPr>
        <w:pStyle w:val="Heading1"/>
      </w:pPr>
      <w:r>
        <w:t>5. Les règles vérifiées côté serveur</w:t>
      </w:r>
    </w:p>
    <w:p>
      <w:r>
        <w:rPr>
          <w:b w:val="0"/>
          <w:i w:val="0"/>
        </w:rPr>
        <w:t>Les règles sont classées de la plus structurante à la plus technique. Chacune indique si elle est également vérifiée côté écran, ou si elle n'existe qu'ici.</w:t>
      </w:r>
    </w:p>
    <w:p>
      <w:pPr>
        <w:pStyle w:val="Heading2"/>
      </w:pPr>
      <w:r>
        <w:t>5.1 Règles de validité du formulaire</w:t>
      </w:r>
    </w:p>
    <w:p>
      <w:pPr>
        <w:pStyle w:val="Heading3"/>
      </w:pPr>
      <w:r>
        <w:t>Règle 1 — Le code est obligatoire</w:t>
      </w:r>
    </w:p>
    <w:p>
      <w:r>
        <w:rPr>
          <w:b w:val="0"/>
          <w:i w:val="0"/>
        </w:rPr>
        <w:t>Un code absent, vide ou composé uniquement d'espaces est refusé, avec le message « Le code est obligatoire » rattaché au champ « code ». Vérifiée aussi côté écran, où le même message s'affiche sous le champ. Pourquoi : le code est l'identifiant métier de l'index et le support de la contrainte d'unicité ; un index sans code ne serait désignable que par son numéro technique.</w:t>
      </w:r>
    </w:p>
    <w:p>
      <w:pPr>
        <w:pStyle w:val="Heading3"/>
      </w:pPr>
      <w:r>
        <w:t>Règle 2 — Le nom de l'index est obligatoire</w:t>
      </w:r>
    </w:p>
    <w:p>
      <w:r>
        <w:rPr>
          <w:b w:val="0"/>
          <w:i w:val="0"/>
        </w:rPr>
        <w:t>Même traitement, avec le message « Le nom de l'index est obligatoire » rattaché au champ « nomIndex ». Vérifiée aussi côté écran, mais l'écran affiche une formulation plus courte, « Le nom est obligatoire ». Les deux messages coexistent sans se contredire : celui de l'écran est le seul que l'utilisateur voit en pratique, puisque le formulaire ne laisse pas partir une requête incomplète. Pourquoi : le nom est le libellé affiché à chaque étape d'indexation ; sans lui, l'opérateur ne saurait pas ce qu'on lui demande de renseigner.</w:t>
      </w:r>
    </w:p>
    <w:p>
      <w:pPr>
        <w:pStyle w:val="Heading3"/>
      </w:pPr>
      <w:r>
        <w:t>Règle 3 — Le type de champ est obligatoire et fermé</w:t>
      </w:r>
    </w:p>
    <w:p>
      <w:r>
        <w:rPr>
          <w:b w:val="0"/>
          <w:i w:val="0"/>
        </w:rPr>
        <w:t>Le type doit être présent et valoir exactement TEXTE, NOMBRE, DATE ou LISTE. Son absence produit le message « Le type de champ est obligatoire ». Une valeur hors énumération est refusée plus tôt encore, à la lecture du corps JSON, avant d'atteindre la couche de validation. Vérifiée aussi côté écran, sous une forme plus contraignante : la liste déroulante n'offre que les quatre valeurs et est pré-positionnée sur « Texte ». Pourquoi : le type commande tous les contrôles ultérieurs sur les valeurs saisies ; une cinquième valeur inconnue ferait échouer l'analyse de cas au moment du dépôt.</w:t>
      </w:r>
    </w:p>
    <w:p>
      <w:pPr>
        <w:pStyle w:val="Heading2"/>
      </w:pPr>
      <w:r>
        <w:t>5.2 Règles d'unicité et de normalisation</w:t>
      </w:r>
    </w:p>
    <w:p>
      <w:pPr>
        <w:pStyle w:val="Heading3"/>
      </w:pPr>
      <w:r>
        <w:t>Règle 4 — Le code doit être unique, sans égard à la casse</w:t>
      </w:r>
    </w:p>
    <w:p>
      <w:r>
        <w:rPr>
          <w:b w:val="0"/>
          <w:i w:val="0"/>
        </w:rPr>
        <w:t>À la création, le serveur vérifie qu'aucun index ne porte déjà ce code, la comparaison ignorant la casse. À la modification, la même vérification exclut l'index en cours d'édition, sans quoi tout enregistrement se refuserait lui-même. Le refus prend la forme d'un message construit : « Le code « IDX-FOURN » est déjà utilisé ». Cette règle n'existe que côté serveur : l'écran ne dispose pas de la liste complète des codes et ne peut pas l'anticiper ; il se contente d'afficher le message renvoyé. Pourquoi : deux codes identiques rendraient ambiguë toute réponse qui désigne un index par son code, à commencer par les critères de recherche et les valeurs d'index d'un document.</w:t>
      </w:r>
    </w:p>
    <w:p>
      <w:r>
        <w:rPr>
          <w:b w:val="0"/>
          <w:i w:val="0"/>
        </w:rPr>
        <w:t>Deux conséquences méritent d'être connues. D'une part, la vérification porte sur toute la table, corbeille comprise : un code utilisé par un index supprimé n'est pas réutilisable tant que cet index n'a pas été purgé — et aucune purge n'est prévue. D'autre part, la contrainte de base qui double le contrôle applicatif est sensible au classement de collation configuré sur la colonne ; sur une base MySQL en collation insensible à la casse, les deux contrôles coïncident, et le second ne sert que de filet.</w:t>
      </w:r>
    </w:p>
    <w:p>
      <w:pPr>
        <w:pStyle w:val="Heading3"/>
      </w:pPr>
      <w:r>
        <w:t>Règle 5 — Les options de liste ne survivent qu'au type LISTE</w:t>
      </w:r>
    </w:p>
    <w:p>
      <w:r>
        <w:rPr>
          <w:b w:val="0"/>
          <w:i w:val="0"/>
        </w:rPr>
        <w:t>Quel que soit le contenu de la requête, le serveur n'écrit les valeurs que si le type reçu est LISTE ; sur les trois autres types, il écrit une colonne vide. Vérifiée aussi côté écran, où le champ « Valeurs (Options) » n'apparaît qu'en type Liste et où le formulaire n'envoie rien d'autre dans les autres cas — mais le serveur ne s'appuie pas sur cette bonne conduite. Pourquoi : des options conservées en arrière-plan réapparaîtraient à la première rebascule vers le type LISTE, sans que personne ne sache d'où elles sortent.</w:t>
      </w:r>
    </w:p>
    <w:p>
      <w:pPr>
        <w:pStyle w:val="Heading3"/>
      </w:pPr>
      <w:r>
        <w:t>Règle 6 — Les chaînes vides deviennent des absences</w:t>
      </w:r>
    </w:p>
    <w:p>
      <w:r>
        <w:rPr>
          <w:b w:val="0"/>
          <w:i w:val="0"/>
        </w:rPr>
        <w:t>Les options de liste et la valeur par défaut passent par une normalisation qui remplace une chaîne vide ou composée d'espaces par une absence de valeur, et supprime les espaces de bord des chaînes utiles. Règle serveur uniquement. Pourquoi : sans elle, la base contiendrait deux façons de dire « rien », et chaque lecteur devrait tester les deux.</w:t>
      </w:r>
    </w:p>
    <w:p>
      <w:pPr>
        <w:pStyle w:val="Heading2"/>
      </w:pPr>
      <w:r>
        <w:t>5.3 Règles de lecture des listes</w:t>
      </w:r>
    </w:p>
    <w:p>
      <w:pPr>
        <w:pStyle w:val="Heading3"/>
      </w:pPr>
      <w:r>
        <w:t>Règle 7 — Le tri n'est accepté que sur des colonnes déclarées</w:t>
      </w:r>
    </w:p>
    <w:p>
      <w:r>
        <w:rPr>
          <w:b w:val="0"/>
          <w:i w:val="0"/>
        </w:rPr>
        <w:t>Le champ de tri demandé est confronté à une liste blanche : identifiant, code, nom de l'index, type de champ, et les trois drapeaux. Toute autre valeur est ignorée, et la liste retombe sur son ordre par défaut — identifiant décroissant, c'est-à-dire le plus récent d'abord. Le tri textuel est appliqué sans égard à la casse, faute de quoi « Validation » précéderait « validation » et l'ordre ne ressemblerait pas à un ordre alphabétique. Règle serveur uniquement. Pourquoi : un nom de colonne libre atteindrait directement le schéma de la table, et une colonne inexistante ferait remonter une erreur de base au client.</w:t>
      </w:r>
    </w:p>
    <w:p>
      <w:pPr>
        <w:pStyle w:val="Heading3"/>
      </w:pPr>
      <w:r>
        <w:t>Règle 8 — La pagination est bornée des deux côtés</w:t>
      </w:r>
    </w:p>
    <w:p>
      <w:r>
        <w:rPr>
          <w:b w:val="0"/>
          <w:i w:val="0"/>
        </w:rPr>
        <w:t>Une taille de page inférieure à 1 est ramenée à 10 ; une taille supérieure à 200 est ramenée à 200. Un numéro de page négatif est refusé avec le message « Le numéro de page ne peut pas être négatif ». Un numéro de page dont le décalage dépasse la capacité d'un entier est refusé avec la borne acceptable dans le message. Règle serveur uniquement. Pourquoi : une taille de page de cent mille lignes ne pagine plus rien, elle ramène la table entière et fait tomber le serveur avant l'écran ; et un décalage hors limites, s'il n'était pas arrêté ici, ressortirait en erreur interne alors qu'il s'agit d'une faute de l'appelant.</w:t>
      </w:r>
    </w:p>
    <w:p>
      <w:pPr>
        <w:pStyle w:val="Heading3"/>
      </w:pPr>
      <w:r>
        <w:t>Règle 9 — La recherche porte sur le seul libellé</w:t>
      </w:r>
    </w:p>
    <w:p>
      <w:r>
        <w:rPr>
          <w:b w:val="0"/>
          <w:i w:val="0"/>
        </w:rPr>
        <w:t>Le terme saisi est confronté au nom de l'index, en recherche par inclusion et sans égard à la casse. Il n'est confronté ni au code, ni aux options de liste. Règle serveur uniquement — l'écran se contente de transmettre le terme. Pourquoi : la contrainte est délibérée dans la mesure où la liste affiche le code, mais elle surprend l'administrateur qui cherche un index par son code. Ce point est repris en section 10.</w:t>
      </w:r>
    </w:p>
    <w:p>
      <w:pPr>
        <w:pStyle w:val="Heading2"/>
      </w:pPr>
      <w:r>
        <w:t>5.4 Une règle de la fiche fonctionnelle qui n'existe pas côté serveur</w:t>
      </w:r>
    </w:p>
    <w:p>
      <w:r>
        <w:rPr>
          <w:b w:val="0"/>
          <w:i w:val="0"/>
        </w:rPr>
        <w:t>La fiche d'instructions de cet écran pose que le type LISTE impose au moins une valeur et qu'une liste vide est refusée. Ce contrôle est bien implémenté, mais uniquement côté écran : le formulaire signale « Indiquez au moins une valeur » et bloque l'enregistrement tant qu'aucune option n'a été saisie. Le serveur, lui, accepte sans broncher un index de type LISTE dont les valeurs sont absentes. La conséquence n'est pas anodine et est développée en section 10.</w:t>
      </w:r>
    </w:p>
    <w:p>
      <w:r>
        <w:br w:type="page"/>
      </w:r>
    </w:p>
    <w:p>
      <w:pPr>
        <w:pStyle w:val="Heading1"/>
      </w:pPr>
      <w:r>
        <w:t>6. Les erreurs et les réponses</w:t>
      </w:r>
    </w:p>
    <w:p>
      <w:r>
        <w:rPr>
          <w:b w:val="0"/>
          <w:i w:val="0"/>
        </w:rPr>
        <w:t>Toutes les erreurs sont mises en forme par un gestionnaire unique, commun à l'application. Le corps de réponse comporte systématiquement un horodatage, le code de statut répété et un message ; les erreurs de validation y ajoutent un dictionnaire d'erreurs indexé par nom de champ. Cette régularité est ce qui permet à l'écran de lire toujours le même endroit.</w:t>
      </w:r>
    </w:p>
    <w:tbl>
      <w:tblPr>
        <w:tblStyle w:val="LightGrid-Accent1"/>
        <w:tblW w:type="auto" w:w="0"/>
        <w:jc w:val="center"/>
        <w:tblLayout w:type="fixed"/>
        <w:tblLook w:firstColumn="1" w:firstRow="1" w:lastColumn="0" w:lastRow="0" w:noHBand="0" w:noVBand="1" w:val="04A0"/>
      </w:tblPr>
      <w:tblGrid>
        <w:gridCol w:w="2409"/>
        <w:gridCol w:w="2409"/>
        <w:gridCol w:w="2409"/>
        <w:gridCol w:w="2409"/>
      </w:tblGrid>
      <w:tr>
        <w:tc>
          <w:tcPr>
            <w:tcW w:type="dxa" w:w="2268"/>
          </w:tcPr>
          <w:p>
            <w:pPr>
              <w:spacing w:after="40"/>
            </w:pPr>
            <w:r/>
            <w:r>
              <w:rPr>
                <w:b/>
                <w:sz w:val="18"/>
              </w:rPr>
              <w:t>Situation</w:t>
            </w:r>
          </w:p>
        </w:tc>
        <w:tc>
          <w:tcPr>
            <w:tcW w:type="dxa" w:w="737"/>
          </w:tcPr>
          <w:p>
            <w:pPr>
              <w:spacing w:after="40"/>
            </w:pPr>
            <w:r/>
            <w:r>
              <w:rPr>
                <w:b/>
                <w:sz w:val="18"/>
              </w:rPr>
              <w:t>Code</w:t>
            </w:r>
          </w:p>
        </w:tc>
        <w:tc>
          <w:tcPr>
            <w:tcW w:type="dxa" w:w="3175"/>
          </w:tcPr>
          <w:p>
            <w:pPr>
              <w:spacing w:after="40"/>
            </w:pPr>
            <w:r/>
            <w:r>
              <w:rPr>
                <w:b/>
                <w:sz w:val="18"/>
              </w:rPr>
              <w:t>Message renvoyé</w:t>
            </w:r>
          </w:p>
        </w:tc>
        <w:tc>
          <w:tcPr>
            <w:tcW w:type="dxa" w:w="3458"/>
          </w:tcPr>
          <w:p>
            <w:pPr>
              <w:spacing w:after="40"/>
            </w:pPr>
            <w:r/>
            <w:r>
              <w:rPr>
                <w:b/>
                <w:sz w:val="18"/>
              </w:rPr>
              <w:t>Ce que l'écran en fait</w:t>
            </w:r>
          </w:p>
        </w:tc>
      </w:tr>
      <w:tr>
        <w:tc>
          <w:tcPr>
            <w:tcW w:type="dxa" w:w="2268"/>
          </w:tcPr>
          <w:p>
            <w:pPr>
              <w:spacing w:after="40"/>
            </w:pPr>
            <w:r/>
            <w:r>
              <w:rPr>
                <w:sz w:val="18"/>
              </w:rPr>
              <w:t>Appel sans jeton, ou avec un jeton expiré ou mal signé</w:t>
            </w:r>
          </w:p>
        </w:tc>
        <w:tc>
          <w:tcPr>
            <w:tcW w:type="dxa" w:w="737"/>
          </w:tcPr>
          <w:p>
            <w:pPr>
              <w:spacing w:after="40"/>
            </w:pPr>
            <w:r/>
            <w:r>
              <w:rPr>
                <w:sz w:val="18"/>
              </w:rPr>
              <w:t>401</w:t>
            </w:r>
          </w:p>
        </w:tc>
        <w:tc>
          <w:tcPr>
            <w:tcW w:type="dxa" w:w="3175"/>
          </w:tcPr>
          <w:p>
            <w:pPr>
              <w:spacing w:after="40"/>
            </w:pPr>
            <w:r/>
            <w:r>
              <w:rPr>
                <w:sz w:val="18"/>
              </w:rPr>
              <w:t>Aucun corps — le point d'entrée d'authentification se contente de poser le statut.</w:t>
            </w:r>
          </w:p>
        </w:tc>
        <w:tc>
          <w:tcPr>
            <w:tcW w:type="dxa" w:w="3458"/>
          </w:tcPr>
          <w:p>
            <w:pPr>
              <w:spacing w:after="40"/>
            </w:pPr>
            <w:r/>
            <w:r>
              <w:rPr>
                <w:sz w:val="18"/>
              </w:rPr>
              <w:t>L'intercepteur du frontend renvoie l'utilisateur vers l'écran de connexion.</w:t>
            </w:r>
          </w:p>
        </w:tc>
      </w:tr>
      <w:tr>
        <w:tc>
          <w:tcPr>
            <w:tcW w:type="dxa" w:w="2268"/>
          </w:tcPr>
          <w:p>
            <w:pPr>
              <w:spacing w:after="40"/>
            </w:pPr>
            <w:r/>
            <w:r>
              <w:rPr>
                <w:sz w:val="18"/>
              </w:rPr>
              <w:t>Champ obligatoire manquant (code, nom, type)</w:t>
            </w:r>
          </w:p>
        </w:tc>
        <w:tc>
          <w:tcPr>
            <w:tcW w:type="dxa" w:w="737"/>
          </w:tcPr>
          <w:p>
            <w:pPr>
              <w:spacing w:after="40"/>
            </w:pPr>
            <w:r/>
            <w:r>
              <w:rPr>
                <w:sz w:val="18"/>
              </w:rPr>
              <w:t>400</w:t>
            </w:r>
          </w:p>
        </w:tc>
        <w:tc>
          <w:tcPr>
            <w:tcW w:type="dxa" w:w="3175"/>
          </w:tcPr>
          <w:p>
            <w:pPr>
              <w:spacing w:after="40"/>
            </w:pPr>
            <w:r/>
            <w:r>
              <w:rPr>
                <w:sz w:val="18"/>
              </w:rPr>
              <w:t>« Données invalides », accompagné d'un dictionnaire « errors » nommant chaque champ fautif et son message.</w:t>
            </w:r>
          </w:p>
        </w:tc>
        <w:tc>
          <w:tcPr>
            <w:tcW w:type="dxa" w:w="3458"/>
          </w:tcPr>
          <w:p>
            <w:pPr>
              <w:spacing w:after="40"/>
            </w:pPr>
            <w:r/>
            <w:r>
              <w:rPr>
                <w:sz w:val="18"/>
              </w:rPr>
              <w:t>Le cas ne se produit pas en usage normal, le formulaire bloquant en amont ; s'il se produit, l'écran affiche le message général.</w:t>
            </w:r>
          </w:p>
        </w:tc>
      </w:tr>
      <w:tr>
        <w:tc>
          <w:tcPr>
            <w:tcW w:type="dxa" w:w="2268"/>
          </w:tcPr>
          <w:p>
            <w:pPr>
              <w:spacing w:after="40"/>
            </w:pPr>
            <w:r/>
            <w:r>
              <w:rPr>
                <w:sz w:val="18"/>
              </w:rPr>
              <w:t>Type de champ absent de l'énumération</w:t>
            </w:r>
          </w:p>
        </w:tc>
        <w:tc>
          <w:tcPr>
            <w:tcW w:type="dxa" w:w="737"/>
          </w:tcPr>
          <w:p>
            <w:pPr>
              <w:spacing w:after="40"/>
            </w:pPr>
            <w:r/>
            <w:r>
              <w:rPr>
                <w:sz w:val="18"/>
              </w:rPr>
              <w:t>400</w:t>
            </w:r>
          </w:p>
        </w:tc>
        <w:tc>
          <w:tcPr>
            <w:tcW w:type="dxa" w:w="3175"/>
          </w:tcPr>
          <w:p>
            <w:pPr>
              <w:spacing w:after="40"/>
            </w:pPr>
            <w:r/>
            <w:r>
              <w:rPr>
                <w:sz w:val="18"/>
              </w:rPr>
              <w:t>Réponse d'erreur par défaut du socle, sans clé « message » : la lecture du corps JSON échoue avant la validation.</w:t>
            </w:r>
          </w:p>
        </w:tc>
        <w:tc>
          <w:tcPr>
            <w:tcW w:type="dxa" w:w="3458"/>
          </w:tcPr>
          <w:p>
            <w:pPr>
              <w:spacing w:after="40"/>
            </w:pPr>
            <w:r/>
            <w:r>
              <w:rPr>
                <w:sz w:val="18"/>
              </w:rPr>
              <w:t>L'écran ne trouve pas de message et affiche « Une erreur est survenue. »</w:t>
            </w:r>
          </w:p>
        </w:tc>
      </w:tr>
      <w:tr>
        <w:tc>
          <w:tcPr>
            <w:tcW w:type="dxa" w:w="2268"/>
          </w:tcPr>
          <w:p>
            <w:pPr>
              <w:spacing w:after="40"/>
            </w:pPr>
            <w:r/>
            <w:r>
              <w:rPr>
                <w:sz w:val="18"/>
              </w:rPr>
              <w:t>Code déjà utilisé</w:t>
            </w:r>
          </w:p>
        </w:tc>
        <w:tc>
          <w:tcPr>
            <w:tcW w:type="dxa" w:w="737"/>
          </w:tcPr>
          <w:p>
            <w:pPr>
              <w:spacing w:after="40"/>
            </w:pPr>
            <w:r/>
            <w:r>
              <w:rPr>
                <w:sz w:val="18"/>
              </w:rPr>
              <w:t>400</w:t>
            </w:r>
          </w:p>
        </w:tc>
        <w:tc>
          <w:tcPr>
            <w:tcW w:type="dxa" w:w="3175"/>
          </w:tcPr>
          <w:p>
            <w:pPr>
              <w:spacing w:after="40"/>
            </w:pPr>
            <w:r/>
            <w:r>
              <w:rPr>
                <w:sz w:val="18"/>
              </w:rPr>
              <w:t>« Le code « X » est déjà utilisé »</w:t>
            </w:r>
          </w:p>
        </w:tc>
        <w:tc>
          <w:tcPr>
            <w:tcW w:type="dxa" w:w="3458"/>
          </w:tcPr>
          <w:p>
            <w:pPr>
              <w:spacing w:after="40"/>
            </w:pPr>
            <w:r/>
            <w:r>
              <w:rPr>
                <w:sz w:val="18"/>
              </w:rPr>
              <w:t>Le message est affiché tel quel en pied de formulaire, qui reste ouvert.</w:t>
            </w:r>
          </w:p>
        </w:tc>
      </w:tr>
      <w:tr>
        <w:tc>
          <w:tcPr>
            <w:tcW w:type="dxa" w:w="2268"/>
          </w:tcPr>
          <w:p>
            <w:pPr>
              <w:spacing w:after="40"/>
            </w:pPr>
            <w:r/>
            <w:r>
              <w:rPr>
                <w:sz w:val="18"/>
              </w:rPr>
              <w:t>Identifiant inconnu en lecture, modification, suppression ou restauration</w:t>
            </w:r>
          </w:p>
        </w:tc>
        <w:tc>
          <w:tcPr>
            <w:tcW w:type="dxa" w:w="737"/>
          </w:tcPr>
          <w:p>
            <w:pPr>
              <w:spacing w:after="40"/>
            </w:pPr>
            <w:r/>
            <w:r>
              <w:rPr>
                <w:sz w:val="18"/>
              </w:rPr>
              <w:t>404</w:t>
            </w:r>
          </w:p>
        </w:tc>
        <w:tc>
          <w:tcPr>
            <w:tcW w:type="dxa" w:w="3175"/>
          </w:tcPr>
          <w:p>
            <w:pPr>
              <w:spacing w:after="40"/>
            </w:pPr>
            <w:r/>
            <w:r>
              <w:rPr>
                <w:sz w:val="18"/>
              </w:rPr>
              <w:t>« Index introuvable : 42 »</w:t>
            </w:r>
          </w:p>
        </w:tc>
        <w:tc>
          <w:tcPr>
            <w:tcW w:type="dxa" w:w="3458"/>
          </w:tcPr>
          <w:p>
            <w:pPr>
              <w:spacing w:after="40"/>
            </w:pPr>
            <w:r/>
            <w:r>
              <w:rPr>
                <w:sz w:val="18"/>
              </w:rPr>
              <w:t>Le formulaire affiche le message ; la liste, elle, se recharge.</w:t>
            </w:r>
          </w:p>
        </w:tc>
      </w:tr>
      <w:tr>
        <w:tc>
          <w:tcPr>
            <w:tcW w:type="dxa" w:w="2268"/>
          </w:tcPr>
          <w:p>
            <w:pPr>
              <w:spacing w:after="40"/>
            </w:pPr>
            <w:r/>
            <w:r>
              <w:rPr>
                <w:sz w:val="18"/>
              </w:rPr>
              <w:t>Valeur trop longue pour sa colonne</w:t>
            </w:r>
          </w:p>
        </w:tc>
        <w:tc>
          <w:tcPr>
            <w:tcW w:type="dxa" w:w="737"/>
          </w:tcPr>
          <w:p>
            <w:pPr>
              <w:spacing w:after="40"/>
            </w:pPr>
            <w:r/>
            <w:r>
              <w:rPr>
                <w:sz w:val="18"/>
              </w:rPr>
              <w:t>400</w:t>
            </w:r>
          </w:p>
        </w:tc>
        <w:tc>
          <w:tcPr>
            <w:tcW w:type="dxa" w:w="3175"/>
          </w:tcPr>
          <w:p>
            <w:pPr>
              <w:spacing w:after="40"/>
            </w:pPr>
            <w:r/>
            <w:r>
              <w:rPr>
                <w:sz w:val="18"/>
              </w:rPr>
              <w:t>« Donnée refusée par la base : une valeur dépasse la longueur autorisée pour sa colonne (255 caractères pour un champ texte). »</w:t>
            </w:r>
          </w:p>
        </w:tc>
        <w:tc>
          <w:tcPr>
            <w:tcW w:type="dxa" w:w="3458"/>
          </w:tcPr>
          <w:p>
            <w:pPr>
              <w:spacing w:after="40"/>
            </w:pPr>
            <w:r/>
            <w:r>
              <w:rPr>
                <w:sz w:val="18"/>
              </w:rPr>
              <w:t>Message affiché tel quel. Le libellé du champ fautif n'est pas connu.</w:t>
            </w:r>
          </w:p>
        </w:tc>
      </w:tr>
      <w:tr>
        <w:tc>
          <w:tcPr>
            <w:tcW w:type="dxa" w:w="2268"/>
          </w:tcPr>
          <w:p>
            <w:pPr>
              <w:spacing w:after="40"/>
            </w:pPr>
            <w:r/>
            <w:r>
              <w:rPr>
                <w:sz w:val="18"/>
              </w:rPr>
              <w:t>Numéro de page négatif ou hors limites</w:t>
            </w:r>
          </w:p>
        </w:tc>
        <w:tc>
          <w:tcPr>
            <w:tcW w:type="dxa" w:w="737"/>
          </w:tcPr>
          <w:p>
            <w:pPr>
              <w:spacing w:after="40"/>
            </w:pPr>
            <w:r/>
            <w:r>
              <w:rPr>
                <w:sz w:val="18"/>
              </w:rPr>
              <w:t>400</w:t>
            </w:r>
          </w:p>
        </w:tc>
        <w:tc>
          <w:tcPr>
            <w:tcW w:type="dxa" w:w="3175"/>
          </w:tcPr>
          <w:p>
            <w:pPr>
              <w:spacing w:after="40"/>
            </w:pPr>
            <w:r/>
            <w:r>
              <w:rPr>
                <w:sz w:val="18"/>
              </w:rPr>
              <w:t>« Le numéro de page ne peut pas être négatif (reçu : -1). » ou « Numéro de page hors limites : au plus N pour une taille de page de 10 ».</w:t>
            </w:r>
          </w:p>
        </w:tc>
        <w:tc>
          <w:tcPr>
            <w:tcW w:type="dxa" w:w="3458"/>
          </w:tcPr>
          <w:p>
            <w:pPr>
              <w:spacing w:after="40"/>
            </w:pPr>
            <w:r/>
            <w:r>
              <w:rPr>
                <w:sz w:val="18"/>
              </w:rPr>
              <w:t>Cas d'appel direct de l'API ; l'écran ne produit jamais ces valeurs.</w:t>
            </w:r>
          </w:p>
        </w:tc>
      </w:tr>
      <w:tr>
        <w:tc>
          <w:tcPr>
            <w:tcW w:type="dxa" w:w="2268"/>
          </w:tcPr>
          <w:p>
            <w:pPr>
              <w:spacing w:after="40"/>
            </w:pPr>
            <w:r/>
            <w:r>
              <w:rPr>
                <w:sz w:val="18"/>
              </w:rPr>
              <w:t>Panne non prévue</w:t>
            </w:r>
          </w:p>
        </w:tc>
        <w:tc>
          <w:tcPr>
            <w:tcW w:type="dxa" w:w="737"/>
          </w:tcPr>
          <w:p>
            <w:pPr>
              <w:spacing w:after="40"/>
            </w:pPr>
            <w:r/>
            <w:r>
              <w:rPr>
                <w:sz w:val="18"/>
              </w:rPr>
              <w:t>500</w:t>
            </w:r>
          </w:p>
        </w:tc>
        <w:tc>
          <w:tcPr>
            <w:tcW w:type="dxa" w:w="3175"/>
          </w:tcPr>
          <w:p>
            <w:pPr>
              <w:spacing w:after="40"/>
            </w:pPr>
            <w:r/>
            <w:r>
              <w:rPr>
                <w:sz w:val="18"/>
              </w:rPr>
              <w:t>Réponse d'erreur par défaut du socle.</w:t>
            </w:r>
          </w:p>
        </w:tc>
        <w:tc>
          <w:tcPr>
            <w:tcW w:type="dxa" w:w="3458"/>
          </w:tcPr>
          <w:p>
            <w:pPr>
              <w:spacing w:after="40"/>
            </w:pPr>
            <w:r/>
            <w:r>
              <w:rPr>
                <w:sz w:val="18"/>
              </w:rPr>
              <w:t>L'écran affiche « Une erreur est survenue. » et ne montre aucun détail technique.</w:t>
            </w:r>
          </w:p>
        </w:tc>
      </w:tr>
    </w:tbl>
    <w:p>
      <w:pPr>
        <w:spacing w:after="80"/>
      </w:pPr>
    </w:p>
    <w:p>
      <w:r>
        <w:rPr>
          <w:b w:val="0"/>
          <w:i w:val="0"/>
        </w:rPr>
        <w:t>Un mot sur le 403. Le gestionnaire global sait traduire un refus d'accès en réponse JSON, mais ce code ne peut pas sortir de ce module : il n'existe aucune autorisation par rôle dans l'application, et un appelant non authentifié est arrêté par la chaîne de filtres, en 401, avant d'atteindre le contrôleur.</w:t>
      </w:r>
    </w:p>
    <w:p>
      <w:r>
        <w:br w:type="page"/>
      </w:r>
    </w:p>
    <w:p>
      <w:pPr>
        <w:pStyle w:val="Heading1"/>
      </w:pPr>
      <w:r>
        <w:t>7. Ce qui est écrit, et dans quel ordre</w:t>
      </w:r>
    </w:p>
    <w:p>
      <w:r>
        <w:rPr>
          <w:b w:val="0"/>
          <w:i w:val="0"/>
        </w:rPr>
        <w:t>Le module ne touche qu'une seule table. Les séquences sont donc courtes, mais il vaut la peine de préciser où se situe la frontière transactionnelle, car c'est elle qui décide de ce qui subsiste en cas d'échec en cours de route.</w:t>
      </w:r>
    </w:p>
    <w:p>
      <w:pPr>
        <w:pStyle w:val="Heading2"/>
      </w:pPr>
      <w:r>
        <w:t>7.1 Création</w:t>
      </w:r>
    </w:p>
    <w:p>
      <w:pPr>
        <w:spacing w:after="0" w:before="0" w:line="240" w:lineRule="auto"/>
      </w:pPr>
      <w:r>
        <w:rPr>
          <w:rFonts w:ascii="Consolas" w:hAnsi="Consolas" w:cs="Consolas" w:eastAsia="Consolas"/>
          <w:sz w:val="18"/>
        </w:rPr>
        <w:t xml:space="preserve">  POST /api/v1/indices</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1. Lecture du corps JSON -&gt; objet de requete</w:t>
      </w:r>
    </w:p>
    <w:p>
      <w:pPr>
        <w:spacing w:after="0" w:before="0" w:line="240" w:lineRule="auto"/>
      </w:pPr>
      <w:r>
        <w:rPr>
          <w:rFonts w:ascii="Consolas" w:hAnsi="Consolas" w:cs="Consolas" w:eastAsia="Consolas"/>
          <w:sz w:val="18"/>
        </w:rPr>
        <w:t xml:space="preserve">       (echec ici = 400, rien n'est ouvert en base)</w:t>
      </w:r>
    </w:p>
    <w:p>
      <w:pPr>
        <w:spacing w:after="0" w:before="0" w:line="240" w:lineRule="auto"/>
      </w:pPr>
      <w:r>
        <w:rPr>
          <w:rFonts w:ascii="Consolas" w:hAnsi="Consolas" w:cs="Consolas" w:eastAsia="Consolas"/>
          <w:sz w:val="18"/>
        </w:rPr>
        <w:t xml:space="preserve">    2. Validation declarative : code, nom, type presents</w:t>
      </w:r>
    </w:p>
    <w:p>
      <w:pPr>
        <w:spacing w:after="0" w:before="0" w:line="240" w:lineRule="auto"/>
      </w:pPr>
      <w:r>
        <w:rPr>
          <w:rFonts w:ascii="Consolas" w:hAnsi="Consolas" w:cs="Consolas" w:eastAsia="Consolas"/>
          <w:sz w:val="18"/>
        </w:rPr>
        <w:t xml:space="preserve">       (echec = 400 avec le detail par champ)</w:t>
      </w:r>
    </w:p>
    <w:p>
      <w:pPr>
        <w:spacing w:after="0" w:before="0" w:line="240" w:lineRule="auto"/>
      </w:pPr>
      <w:r>
        <w:rPr>
          <w:rFonts w:ascii="Consolas" w:hAnsi="Consolas" w:cs="Consolas" w:eastAsia="Consolas"/>
          <w:sz w:val="18"/>
        </w:rPr>
        <w:t xml:space="preserve">    3. Ouverture de la transaction</w:t>
      </w:r>
    </w:p>
    <w:p>
      <w:pPr>
        <w:spacing w:after="0" w:before="0" w:line="240" w:lineRule="auto"/>
      </w:pPr>
      <w:r>
        <w:rPr>
          <w:rFonts w:ascii="Consolas" w:hAnsi="Consolas" w:cs="Consolas" w:eastAsia="Consolas"/>
          <w:sz w:val="18"/>
        </w:rPr>
        <w:t xml:space="preserve">    4. Verification d'unicite du code (une lecture)</w:t>
      </w:r>
    </w:p>
    <w:p>
      <w:pPr>
        <w:spacing w:after="0" w:before="0" w:line="240" w:lineRule="auto"/>
      </w:pPr>
      <w:r>
        <w:rPr>
          <w:rFonts w:ascii="Consolas" w:hAnsi="Consolas" w:cs="Consolas" w:eastAsia="Consolas"/>
          <w:sz w:val="18"/>
        </w:rPr>
        <w:t xml:space="preserve">       (echec = 400, la transaction est annulee, rien n'est ecrit)</w:t>
      </w:r>
    </w:p>
    <w:p>
      <w:pPr>
        <w:spacing w:after="0" w:before="0" w:line="240" w:lineRule="auto"/>
      </w:pPr>
      <w:r>
        <w:rPr>
          <w:rFonts w:ascii="Consolas" w:hAnsi="Consolas" w:cs="Consolas" w:eastAsia="Consolas"/>
          <w:sz w:val="18"/>
        </w:rPr>
        <w:t xml:space="preserve">    5. Construction de l'entite : code + nom</w:t>
      </w:r>
    </w:p>
    <w:p>
      <w:pPr>
        <w:spacing w:after="0" w:before="0" w:line="240" w:lineRule="auto"/>
      </w:pPr>
      <w:r>
        <w:rPr>
          <w:rFonts w:ascii="Consolas" w:hAnsi="Consolas" w:cs="Consolas" w:eastAsia="Consolas"/>
          <w:sz w:val="18"/>
        </w:rPr>
        <w:t xml:space="preserve">    6. Application des autres champs</w:t>
      </w:r>
    </w:p>
    <w:p>
      <w:pPr>
        <w:spacing w:after="0" w:before="0" w:line="240" w:lineRule="auto"/>
      </w:pPr>
      <w:r>
        <w:rPr>
          <w:rFonts w:ascii="Consolas" w:hAnsi="Consolas" w:cs="Consolas" w:eastAsia="Consolas"/>
          <w:sz w:val="18"/>
        </w:rPr>
        <w:t xml:space="preserve">         - type</w:t>
      </w:r>
    </w:p>
    <w:p>
      <w:pPr>
        <w:spacing w:after="0" w:before="0" w:line="240" w:lineRule="auto"/>
      </w:pPr>
      <w:r>
        <w:rPr>
          <w:rFonts w:ascii="Consolas" w:hAnsi="Consolas" w:cs="Consolas" w:eastAsia="Consolas"/>
          <w:sz w:val="18"/>
        </w:rPr>
        <w:t xml:space="preserve">         - valeurs   -&gt; ecrites SI type = LISTE, sinon effacees</w:t>
      </w:r>
    </w:p>
    <w:p>
      <w:pPr>
        <w:spacing w:after="0" w:before="0" w:line="240" w:lineRule="auto"/>
      </w:pPr>
      <w:r>
        <w:rPr>
          <w:rFonts w:ascii="Consolas" w:hAnsi="Consolas" w:cs="Consolas" w:eastAsia="Consolas"/>
          <w:sz w:val="18"/>
        </w:rPr>
        <w:t xml:space="preserve">         - valeur par defaut, normalisee</w:t>
      </w:r>
    </w:p>
    <w:p>
      <w:pPr>
        <w:spacing w:after="0" w:before="0" w:line="240" w:lineRule="auto"/>
      </w:pPr>
      <w:r>
        <w:rPr>
          <w:rFonts w:ascii="Consolas" w:hAnsi="Consolas" w:cs="Consolas" w:eastAsia="Consolas"/>
          <w:sz w:val="18"/>
        </w:rPr>
        <w:t xml:space="preserve">         - trois drapeaux</w:t>
      </w:r>
    </w:p>
    <w:p>
      <w:pPr>
        <w:spacing w:after="0" w:before="0" w:line="240" w:lineRule="auto"/>
      </w:pPr>
      <w:r>
        <w:rPr>
          <w:rFonts w:ascii="Consolas" w:hAnsi="Consolas" w:cs="Consolas" w:eastAsia="Consolas"/>
          <w:sz w:val="18"/>
        </w:rPr>
        <w:t xml:space="preserve">    7. Enregistrement -&gt; INSERT, identifiant attribue</w:t>
      </w:r>
    </w:p>
    <w:p>
      <w:pPr>
        <w:spacing w:after="0" w:before="0" w:line="240" w:lineRule="auto"/>
      </w:pPr>
      <w:r>
        <w:rPr>
          <w:rFonts w:ascii="Consolas" w:hAnsi="Consolas" w:cs="Consolas" w:eastAsia="Consolas"/>
          <w:sz w:val="18"/>
        </w:rPr>
        <w:t xml:space="preserve">       created_at et updated_at poses par la couche de persistance</w:t>
      </w:r>
    </w:p>
    <w:p>
      <w:pPr>
        <w:spacing w:after="0" w:before="0" w:line="240" w:lineRule="auto"/>
      </w:pPr>
      <w:r>
        <w:rPr>
          <w:rFonts w:ascii="Consolas" w:hAnsi="Consolas" w:cs="Consolas" w:eastAsia="Consolas"/>
          <w:sz w:val="18"/>
        </w:rPr>
        <w:t xml:space="preserve">    8. Fermeture de la transaction</w:t>
      </w:r>
    </w:p>
    <w:p>
      <w:pPr>
        <w:spacing w:after="0" w:before="0" w:line="240" w:lineRule="auto"/>
      </w:pPr>
      <w:r>
        <w:rPr>
          <w:rFonts w:ascii="Consolas" w:hAnsi="Consolas" w:cs="Consolas" w:eastAsia="Consolas"/>
          <w:sz w:val="18"/>
        </w:rPr>
        <w:t xml:space="preserve">    9. Reponse 201 avec la fiche complete</w:t>
      </w:r>
    </w:p>
    <w:p>
      <w:pPr>
        <w:spacing w:after="80"/>
      </w:pPr>
    </w:p>
    <w:p>
      <w:pPr>
        <w:pStyle w:val="Heading2"/>
      </w:pPr>
      <w:r>
        <w:t>7.2 Modification</w:t>
      </w:r>
    </w:p>
    <w:p>
      <w:r>
        <w:rPr>
          <w:b w:val="0"/>
          <w:i w:val="0"/>
        </w:rPr>
        <w:t>La séquence est identique, à trois différences près. L'index est d'abord chargé par son identifiant — un identifiant inconnu produit un 404 avant toute écriture. La vérification d'unicité exclut l'index courant. Enfin, l'opération est un remplacement complet : tous les champs sont réécrits depuis la requête, y compris ceux que l'utilisateur n'a pas modifiés. Un champ omis dans le corps n'est pas conservé, il est remis à sa valeur par défaut. L'écran envoie toujours le formulaire entier, ce qui rend le point théorique — mais il compte pour tout appel direct de l'API.</w:t>
      </w:r>
    </w:p>
    <w:p>
      <w:pPr>
        <w:pStyle w:val="Heading2"/>
      </w:pPr>
      <w:r>
        <w:t>7.3 Mise à la corbeille et restauration</w:t>
      </w:r>
    </w:p>
    <w:p>
      <w:r>
        <w:rPr>
          <w:b w:val="0"/>
          <w:i w:val="0"/>
        </w:rPr>
        <w:t>Ces deux opérations sont les plus simples de l'application : elles chargent l'entité, positionnent l'indicateur de corbeille, et laissent la transaction écrire la modification à sa fermeture. Aucun enregistrement explicite n'est demandé, la mise à jour étant détectée sur l'entité gérée par la session de persistance. Aucun contrôle préalable n'est effectué : ni vérification d'usage, ni contrôle de l'état antérieur.</w:t>
      </w:r>
    </w:p>
    <w:p>
      <w:pPr>
        <w:pStyle w:val="Heading2"/>
      </w:pPr>
      <w:r>
        <w:t>7.4 Opérations groupées</w:t>
      </w:r>
    </w:p>
    <w:p>
      <w:pPr>
        <w:spacing w:after="0" w:before="0" w:line="240" w:lineRule="auto"/>
      </w:pPr>
      <w:r>
        <w:rPr>
          <w:rFonts w:ascii="Consolas" w:hAnsi="Consolas" w:cs="Consolas" w:eastAsia="Consolas"/>
          <w:sz w:val="18"/>
        </w:rPr>
        <w:t xml:space="preserve">  DELETE /api/v1/indices/multiple-delete   { "ids": [3, 7, 12]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1. Ouverture de la transaction</w:t>
      </w:r>
    </w:p>
    <w:p>
      <w:pPr>
        <w:spacing w:after="0" w:before="0" w:line="240" w:lineRule="auto"/>
      </w:pPr>
      <w:r>
        <w:rPr>
          <w:rFonts w:ascii="Consolas" w:hAnsi="Consolas" w:cs="Consolas" w:eastAsia="Consolas"/>
          <w:sz w:val="18"/>
        </w:rPr>
        <w:t xml:space="preserve">    2. Lecture des index dont l'identifiant est dans la liste</w:t>
      </w:r>
    </w:p>
    <w:p>
      <w:pPr>
        <w:spacing w:after="0" w:before="0" w:line="240" w:lineRule="auto"/>
      </w:pPr>
      <w:r>
        <w:rPr>
          <w:rFonts w:ascii="Consolas" w:hAnsi="Consolas" w:cs="Consolas" w:eastAsia="Consolas"/>
          <w:sz w:val="18"/>
        </w:rPr>
        <w:t xml:space="preserve">       ET qui ne sont pas deja en corbeille</w:t>
      </w:r>
    </w:p>
    <w:p>
      <w:pPr>
        <w:spacing w:after="0" w:before="0" w:line="240" w:lineRule="auto"/>
      </w:pPr>
      <w:r>
        <w:rPr>
          <w:rFonts w:ascii="Consolas" w:hAnsi="Consolas" w:cs="Consolas" w:eastAsia="Consolas"/>
          <w:sz w:val="18"/>
        </w:rPr>
        <w:t xml:space="preserve">         -&gt; les identifiants inconnus n'apparaissent tout simplement pas</w:t>
      </w:r>
    </w:p>
    <w:p>
      <w:pPr>
        <w:spacing w:after="0" w:before="0" w:line="240" w:lineRule="auto"/>
      </w:pPr>
      <w:r>
        <w:rPr>
          <w:rFonts w:ascii="Consolas" w:hAnsi="Consolas" w:cs="Consolas" w:eastAsia="Consolas"/>
          <w:sz w:val="18"/>
        </w:rPr>
        <w:t xml:space="preserve">         -&gt; aucun 404, aucun compte rendu</w:t>
      </w:r>
    </w:p>
    <w:p>
      <w:pPr>
        <w:spacing w:after="0" w:before="0" w:line="240" w:lineRule="auto"/>
      </w:pPr>
      <w:r>
        <w:rPr>
          <w:rFonts w:ascii="Consolas" w:hAnsi="Consolas" w:cs="Consolas" w:eastAsia="Consolas"/>
          <w:sz w:val="18"/>
        </w:rPr>
        <w:t xml:space="preserve">    3. Bascule de l'indicateur sur chacun</w:t>
      </w:r>
    </w:p>
    <w:p>
      <w:pPr>
        <w:spacing w:after="0" w:before="0" w:line="240" w:lineRule="auto"/>
      </w:pPr>
      <w:r>
        <w:rPr>
          <w:rFonts w:ascii="Consolas" w:hAnsi="Consolas" w:cs="Consolas" w:eastAsia="Consolas"/>
          <w:sz w:val="18"/>
        </w:rPr>
        <w:t xml:space="preserve">    4. Fermeture de la transaction : tout est ecrit, ou rien ne l'est</w:t>
      </w:r>
    </w:p>
    <w:p>
      <w:pPr>
        <w:spacing w:after="0" w:before="0" w:line="240" w:lineRule="auto"/>
      </w:pPr>
      <w:r>
        <w:rPr>
          <w:rFonts w:ascii="Consolas" w:hAnsi="Consolas" w:cs="Consolas" w:eastAsia="Consolas"/>
          <w:sz w:val="18"/>
        </w:rPr>
        <w:t xml:space="preserve">    5. Reponse 204</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La restauration groupee suit la meme sequence, en lisant cette fois</w:t>
      </w:r>
    </w:p>
    <w:p>
      <w:pPr>
        <w:spacing w:after="0" w:before="0" w:line="240" w:lineRule="auto"/>
      </w:pPr>
      <w:r>
        <w:rPr>
          <w:rFonts w:ascii="Consolas" w:hAnsi="Consolas" w:cs="Consolas" w:eastAsia="Consolas"/>
          <w:sz w:val="18"/>
        </w:rPr>
        <w:t xml:space="preserve">  les index DEJA en corbeille et en remettant l'indicateur a faux.</w:t>
      </w:r>
    </w:p>
    <w:p>
      <w:pPr>
        <w:spacing w:after="80"/>
      </w:pPr>
    </w:p>
    <w:p>
      <w:r>
        <w:rPr>
          <w:b w:val="0"/>
          <w:i w:val="0"/>
        </w:rPr>
        <w:t>Le point important est l'atomicité : la transaction couvre l'ensemble du lot. Si l'écriture échoue sur l'un des index, aucun n'est modifié. Il n'existe pas de résultat partiel — ce qui évite d'avoir à expliquer à l'utilisateur pourquoi trois lignes sur cinq ont disparu.</w:t>
      </w:r>
    </w:p>
    <w:p>
      <w:r>
        <w:br w:type="page"/>
      </w:r>
    </w:p>
    <w:p>
      <w:pPr>
        <w:pStyle w:val="Heading1"/>
      </w:pPr>
      <w:r>
        <w:t>8. Les effets de bord</w:t>
      </w:r>
    </w:p>
    <w:p>
      <w:pPr>
        <w:pStyle w:val="Heading2"/>
      </w:pPr>
      <w:r>
        <w:t>8.1 Ce que le module écrit</w:t>
      </w:r>
    </w:p>
    <w:p>
      <w:r>
        <w:rPr>
          <w:b w:val="0"/>
          <w:i w:val="0"/>
        </w:rPr>
        <w:t>Le module n'écrit rien d'autre que la table « indices ». Aucun fichier n'est déposé sur disque, aucun message n'est émis, aucune tâche de fond n'est déclenchée. Les deux colonnes d'horodatage sont les seules écritures que le code applicatif ne pilote pas explicitement : elles sont posées par la couche de persistance, à l'insertion pour la première, à chaque mise à jour pour la seconde.</w:t>
      </w:r>
    </w:p>
    <w:p>
      <w:pPr>
        <w:pStyle w:val="Heading2"/>
      </w:pPr>
      <w:r>
        <w:t>8.2 Ce qui change ailleurs, sans que ce module y touche</w:t>
      </w:r>
    </w:p>
    <w:p>
      <w:r>
        <w:rPr>
          <w:b w:val="0"/>
          <w:i w:val="0"/>
        </w:rPr>
        <w:t>C'est la partie la plus importante de cette section : créer ou modifier un index a des effets immédiats sur d'autres écrans, sans qu'aucune donnée y soit écrite. Ces effets tiennent au fait que les autres modules dérivent leur comportement de la définition des index, à chaque appel.</w:t>
      </w:r>
    </w:p>
    <w:p>
      <w:pPr>
        <w:pStyle w:val="ListBullet"/>
        <w:spacing w:after="60"/>
      </w:pPr>
      <w:r>
        <w:t>Cocher « indexé pour recherche » fait apparaître un critère de plus dans le formulaire de recherche, dès l'appel suivant. Le décocher le fait disparaître, sans effacer aucune valeur déjà enregistrée sur les documents.</w:t>
      </w:r>
    </w:p>
    <w:p>
      <w:pPr>
        <w:pStyle w:val="ListBullet"/>
        <w:spacing w:after="60"/>
      </w:pPr>
      <w:r>
        <w:t>Cocher « index de groupage » ajoute une clé de regroupement dans les résultats de recherche.</w:t>
      </w:r>
    </w:p>
    <w:p>
      <w:pPr>
        <w:pStyle w:val="ListBullet"/>
        <w:spacing w:after="60"/>
      </w:pPr>
      <w:r>
        <w:t>Cocher « obligatoire » a l'effet le plus lourd : à partir de cet instant, tout enregistrement de valeurs d'index sur un document dont le plan contient cet index est refusé tant que le champ n'a pas de valeur. Le contrôle porte sur le plan et non sur ce qui a été envoyé — omettre l'index dans la requête ne dispense pas de le renseigner. Les documents déjà indexés ne sont pas touchés tant qu'on ne les réindexe pas.</w:t>
      </w:r>
    </w:p>
    <w:p>
      <w:pPr>
        <w:pStyle w:val="ListBullet"/>
        <w:spacing w:after="60"/>
      </w:pPr>
      <w:r>
        <w:t>Changer le type d'un index ne convertit aucune valeur existante. Un index passé de TEXTE à NOMBRE laisse en base des valeurs textuelles qui ne satisfont plus le contrôle : elles continuent d'être affichées, mais la prochaine réindexation du document sera refusée tant que la valeur n'aura pas été corrigée.</w:t>
      </w:r>
    </w:p>
    <w:p>
      <w:pPr>
        <w:pStyle w:val="ListBullet"/>
        <w:spacing w:after="60"/>
      </w:pPr>
      <w:r>
        <w:t>Modifier le nom d'un index modifie l'aperçu du nommage de tous les plans qui le contiennent, et l'étiquette de tous les champs présentés au dépôt. Les noms de documents déjà composés, eux, sont figés : ils ont été écrits une fois, ils ne sont pas recalculés.</w:t>
      </w:r>
    </w:p>
    <w:p>
      <w:pPr>
        <w:pStyle w:val="Heading2"/>
      </w:pPr>
      <w:r>
        <w:t>8.3 Ce qui n'est jamais supprimé</w:t>
      </w:r>
    </w:p>
    <w:p>
      <w:pPr>
        <w:pStyle w:val="ListBullet"/>
        <w:spacing w:after="60"/>
      </w:pPr>
      <w:r>
        <w:t>Aucune ligne de la table « indices ». La suppression est un changement d'état, jamais un retrait. Il n'existe aucune opération de purge, ni en interface, ni dans l'API.</w:t>
      </w:r>
    </w:p>
    <w:p>
      <w:pPr>
        <w:pStyle w:val="ListBullet"/>
        <w:spacing w:after="60"/>
      </w:pPr>
      <w:r>
        <w:t>Aucune valeur d'index déjà posée sur un document. La suppression d'un index laisse ces lignes intactes ; elles restent lisibles et restent renvoyées avec le document.</w:t>
      </w:r>
    </w:p>
    <w:p>
      <w:pPr>
        <w:pStyle w:val="ListBullet"/>
        <w:spacing w:after="60"/>
      </w:pPr>
      <w:r>
        <w:t>Aucun lien avec un plan d'indexation. La table de liaison conserve ses lignes : le plan continue de déclarer l'index parmi les siens.</w:t>
      </w:r>
    </w:p>
    <w:p>
      <w:pPr>
        <w:pStyle w:val="ListBullet"/>
        <w:spacing w:after="60"/>
      </w:pPr>
      <w:r>
        <w:t>Aucun code. Un code posé sur un index supprimé reste réservé indéfiniment.</w:t>
      </w:r>
    </w:p>
    <w:p>
      <w:pPr>
        <w:pStyle w:val="Heading2"/>
      </w:pPr>
      <w:r>
        <w:t>8.4 Compteurs et indicateurs</w:t>
      </w:r>
    </w:p>
    <w:p>
      <w:r>
        <w:rPr>
          <w:b w:val="0"/>
          <w:i w:val="0"/>
        </w:rPr>
        <w:t>Le module ne tient aucun compteur. Le total affiché en pied de liste est recalculé à chaque appel par la couche de pagination ; il n'est stocké nulle part et ne peut donc pas diverger. Les indicateurs du tableau de bord ne comptent pas les index.</w:t>
      </w:r>
    </w:p>
    <w:p>
      <w:r>
        <w:br w:type="page"/>
      </w:r>
    </w:p>
    <w:p>
      <w:pPr>
        <w:pStyle w:val="Heading1"/>
      </w:pPr>
      <w:r>
        <w:t>9. Sécurité et contrôle d'accès</w:t>
      </w:r>
    </w:p>
    <w:p>
      <w:r>
        <w:rPr>
          <w:b w:val="0"/>
          <w:i w:val="0"/>
        </w:rPr>
        <w:t>L'application ne comporte qu'un seul compte : celui de l'administrateur. Les autres personnes visibles dans le produit — propriétaires d'espaces, approbateurs d'étapes, membres de groupes — sont des employés, c'est-à-dire des données ; elles ne se connectent pas. Cette règle produit, pour le module « Index », des conséquences très concrètes.</w:t>
      </w:r>
    </w:p>
    <w:p>
      <w:pPr>
        <w:pStyle w:val="Heading2"/>
      </w:pPr>
      <w:r>
        <w:t>9.1 La seule question posée est celle de l'authentification</w:t>
      </w:r>
    </w:p>
    <w:p>
      <w:r>
        <w:rPr>
          <w:b w:val="0"/>
          <w:i w:val="0"/>
        </w:rPr>
        <w:t>L'API est fermée par défaut : toute requête qui n'est pas explicitement ouverte doit porter une identité authentifiée. Seules quatre catégories d'adresses échappent à cette règle, et aucune n'appartient à ce module : la pré-négociation CORS, l'ouverture de session, la page d'erreur interne du socle, et la sonde de vie. Toutes les adresses des index sont donc protégées, y compris les lectures.</w:t>
      </w:r>
    </w:p>
    <w:p>
      <w:r>
        <w:rPr>
          <w:b w:val="0"/>
          <w:i w:val="0"/>
        </w:rPr>
        <w:t>Il n'existe en revanche aucune autorisation par rôle : pas une seule annotation de contrôle d'accès dans le module. Une fois le jeton validé, les dix opérations sont ouvertes sans distinction. C'est la traduction directe de la règle de l'utilisateur unique : il n'y a personne à distinguer.</w:t>
      </w:r>
    </w:p>
    <w:p>
      <w:pPr>
        <w:pStyle w:val="Heading2"/>
      </w:pPr>
      <w:r>
        <w:t>9.2 Ce qui est réellement contrôlé</w:t>
      </w:r>
    </w:p>
    <w:p>
      <w:pPr>
        <w:pStyle w:val="ListBullet"/>
        <w:spacing w:after="60"/>
      </w:pPr>
      <w:r>
        <w:t>Le jeton est un JWT signé en HMAC-SHA256. La clé de signature n'a aucune valeur par défaut versionnée : en production, son absence empêche le démarrage ; hors production, une clé aléatoire est tirée à chaque démarrage.</w:t>
      </w:r>
    </w:p>
    <w:p>
      <w:pPr>
        <w:pStyle w:val="ListBullet"/>
        <w:spacing w:after="60"/>
      </w:pPr>
      <w:r>
        <w:t>La durée de vie du jeton est courte et sert aussi de borne haute à la vérification : un jeton correctement signé mais dont la durée annoncée dépasse cette borne est refusé.</w:t>
      </w:r>
    </w:p>
    <w:p>
      <w:pPr>
        <w:pStyle w:val="ListBullet"/>
        <w:spacing w:after="60"/>
      </w:pPr>
      <w:r>
        <w:t>La session est sans état côté serveur. Il n'existe aucun cookie de session, donc aucune surface d'attaque par requête forgée entre sites — ce qui justifie la désactivation de la protection correspondante.</w:t>
      </w:r>
    </w:p>
    <w:p>
      <w:pPr>
        <w:pStyle w:val="ListBullet"/>
        <w:spacing w:after="60"/>
      </w:pPr>
      <w:r>
        <w:t>Les origines autorisées à appeler l'API sont déclarées par configuration. Le jeton voyageant dans un en-tête et non dans un cookie, l'envoi d'identifiants d'origine croisée n'est pas autorisé.</w:t>
      </w:r>
    </w:p>
    <w:p>
      <w:pPr>
        <w:pStyle w:val="ListBullet"/>
        <w:spacing w:after="60"/>
      </w:pPr>
      <w:r>
        <w:t>La documentation interactive de l'API n'est ouverte qu'en dehors de la production : elle décrit l'intégralité des opérations, ce qui est utile en développement et inutilement bavard sur une instance exposée.</w:t>
      </w:r>
    </w:p>
    <w:p>
      <w:pPr>
        <w:pStyle w:val="Heading2"/>
      </w:pPr>
      <w:r>
        <w:t>9.3 Ce que cela implique pour ce module</w:t>
      </w:r>
    </w:p>
    <w:p>
      <w:r>
        <w:rPr>
          <w:b w:val="0"/>
          <w:i w:val="0"/>
        </w:rPr>
        <w:t>Concrètement : quiconque détient un jeton valide peut lire, créer, modifier, supprimer et restaurer n'importe quel index. Il n'y a pas de lecture seule, pas de séparation entre consultation et administration, et aucune trace nominative des modifications — les deux colonnes d'horodatage disent quand un index a changé, jamais qui l'a changé. Cette absence est cohérente avec le produit : avec un compte unique, la réponse à « qui ? » est connue d'avance. Elle cesserait de l'être le jour où un second compte serait ouvert, et ce point figure en section 10.</w:t>
      </w:r>
    </w:p>
    <w:p>
      <w:r>
        <w:br w:type="page"/>
      </w:r>
    </w:p>
    <w:p>
      <w:pPr>
        <w:pStyle w:val="Heading1"/>
      </w:pPr>
      <w:r>
        <w:t>10. Points de vigilance et limites connues</w:t>
      </w:r>
    </w:p>
    <w:p>
      <w:pPr>
        <w:pStyle w:val="Heading2"/>
      </w:pPr>
      <w:r>
        <w:t>10.1 Le type LISTE sans options n'est refusé que par l'écran</w:t>
      </w:r>
    </w:p>
    <w:p>
      <w:r>
        <w:rPr>
          <w:b w:val="0"/>
          <w:i w:val="0"/>
        </w:rPr>
        <w:t>C'est la divergence la plus visible entre la fiche fonctionnelle et le serveur. Un appel direct qui crée un index de type LISTE sans options est accepté et renvoie 201. L'index ainsi créé est inutilisable de deux façons : au dépôt, il présente une liste déroulante vide qu'aucune valeur ne peut satisfaire ; et à la vérification des valeurs, la liste d'options étant vide, le contrôle d'appartenance ne s'applique pas — n'importe quelle chaîne est alors acceptée sur un champ censé être fermé. Le contrôle mérite d'être ajouté côté serveur, avec le même message que l'écran.</w:t>
      </w:r>
    </w:p>
    <w:p>
      <w:pPr>
        <w:pStyle w:val="Heading2"/>
      </w:pPr>
      <w:r>
        <w:t>10.2 La valeur par défaut est enregistrée mais n'est jamais appliquée</w:t>
      </w:r>
    </w:p>
    <w:p>
      <w:r>
        <w:rPr>
          <w:b w:val="0"/>
          <w:i w:val="0"/>
        </w:rPr>
        <w:t>La colonne existe, l'écran la saisit et l'affiche, la liste lui consacre une colonne. Mais aucune ligne du serveur ne la lit en dehors du module lui-même : elle n'est ni pré-remplie dans le formulaire d'indexation, ni utilisée comme valeur de repli lorsqu'un index obligatoire n'a pas été renseigné, ni prise en compte dans l'analyse automatique du nom de fichier. Un administrateur qui paramètre « Normale » comme valeur par défaut d'un index « Priorité » peut légitimement croire que les documents non renseignés porteront cette valeur. Ce n'est pas le cas. Deux issues sont possibles : appliquer réellement la valeur par défaut, ou retirer le champ. La situation intermédiaire actuelle est celle qui trompe le plus.</w:t>
      </w:r>
    </w:p>
    <w:p>
      <w:pPr>
        <w:pStyle w:val="Heading2"/>
      </w:pPr>
      <w:r>
        <w:t>10.3 La suppression d'un index ne prévient de rien</w:t>
      </w:r>
    </w:p>
    <w:p>
      <w:r>
        <w:rPr>
          <w:b w:val="0"/>
          <w:i w:val="0"/>
        </w:rPr>
        <w:t>Le serveur ne vérifie pas si l'index est utilisé avant de le mettre à la corbeille. Un index supprimé alors qu'il appartient à un plan produit trois effets non signalés : le plan continue de l'afficher dans sa fiche et dans son aperçu de nommage ; l'étape d'indexation cesse de le demander ; et le nom composé des documents déposés ensuite perd le segment correspondant, sans qu'aucun message ne l'explique. Une réponse en deux temps serait utile : un décompte des plans concernés, renvoyé à l'écran avant confirmation, puis le même filtrage de la corbeille dans la fiche du plan que celui déjà appliqué au dépôt.</w:t>
      </w:r>
    </w:p>
    <w:p>
      <w:pPr>
        <w:pStyle w:val="Heading2"/>
      </w:pPr>
      <w:r>
        <w:t>10.4 Aucune borne applicative sur la longueur des chaînes</w:t>
      </w:r>
    </w:p>
    <w:p>
      <w:r>
        <w:rPr>
          <w:b w:val="0"/>
          <w:i w:val="0"/>
        </w:rPr>
        <w:t>Le code, le nom et la valeur par défaut sont stockés dans des colonnes de 255 caractères, mais aucune borne n'est déclarée au niveau de la requête. Une chaîne plus longue n'est donc refusée que par la base, et le message qui remonte nomme la limite sans nommer le champ fautif. L'application dispose pourtant d'un utilitaire prévu exactement pour cela, employé dans les modules « Documents » et « Signatures » et dans la validation du module « Groupes d'accès ». Son absence ici est une omission, non une décision.</w:t>
      </w:r>
    </w:p>
    <w:p>
      <w:pPr>
        <w:pStyle w:val="Heading2"/>
      </w:pPr>
      <w:r>
        <w:t>10.5 La recherche ignore le code</w:t>
      </w:r>
    </w:p>
    <w:p>
      <w:r>
        <w:rPr>
          <w:b w:val="0"/>
          <w:i w:val="0"/>
        </w:rPr>
        <w:t>La liste affiche le code en première colonne, mais la recherche ne le regarde pas : chercher « IDX-FOURN » ne renvoie rien alors que la ligne est visible à l'écran. Étendre le filtre au code coûterait peu et supprimerait une incompréhension prévisible.</w:t>
      </w:r>
    </w:p>
    <w:p>
      <w:pPr>
        <w:pStyle w:val="Heading2"/>
      </w:pPr>
      <w:r>
        <w:t>10.6 Un code supprimé reste réservé pour toujours</w:t>
      </w:r>
    </w:p>
    <w:p>
      <w:r>
        <w:rPr>
          <w:b w:val="0"/>
          <w:i w:val="0"/>
        </w:rPr>
        <w:t>Puisque le contrôle d'unicité ne distingue pas les index actifs de ceux qui sont en corbeille, et puisqu'il n'existe aucune purge, un code utilisé une fois ne peut plus jamais l'être. C'est défendable — cela protège l'historique — mais cela doit être dit à qui paramètre, sous peine de voir apparaître des codes de contournement du genre « IDX-FOURN2 ».</w:t>
      </w:r>
    </w:p>
    <w:p>
      <w:pPr>
        <w:pStyle w:val="Heading2"/>
      </w:pPr>
      <w:r>
        <w:t>10.7 Le poids caché du drapeau « obligatoire »</w:t>
      </w:r>
    </w:p>
    <w:p>
      <w:r>
        <w:rPr>
          <w:b w:val="0"/>
          <w:i w:val="0"/>
        </w:rPr>
        <w:t>Cocher cette case ne change rien dans ce module et beaucoup dans le suivant : chaque dépôt de document dont le type porte un plan contenant cet index devient impossible à conclure tant que le champ est vide. Le contrôle est volontairement strict — il porte sur le plan et non sur la requête reçue, précisément pour qu'on ne puisse pas s'en dispenser en omettant la ligne. Cinq index obligatoires transforment chaque dépôt en formulaire administratif. Le serveur ne peut pas arbitrer ce réglage ; il revient à l'écran de le signaler.</w:t>
      </w:r>
    </w:p>
    <w:p>
      <w:pPr>
        <w:pStyle w:val="Heading2"/>
      </w:pPr>
      <w:r>
        <w:t>10.8 Aucune traçabilité nominative</w:t>
      </w:r>
    </w:p>
    <w:p>
      <w:r>
        <w:rPr>
          <w:b w:val="0"/>
          <w:i w:val="0"/>
        </w:rPr>
        <w:t>Les deux colonnes d'horodatage disent quand, jamais qui. Tant que l'application n'a qu'un compte, l'information est redondante. Le jour où un second compte serait ouvert, elle manquerait immédiatement, et il serait alors trop tard pour reconstituer l'historique. Le socle d'audit commun à toutes les entités est l'endroit naturel où poser cette évolution, si elle est un jour décidée.</w:t>
      </w:r>
    </w:p>
    <w:p>
      <w:pPr>
        <w:pStyle w:val="Heading2"/>
      </w:pPr>
      <w:r>
        <w:t>10.9 Ce qui n'est pas géré</w:t>
      </w:r>
    </w:p>
    <w:p>
      <w:pPr>
        <w:pStyle w:val="ListBullet"/>
        <w:spacing w:after="60"/>
      </w:pPr>
      <w:r>
        <w:t>Aucune purge définitive : la corbeille se remplit sans plafond ni date d'expiration.</w:t>
      </w:r>
    </w:p>
    <w:p>
      <w:pPr>
        <w:pStyle w:val="ListBullet"/>
        <w:spacing w:after="60"/>
      </w:pPr>
      <w:r>
        <w:t>Aucun export ni import du catalogue d'index, alors que c'est typiquement ce qu'on veut reproduire d'une installation à l'autre.</w:t>
      </w:r>
    </w:p>
    <w:p>
      <w:pPr>
        <w:pStyle w:val="ListBullet"/>
        <w:spacing w:after="60"/>
      </w:pPr>
      <w:r>
        <w:t>Aucune notion de version : modifier un index modifie la définition pour tous les documents passés et à venir, sans conserver l'ancienne.</w:t>
      </w:r>
    </w:p>
    <w:p>
      <w:pPr>
        <w:pStyle w:val="ListBullet"/>
        <w:spacing w:after="60"/>
      </w:pPr>
      <w:r>
        <w:t>Aucun contrôle de concurrence sur la modification : deux enregistrements simultanés du même index se succèdent, le dernier écrase le premier sans avertissement.</w:t>
      </w:r>
    </w:p>
    <w:p>
      <w:pPr>
        <w:pStyle w:val="ListBullet"/>
        <w:spacing w:after="60"/>
      </w:pPr>
      <w:r>
        <w:t>Aucune restitution de compte rendu sur les opérations groupées : le nombre d'index réellement traités n'est pas renvoyé.</w:t>
      </w:r>
    </w:p>
    <w:sectPr w:rsidR="00FC693F" w:rsidRPr="0006063C" w:rsidSect="00034616">
      <w:footerReference w:type="default" r:id="rId9"/>
      <w:pgSz w:w="11906" w:h="16838"/>
      <w:pgMar w:top="1134" w:right="1134" w:bottom="1134" w:left="113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4"/>
        <w:sz w:val="16"/>
      </w:rPr>
      <w:t xml:space="preserve">GED Marchica Med — 06 Index — volet backend    —    </w:t>
    </w:r>
    <w:r>
      <w:rPr>
        <w:color w:val="444444"/>
        <w:sz w:val="16"/>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B57"/>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B57"/>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B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