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jc w:val="center"/>
      </w:pPr>
      <w:r>
        <w:rPr>
          <w:b/>
          <w:color w:val="1B365D"/>
          <w:sz w:val="48"/>
        </w:rPr>
        <w:t>GED MARCHICA MED</w:t>
      </w:r>
    </w:p>
    <w:p>
      <w:pPr>
        <w:spacing w:after="720"/>
        <w:jc w:val="center"/>
      </w:pPr>
      <w:r>
        <w:rPr>
          <w:color w:val="444A54"/>
          <w:sz w:val="24"/>
        </w:rPr>
        <w:t>Gestion électronique de documents</w:t>
      </w:r>
    </w:p>
    <w:p>
      <w:pPr>
        <w:spacing w:after="200"/>
        <w:jc w:val="center"/>
      </w:pPr>
      <w:r>
        <w:rPr>
          <w:color w:val="444A54"/>
          <w:sz w:val="22"/>
        </w:rPr>
        <w:t>Rapport technique — volet backend</w:t>
      </w:r>
    </w:p>
    <w:p>
      <w:pPr>
        <w:jc w:val="center"/>
      </w:pPr>
      <w:r>
        <w:rPr>
          <w:b/>
          <w:color w:val="1B365D"/>
          <w:sz w:val="38"/>
        </w:rPr>
        <w:t>07 — Plans d'indexation</w:t>
      </w:r>
    </w:p>
    <w:p>
      <w:pPr>
        <w:spacing w:after="1200"/>
        <w:jc w:val="center"/>
      </w:pPr>
      <w:r>
        <w:rPr>
          <w:i/>
          <w:color w:val="444A54"/>
          <w:sz w:val="22"/>
        </w:rPr>
        <w:t>Charte de nommage, jetons système, séparateur et casse</w:t>
      </w:r>
    </w:p>
    <w:p>
      <w:pPr>
        <w:spacing w:after="40"/>
        <w:jc w:val="center"/>
      </w:pPr>
      <w:r>
        <w:rPr>
          <w:b/>
          <w:sz w:val="21"/>
        </w:rPr>
        <w:t xml:space="preserve">Application : </w:t>
      </w:r>
      <w:r>
        <w:rPr>
          <w:sz w:val="21"/>
        </w:rPr>
        <w:t>GED Marchica Med</w:t>
      </w:r>
    </w:p>
    <w:p>
      <w:pPr>
        <w:spacing w:after="40"/>
        <w:jc w:val="center"/>
      </w:pPr>
      <w:r>
        <w:rPr>
          <w:b/>
          <w:sz w:val="21"/>
        </w:rPr>
        <w:t xml:space="preserve">Interface : </w:t>
      </w:r>
      <w:r>
        <w:rPr>
          <w:sz w:val="21"/>
        </w:rPr>
        <w:t>07 — Plans d'indexation</w:t>
      </w:r>
    </w:p>
    <w:p>
      <w:pPr>
        <w:spacing w:after="40"/>
        <w:jc w:val="center"/>
      </w:pPr>
      <w:r>
        <w:rPr>
          <w:b/>
          <w:sz w:val="21"/>
        </w:rPr>
        <w:t xml:space="preserve">Volet : </w:t>
      </w:r>
      <w:r>
        <w:rPr>
          <w:sz w:val="21"/>
        </w:rPr>
        <w:t>Backend (comportement du serveur)</w:t>
      </w:r>
    </w:p>
    <w:p>
      <w:pPr>
        <w:spacing w:after="40"/>
        <w:jc w:val="center"/>
      </w:pPr>
      <w:r>
        <w:rPr>
          <w:b/>
          <w:sz w:val="21"/>
        </w:rPr>
        <w:t xml:space="preserve">Socle technique : </w:t>
      </w:r>
      <w:r>
        <w:rPr>
          <w:sz w:val="21"/>
        </w:rPr>
        <w:t>Spring Boot, Java 17, JPA/Hibernate, MySQL, Flyway</w:t>
      </w:r>
    </w:p>
    <w:p>
      <w:pPr>
        <w:spacing w:after="40"/>
        <w:jc w:val="center"/>
      </w:pPr>
      <w:r>
        <w:rPr>
          <w:b/>
          <w:sz w:val="21"/>
        </w:rPr>
        <w:t xml:space="preserve">Date d'édition : </w:t>
      </w:r>
      <w:r>
        <w:rPr>
          <w:sz w:val="21"/>
        </w:rPr>
        <w:t>13 août 2026</w:t>
      </w:r>
    </w:p>
    <w:p>
      <w:r>
        <w:br w:type="page"/>
      </w:r>
    </w:p>
    <w:p>
      <w:pPr>
        <w:pStyle w:val="Heading1"/>
      </w:pPr>
      <w:r>
        <w:t>Sommaire</w:t>
      </w:r>
    </w:p>
    <w:p>
      <w:pPr>
        <w:spacing w:after="200"/>
      </w:pPr>
      <w:r>
        <w:t>Le présent document suit le plan ci-dessous.</w:t>
      </w:r>
    </w:p>
    <w:p>
      <w:pPr>
        <w:spacing w:after="20"/>
        <w:ind w:left="340"/>
      </w:pPr>
      <w:r>
        <w:rPr>
          <w:b/>
          <w:sz w:val="21"/>
        </w:rPr>
        <w:t>1.  Rôle du serveur pour cette interface</w:t>
      </w:r>
    </w:p>
    <w:p>
      <w:pPr>
        <w:spacing w:after="20"/>
        <w:ind w:left="850"/>
      </w:pPr>
      <w:r>
        <w:rPr>
          <w:color w:val="444A54"/>
          <w:sz w:val="20"/>
        </w:rPr>
        <w:t>1.1  Ce que le serveur fournit</w:t>
      </w:r>
    </w:p>
    <w:p>
      <w:pPr>
        <w:spacing w:after="20"/>
        <w:ind w:left="850"/>
      </w:pPr>
      <w:r>
        <w:rPr>
          <w:color w:val="444A54"/>
          <w:sz w:val="20"/>
        </w:rPr>
        <w:t>1.2  Ce que le serveur garantit</w:t>
      </w:r>
    </w:p>
    <w:p>
      <w:pPr>
        <w:spacing w:after="20"/>
        <w:ind w:left="850"/>
      </w:pPr>
      <w:r>
        <w:rPr>
          <w:color w:val="444A54"/>
          <w:sz w:val="20"/>
        </w:rPr>
        <w:t>1.3  Une garantie que le serveur ne donne pas</w:t>
      </w:r>
    </w:p>
    <w:p>
      <w:pPr>
        <w:spacing w:after="20"/>
        <w:ind w:left="340"/>
      </w:pPr>
      <w:r>
        <w:rPr>
          <w:b/>
          <w:sz w:val="21"/>
        </w:rPr>
        <w:t>2.  Les données conservées</w:t>
      </w:r>
    </w:p>
    <w:p>
      <w:pPr>
        <w:spacing w:after="20"/>
        <w:ind w:left="850"/>
      </w:pPr>
      <w:r>
        <w:rPr>
          <w:color w:val="444A54"/>
          <w:sz w:val="20"/>
        </w:rPr>
        <w:t>2.1  Deux listes d'index qu'il ne faut pas confondre</w:t>
      </w:r>
    </w:p>
    <w:p>
      <w:pPr>
        <w:spacing w:after="20"/>
        <w:ind w:left="850"/>
      </w:pPr>
      <w:r>
        <w:rPr>
          <w:color w:val="444A54"/>
          <w:sz w:val="20"/>
        </w:rPr>
        <w:t>2.2  La charte de nommage, telle qu'elle est stockée</w:t>
      </w:r>
    </w:p>
    <w:p>
      <w:pPr>
        <w:spacing w:after="20"/>
        <w:ind w:left="850"/>
      </w:pPr>
      <w:r>
        <w:rPr>
          <w:color w:val="444A54"/>
          <w:sz w:val="20"/>
        </w:rPr>
        <w:t>2.3  Les jetons système</w:t>
      </w:r>
    </w:p>
    <w:p>
      <w:pPr>
        <w:spacing w:after="20"/>
        <w:ind w:left="850"/>
      </w:pPr>
      <w:r>
        <w:rPr>
          <w:color w:val="444A54"/>
          <w:sz w:val="20"/>
        </w:rPr>
        <w:t>2.4  Le mode d'indexation</w:t>
      </w:r>
    </w:p>
    <w:p>
      <w:pPr>
        <w:spacing w:after="20"/>
        <w:ind w:left="340"/>
      </w:pPr>
      <w:r>
        <w:rPr>
          <w:b/>
          <w:sz w:val="21"/>
        </w:rPr>
        <w:t>3.  Les relations</w:t>
      </w:r>
    </w:p>
    <w:p>
      <w:pPr>
        <w:spacing w:after="20"/>
        <w:ind w:left="850"/>
      </w:pPr>
      <w:r>
        <w:rPr>
          <w:color w:val="444A54"/>
          <w:sz w:val="20"/>
        </w:rPr>
        <w:t>3.1  Vers les index — plusieurs-à-plusieurs, ordonnée</w:t>
      </w:r>
    </w:p>
    <w:p>
      <w:pPr>
        <w:spacing w:after="20"/>
        <w:ind w:left="850"/>
      </w:pPr>
      <w:r>
        <w:rPr>
          <w:color w:val="444A54"/>
          <w:sz w:val="20"/>
        </w:rPr>
        <w:t>3.2  Vers les types de document — un-à-plusieurs, facultative</w:t>
      </w:r>
    </w:p>
    <w:p>
      <w:pPr>
        <w:spacing w:after="20"/>
        <w:ind w:left="850"/>
      </w:pPr>
      <w:r>
        <w:rPr>
          <w:color w:val="444A54"/>
          <w:sz w:val="20"/>
        </w:rPr>
        <w:t>3.3  Ce qui se passe quand le plan disparaît</w:t>
      </w:r>
    </w:p>
    <w:p>
      <w:pPr>
        <w:spacing w:after="20"/>
        <w:ind w:left="850"/>
      </w:pPr>
      <w:r>
        <w:rPr>
          <w:color w:val="444A54"/>
          <w:sz w:val="20"/>
        </w:rPr>
        <w:t>3.4  Schéma des relations</w:t>
      </w:r>
    </w:p>
    <w:p>
      <w:pPr>
        <w:spacing w:after="20"/>
        <w:ind w:left="340"/>
      </w:pPr>
      <w:r>
        <w:rPr>
          <w:b/>
          <w:sz w:val="21"/>
        </w:rPr>
        <w:t>4.  Les opérations disponibles</w:t>
      </w:r>
    </w:p>
    <w:p>
      <w:pPr>
        <w:spacing w:after="20"/>
        <w:ind w:left="850"/>
      </w:pPr>
      <w:r>
        <w:rPr>
          <w:color w:val="444A54"/>
          <w:sz w:val="20"/>
        </w:rPr>
        <w:t>4.1  Ce que contient la fiche d'un plan</w:t>
      </w:r>
    </w:p>
    <w:p>
      <w:pPr>
        <w:spacing w:after="20"/>
        <w:ind w:left="340"/>
      </w:pPr>
      <w:r>
        <w:rPr>
          <w:b/>
          <w:sz w:val="21"/>
        </w:rPr>
        <w:t>5.  Les règles vérifiées côté serveur</w:t>
      </w:r>
    </w:p>
    <w:p>
      <w:pPr>
        <w:spacing w:after="20"/>
        <w:ind w:left="850"/>
      </w:pPr>
      <w:r>
        <w:rPr>
          <w:color w:val="444A54"/>
          <w:sz w:val="20"/>
        </w:rPr>
        <w:t>5.1  Règles de validité</w:t>
      </w:r>
    </w:p>
    <w:p>
      <w:pPr>
        <w:spacing w:after="20"/>
        <w:ind w:left="850"/>
      </w:pPr>
      <w:r>
        <w:rPr>
          <w:color w:val="444A54"/>
          <w:sz w:val="20"/>
        </w:rPr>
        <w:t>5.2  Règles de normalisation</w:t>
      </w:r>
    </w:p>
    <w:p>
      <w:pPr>
        <w:spacing w:after="20"/>
        <w:ind w:left="850"/>
      </w:pPr>
      <w:r>
        <w:rPr>
          <w:color w:val="444A54"/>
          <w:sz w:val="20"/>
        </w:rPr>
        <w:t>5.3  Règles de lecture</w:t>
      </w:r>
    </w:p>
    <w:p>
      <w:pPr>
        <w:spacing w:after="20"/>
        <w:ind w:left="850"/>
      </w:pPr>
      <w:r>
        <w:rPr>
          <w:color w:val="444A54"/>
          <w:sz w:val="20"/>
        </w:rPr>
        <w:t>5.4  La règle du séparateur et des dates — vérifiée nulle part</w:t>
      </w:r>
    </w:p>
    <w:p>
      <w:pPr>
        <w:spacing w:after="20"/>
        <w:ind w:left="340"/>
      </w:pPr>
      <w:r>
        <w:rPr>
          <w:b/>
          <w:sz w:val="21"/>
        </w:rPr>
        <w:t>6.  Les erreurs et les réponses</w:t>
      </w:r>
    </w:p>
    <w:p>
      <w:pPr>
        <w:spacing w:after="20"/>
        <w:ind w:left="340"/>
      </w:pPr>
      <w:r>
        <w:rPr>
          <w:b/>
          <w:sz w:val="21"/>
        </w:rPr>
        <w:t>7.  Ce qui est écrit, et dans quel ordre</w:t>
      </w:r>
    </w:p>
    <w:p>
      <w:pPr>
        <w:spacing w:after="20"/>
        <w:ind w:left="850"/>
      </w:pPr>
      <w:r>
        <w:rPr>
          <w:color w:val="444A54"/>
          <w:sz w:val="20"/>
        </w:rPr>
        <w:t>7.1  Création</w:t>
      </w:r>
    </w:p>
    <w:p>
      <w:pPr>
        <w:spacing w:after="20"/>
        <w:ind w:left="850"/>
      </w:pPr>
      <w:r>
        <w:rPr>
          <w:color w:val="444A54"/>
          <w:sz w:val="20"/>
        </w:rPr>
        <w:t>7.2  Modification</w:t>
      </w:r>
    </w:p>
    <w:p>
      <w:pPr>
        <w:spacing w:after="20"/>
        <w:ind w:left="850"/>
      </w:pPr>
      <w:r>
        <w:rPr>
          <w:color w:val="444A54"/>
          <w:sz w:val="20"/>
        </w:rPr>
        <w:t>7.3  Mise à la corbeille, restauration, opérations groupées</w:t>
      </w:r>
    </w:p>
    <w:p>
      <w:pPr>
        <w:spacing w:after="20"/>
        <w:ind w:left="850"/>
      </w:pPr>
      <w:r>
        <w:rPr>
          <w:color w:val="444A54"/>
          <w:sz w:val="20"/>
        </w:rPr>
        <w:t>7.4  Ce qui se passe plus tard, au dépôt</w:t>
      </w:r>
    </w:p>
    <w:p>
      <w:pPr>
        <w:spacing w:after="20"/>
        <w:ind w:left="340"/>
      </w:pPr>
      <w:r>
        <w:rPr>
          <w:b/>
          <w:sz w:val="21"/>
        </w:rPr>
        <w:t>8.  Les effets de bord</w:t>
      </w:r>
    </w:p>
    <w:p>
      <w:pPr>
        <w:spacing w:after="20"/>
        <w:ind w:left="850"/>
      </w:pPr>
      <w:r>
        <w:rPr>
          <w:color w:val="444A54"/>
          <w:sz w:val="20"/>
        </w:rPr>
        <w:t>8.1  Dans ce module</w:t>
      </w:r>
    </w:p>
    <w:p>
      <w:pPr>
        <w:spacing w:after="20"/>
        <w:ind w:left="850"/>
      </w:pPr>
      <w:r>
        <w:rPr>
          <w:color w:val="444A54"/>
          <w:sz w:val="20"/>
        </w:rPr>
        <w:t>8.2  Ailleurs, sans écriture</w:t>
      </w:r>
    </w:p>
    <w:p>
      <w:pPr>
        <w:spacing w:after="20"/>
        <w:ind w:left="850"/>
      </w:pPr>
      <w:r>
        <w:rPr>
          <w:color w:val="444A54"/>
          <w:sz w:val="20"/>
        </w:rPr>
        <w:t>8.3  Ce qui n'est jamais supprimé</w:t>
      </w:r>
    </w:p>
    <w:p>
      <w:pPr>
        <w:spacing w:after="20"/>
        <w:ind w:left="340"/>
      </w:pPr>
      <w:r>
        <w:rPr>
          <w:b/>
          <w:sz w:val="21"/>
        </w:rPr>
        <w:t>9.  Sécurité et contrôle d'accès</w:t>
      </w:r>
    </w:p>
    <w:p>
      <w:pPr>
        <w:spacing w:after="20"/>
        <w:ind w:left="850"/>
      </w:pPr>
      <w:r>
        <w:rPr>
          <w:color w:val="444A54"/>
          <w:sz w:val="20"/>
        </w:rPr>
        <w:t>9.1  Le contrôle qui existe</w:t>
      </w:r>
    </w:p>
    <w:p>
      <w:pPr>
        <w:spacing w:after="20"/>
        <w:ind w:left="850"/>
      </w:pPr>
      <w:r>
        <w:rPr>
          <w:color w:val="444A54"/>
          <w:sz w:val="20"/>
        </w:rPr>
        <w:t>9.2  Le contrôle qui n'existe pas, et pourquoi</w:t>
      </w:r>
    </w:p>
    <w:p>
      <w:pPr>
        <w:spacing w:after="20"/>
        <w:ind w:left="340"/>
      </w:pPr>
      <w:r>
        <w:rPr>
          <w:b/>
          <w:sz w:val="21"/>
        </w:rPr>
        <w:t>10.  Points de vigilance et limites connues</w:t>
      </w:r>
    </w:p>
    <w:p>
      <w:r>
        <w:br w:type="page"/>
      </w:r>
    </w:p>
    <w:p>
      <w:pPr>
        <w:pStyle w:val="Heading1"/>
      </w:pPr>
      <w:r>
        <w:t>1. Rôle du serveur pour cette interface</w:t>
      </w:r>
    </w:p>
    <w:p>
      <w:r>
        <w:t>Le plan d'indexation assemble des index et décide comment ils composent le nom d'un document. C'est l'apport central du produit : le nom du document devient une conséquence de ses données et cesse de dépendre de la discipline de celui qui dépose. Le serveur porte cette promesse à deux endroits distincts, et la distinction est essentielle pour lire ce module correctement.</w:t>
      </w:r>
    </w:p>
    <w:p>
      <w:pPr>
        <w:pStyle w:val="ListBullet"/>
      </w:pPr>
      <w:r>
        <w:t>À l'enregistrement du plan, il conserve la définition : quels index le composent, dans quel ordre, quels jetons entrent dans le nom, avec quel séparateur et quelle casse. Il en produit aussi un aperçu, c'est-à-dire une chaîne d'exemple faite des libellés d'index.</w:t>
      </w:r>
    </w:p>
    <w:p>
      <w:pPr>
        <w:pStyle w:val="ListBullet"/>
      </w:pPr>
      <w:r>
        <w:t>Au dépôt d'un document, un autre module — celui de l'indexation — relit cette définition pour découper le nom du fichier reçu, contrôler chaque segment, puis composer le nom réel du document à partir des valeurs saisies et des jetons système résolus à cet instant.</w:t>
      </w:r>
    </w:p>
    <w:p>
      <w:pPr>
        <w:pStyle w:val="Heading2"/>
      </w:pPr>
      <w:r>
        <w:t>1.1 Ce que le serveur fournit</w:t>
      </w:r>
    </w:p>
    <w:p>
      <w:pPr>
        <w:pStyle w:val="ListBullet"/>
      </w:pPr>
      <w:r>
        <w:t>La persistance d'un plan sous la forme d'une entité unique, portée par la table « plan_d_indexations », accompagnée d'une table de liaison ordonnée vers les index.</w:t>
      </w:r>
    </w:p>
    <w:p>
      <w:pPr>
        <w:pStyle w:val="ListBullet"/>
      </w:pPr>
      <w:r>
        <w:t>La charte de nommage, conservée dans une colonne unique, au format hérité de l'application d'origine — de sorte qu'un plan créé dans l'une des deux applications reste exploitable par l'autre.</w:t>
      </w:r>
    </w:p>
    <w:p>
      <w:pPr>
        <w:pStyle w:val="ListBullet"/>
      </w:pPr>
      <w:r>
        <w:t>Le catalogue des jetons système utilisables dans la charte, servi par une adresse dédiée.</w:t>
      </w:r>
    </w:p>
    <w:p>
      <w:pPr>
        <w:pStyle w:val="ListBullet"/>
      </w:pPr>
      <w:r>
        <w:t>L'aperçu recomposé du nommage, calculé à chaque lecture et renvoyé avec la fiche du plan : l'écran n'a donc pas à le reconstituer, ni à risquer de le reconstituer différemment.</w:t>
      </w:r>
    </w:p>
    <w:p>
      <w:pPr>
        <w:pStyle w:val="ListBullet"/>
      </w:pPr>
      <w:r>
        <w:t>Les listes paginées, active et corbeille, une liste allégée pour le sélecteur des types de document, et les opérations d'écriture habituelles.</w:t>
      </w:r>
    </w:p>
    <w:p>
      <w:pPr>
        <w:pStyle w:val="Heading2"/>
      </w:pPr>
      <w:r>
        <w:t>1.2 Ce que le serveur garantit</w:t>
      </w:r>
    </w:p>
    <w:p>
      <w:pPr>
        <w:pStyle w:val="ListBullet"/>
      </w:pPr>
      <w:r>
        <w:t>L'unicité du code du plan, contrôlée sans égard à la casse et doublée d'une contrainte de base.</w:t>
      </w:r>
    </w:p>
    <w:p>
      <w:pPr>
        <w:pStyle w:val="ListBullet"/>
      </w:pPr>
      <w:r>
        <w:t>La persistance de l'ordre : l'ordre dans lequel les index sont reçus est l'ordre dans lequel ils sont enregistrés, et cet ordre est stocké explicitement dans une colonne de position.</w:t>
      </w:r>
    </w:p>
    <w:p>
      <w:pPr>
        <w:pStyle w:val="ListBullet"/>
      </w:pPr>
      <w:r>
        <w:t>La cohérence entre le mode de nommage et la charte : en nommage manuel, la charte est effacée. Conserver une charte inopérante laisserait croire qu'elle s'applique.</w:t>
      </w:r>
    </w:p>
    <w:p>
      <w:pPr>
        <w:pStyle w:val="ListBullet"/>
      </w:pPr>
      <w:r>
        <w:t>La tolérance à la lecture : une charte illisible ne provoque aucune erreur, elle est traitée comme une charte vide, de sorte qu'un plan mal formé n'empêche pas d'afficher la liste entière.</w:t>
      </w:r>
    </w:p>
    <w:p>
      <w:pPr>
        <w:pStyle w:val="ListBullet"/>
      </w:pPr>
      <w:r>
        <w:t>Un séparateur toujours renseigné : une valeur absente ou vide est remplacée par le tiret bas.</w:t>
      </w:r>
    </w:p>
    <w:p>
      <w:pPr>
        <w:pStyle w:val="Heading2"/>
      </w:pPr>
      <w:r>
        <w:t>1.3 Une garantie que le serveur ne donne pas</w:t>
      </w:r>
    </w:p>
    <w:p>
      <w:r>
        <w:t>L'aperçu et le nom réellement enregistré sont produits par deux chemins de traitement différents et ne coïncident pas toujours. C'est attendu pour les jetons système, dont c'est la définition même : ils sont résolus au moment du dépôt, pas à la composition de la charte. Ce l'est moins pour la casse, où une différence de traitement subsiste ; elle est décrite en section 10.</w:t>
      </w:r>
    </w:p>
    <w:p>
      <w:pPr>
        <w:pStyle w:val="Heading1"/>
      </w:pPr>
      <w:r>
        <w:t>2. Les données conservées</w:t>
      </w:r>
    </w:p>
    <w:p>
      <w:r>
        <w:t>Un plan occupe une ligne de la table « plan_d_indexations », plus autant de lignes dans la table de liaison qu'il contient d'index.</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474"/>
          </w:tcPr>
          <w:p>
            <w:r/>
            <w:r>
              <w:rPr>
                <w:b/>
                <w:sz w:val="19"/>
              </w:rPr>
              <w:t>Information</w:t>
            </w:r>
          </w:p>
        </w:tc>
        <w:tc>
          <w:tcPr>
            <w:tcW w:type="dxa" w:w="1701"/>
          </w:tcPr>
          <w:p>
            <w:r/>
            <w:r>
              <w:rPr>
                <w:b/>
                <w:sz w:val="19"/>
              </w:rPr>
              <w:t>Nature</w:t>
            </w:r>
          </w:p>
        </w:tc>
        <w:tc>
          <w:tcPr>
            <w:tcW w:type="dxa" w:w="850"/>
          </w:tcPr>
          <w:p>
            <w:r/>
            <w:r>
              <w:rPr>
                <w:b/>
                <w:sz w:val="19"/>
              </w:rPr>
              <w:t>Oblig.</w:t>
            </w:r>
          </w:p>
        </w:tc>
        <w:tc>
          <w:tcPr>
            <w:tcW w:type="dxa" w:w="1134"/>
          </w:tcPr>
          <w:p>
            <w:r/>
            <w:r>
              <w:rPr>
                <w:b/>
                <w:sz w:val="19"/>
              </w:rPr>
              <w:t>Défaut</w:t>
            </w:r>
          </w:p>
        </w:tc>
        <w:tc>
          <w:tcPr>
            <w:tcW w:type="dxa" w:w="1814"/>
          </w:tcPr>
          <w:p>
            <w:r/>
            <w:r>
              <w:rPr>
                <w:b/>
                <w:sz w:val="19"/>
              </w:rPr>
              <w:t>Unicité</w:t>
            </w:r>
          </w:p>
        </w:tc>
        <w:tc>
          <w:tcPr>
            <w:tcW w:type="dxa" w:w="2665"/>
          </w:tcPr>
          <w:p>
            <w:r/>
            <w:r>
              <w:rPr>
                <w:b/>
                <w:sz w:val="19"/>
              </w:rPr>
              <w:t>Relation</w:t>
            </w:r>
          </w:p>
        </w:tc>
      </w:tr>
      <w:tr>
        <w:tc>
          <w:tcPr>
            <w:tcW w:type="dxa" w:w="1474"/>
          </w:tcPr>
          <w:p>
            <w:r/>
            <w:r>
              <w:rPr>
                <w:sz w:val="18"/>
              </w:rPr>
              <w:t>Identifiant</w:t>
            </w:r>
          </w:p>
        </w:tc>
        <w:tc>
          <w:tcPr>
            <w:tcW w:type="dxa" w:w="1701"/>
          </w:tcPr>
          <w:p>
            <w:r/>
            <w:r>
              <w:rPr>
                <w:sz w:val="18"/>
              </w:rPr>
              <w:t>Entier long, attribué par la base</w:t>
            </w:r>
          </w:p>
        </w:tc>
        <w:tc>
          <w:tcPr>
            <w:tcW w:type="dxa" w:w="850"/>
          </w:tcPr>
          <w:p>
            <w:r/>
            <w:r>
              <w:rPr>
                <w:sz w:val="18"/>
              </w:rPr>
              <w:t>Oui</w:t>
            </w:r>
          </w:p>
        </w:tc>
        <w:tc>
          <w:tcPr>
            <w:tcW w:type="dxa" w:w="1134"/>
          </w:tcPr>
          <w:p>
            <w:r/>
            <w:r>
              <w:rPr>
                <w:sz w:val="18"/>
              </w:rPr>
              <w:t>Auto-incrément</w:t>
            </w:r>
          </w:p>
        </w:tc>
        <w:tc>
          <w:tcPr>
            <w:tcW w:type="dxa" w:w="1814"/>
          </w:tcPr>
          <w:p>
            <w:r/>
            <w:r>
              <w:rPr>
                <w:sz w:val="18"/>
              </w:rPr>
              <w:t>Clé primaire</w:t>
            </w:r>
          </w:p>
        </w:tc>
        <w:tc>
          <w:tcPr>
            <w:tcW w:type="dxa" w:w="2665"/>
          </w:tcPr>
          <w:p>
            <w:r/>
            <w:r>
              <w:rPr>
                <w:sz w:val="18"/>
              </w:rPr>
              <w:t>Référencé par les types de document</w:t>
            </w:r>
          </w:p>
        </w:tc>
      </w:tr>
      <w:tr>
        <w:tc>
          <w:tcPr>
            <w:tcW w:type="dxa" w:w="1474"/>
          </w:tcPr>
          <w:p>
            <w:r/>
            <w:r>
              <w:rPr>
                <w:sz w:val="18"/>
              </w:rPr>
              <w:t>Code</w:t>
            </w:r>
          </w:p>
        </w:tc>
        <w:tc>
          <w:tcPr>
            <w:tcW w:type="dxa" w:w="1701"/>
          </w:tcPr>
          <w:p>
            <w:r/>
            <w:r>
              <w:rPr>
                <w:sz w:val="18"/>
              </w:rPr>
              <w:t>Texte, 255 caractères</w:t>
            </w:r>
          </w:p>
        </w:tc>
        <w:tc>
          <w:tcPr>
            <w:tcW w:type="dxa" w:w="850"/>
          </w:tcPr>
          <w:p>
            <w:r/>
            <w:r>
              <w:rPr>
                <w:sz w:val="18"/>
              </w:rPr>
              <w:t>Oui</w:t>
            </w:r>
          </w:p>
        </w:tc>
        <w:tc>
          <w:tcPr>
            <w:tcW w:type="dxa" w:w="1134"/>
          </w:tcPr>
          <w:p>
            <w:r/>
            <w:r>
              <w:rPr>
                <w:sz w:val="18"/>
              </w:rPr>
              <w:t>Aucun</w:t>
            </w:r>
          </w:p>
        </w:tc>
        <w:tc>
          <w:tcPr>
            <w:tcW w:type="dxa" w:w="1814"/>
          </w:tcPr>
          <w:p>
            <w:r/>
            <w:r>
              <w:rPr>
                <w:sz w:val="18"/>
              </w:rPr>
              <w:t>Unique (contrainte de base + contrôle applicatif insensible à la casse)</w:t>
            </w:r>
          </w:p>
        </w:tc>
        <w:tc>
          <w:tcPr>
            <w:tcW w:type="dxa" w:w="2665"/>
          </w:tcPr>
          <w:p>
            <w:r/>
            <w:r>
              <w:rPr>
                <w:sz w:val="18"/>
              </w:rPr>
              <w:t>Aucune</w:t>
            </w:r>
          </w:p>
        </w:tc>
      </w:tr>
      <w:tr>
        <w:tc>
          <w:tcPr>
            <w:tcW w:type="dxa" w:w="1474"/>
          </w:tcPr>
          <w:p>
            <w:r/>
            <w:r>
              <w:rPr>
                <w:sz w:val="18"/>
              </w:rPr>
              <w:t>Nom du plan</w:t>
            </w:r>
          </w:p>
        </w:tc>
        <w:tc>
          <w:tcPr>
            <w:tcW w:type="dxa" w:w="1701"/>
          </w:tcPr>
          <w:p>
            <w:r/>
            <w:r>
              <w:rPr>
                <w:sz w:val="18"/>
              </w:rPr>
              <w:t>Texte, 255 caractères</w:t>
            </w:r>
          </w:p>
        </w:tc>
        <w:tc>
          <w:tcPr>
            <w:tcW w:type="dxa" w:w="850"/>
          </w:tcPr>
          <w:p>
            <w:r/>
            <w:r>
              <w:rPr>
                <w:sz w:val="18"/>
              </w:rPr>
              <w:t>Oui</w:t>
            </w:r>
          </w:p>
        </w:tc>
        <w:tc>
          <w:tcPr>
            <w:tcW w:type="dxa" w:w="1134"/>
          </w:tcPr>
          <w:p>
            <w:r/>
            <w:r>
              <w:rPr>
                <w:sz w:val="18"/>
              </w:rPr>
              <w:t>Aucun</w:t>
            </w:r>
          </w:p>
        </w:tc>
        <w:tc>
          <w:tcPr>
            <w:tcW w:type="dxa" w:w="1814"/>
          </w:tcPr>
          <w:p>
            <w:r/>
            <w:r>
              <w:rPr>
                <w:sz w:val="18"/>
              </w:rPr>
              <w:t>Non</w:t>
            </w:r>
          </w:p>
        </w:tc>
        <w:tc>
          <w:tcPr>
            <w:tcW w:type="dxa" w:w="2665"/>
          </w:tcPr>
          <w:p>
            <w:r/>
            <w:r>
              <w:rPr>
                <w:sz w:val="18"/>
              </w:rPr>
              <w:t>Libellé affiché dans le sélecteur des types ; seule colonne interrogée par la recherche</w:t>
            </w:r>
          </w:p>
        </w:tc>
      </w:tr>
      <w:tr>
        <w:tc>
          <w:tcPr>
            <w:tcW w:type="dxa" w:w="1474"/>
          </w:tcPr>
          <w:p>
            <w:r/>
            <w:r>
              <w:rPr>
                <w:sz w:val="18"/>
              </w:rPr>
              <w:t>Mode d'indexation</w:t>
            </w:r>
          </w:p>
        </w:tc>
        <w:tc>
          <w:tcPr>
            <w:tcW w:type="dxa" w:w="1701"/>
          </w:tcPr>
          <w:p>
            <w:r/>
            <w:r>
              <w:rPr>
                <w:sz w:val="18"/>
              </w:rPr>
              <w:t>Booléen</w:t>
            </w:r>
          </w:p>
        </w:tc>
        <w:tc>
          <w:tcPr>
            <w:tcW w:type="dxa" w:w="850"/>
          </w:tcPr>
          <w:p>
            <w:r/>
            <w:r>
              <w:rPr>
                <w:sz w:val="18"/>
              </w:rPr>
              <w:t>Oui</w:t>
            </w:r>
          </w:p>
        </w:tc>
        <w:tc>
          <w:tcPr>
            <w:tcW w:type="dxa" w:w="1134"/>
          </w:tcPr>
          <w:p>
            <w:r/>
            <w:r>
              <w:rPr>
                <w:sz w:val="18"/>
              </w:rPr>
              <w:t>Faux</w:t>
            </w:r>
          </w:p>
        </w:tc>
        <w:tc>
          <w:tcPr>
            <w:tcW w:type="dxa" w:w="1814"/>
          </w:tcPr>
          <w:p>
            <w:r/>
            <w:r>
              <w:rPr>
                <w:sz w:val="18"/>
              </w:rPr>
              <w:t>Non</w:t>
            </w:r>
          </w:p>
        </w:tc>
        <w:tc>
          <w:tcPr>
            <w:tcW w:type="dxa" w:w="2665"/>
          </w:tcPr>
          <w:p>
            <w:r/>
            <w:r>
              <w:rPr>
                <w:sz w:val="18"/>
              </w:rPr>
              <w:t>Conservé et renvoyé, mais plus piloté par l'écran</w:t>
            </w:r>
          </w:p>
        </w:tc>
      </w:tr>
      <w:tr>
        <w:tc>
          <w:tcPr>
            <w:tcW w:type="dxa" w:w="1474"/>
          </w:tcPr>
          <w:p>
            <w:r/>
            <w:r>
              <w:rPr>
                <w:sz w:val="18"/>
              </w:rPr>
              <w:t>Nommage manuel</w:t>
            </w:r>
          </w:p>
        </w:tc>
        <w:tc>
          <w:tcPr>
            <w:tcW w:type="dxa" w:w="1701"/>
          </w:tcPr>
          <w:p>
            <w:r/>
            <w:r>
              <w:rPr>
                <w:sz w:val="18"/>
              </w:rPr>
              <w:t>Booléen</w:t>
            </w:r>
          </w:p>
        </w:tc>
        <w:tc>
          <w:tcPr>
            <w:tcW w:type="dxa" w:w="850"/>
          </w:tcPr>
          <w:p>
            <w:r/>
            <w:r>
              <w:rPr>
                <w:sz w:val="18"/>
              </w:rPr>
              <w:t>Oui</w:t>
            </w:r>
          </w:p>
        </w:tc>
        <w:tc>
          <w:tcPr>
            <w:tcW w:type="dxa" w:w="1134"/>
          </w:tcPr>
          <w:p>
            <w:r/>
            <w:r>
              <w:rPr>
                <w:sz w:val="18"/>
              </w:rPr>
              <w:t>Faux</w:t>
            </w:r>
          </w:p>
        </w:tc>
        <w:tc>
          <w:tcPr>
            <w:tcW w:type="dxa" w:w="1814"/>
          </w:tcPr>
          <w:p>
            <w:r/>
            <w:r>
              <w:rPr>
                <w:sz w:val="18"/>
              </w:rPr>
              <w:t>Non</w:t>
            </w:r>
          </w:p>
        </w:tc>
        <w:tc>
          <w:tcPr>
            <w:tcW w:type="dxa" w:w="2665"/>
          </w:tcPr>
          <w:p>
            <w:r/>
            <w:r>
              <w:rPr>
                <w:sz w:val="18"/>
              </w:rPr>
              <w:t>Décide si le nom du document est composé ou saisi</w:t>
            </w:r>
          </w:p>
        </w:tc>
      </w:tr>
      <w:tr>
        <w:tc>
          <w:tcPr>
            <w:tcW w:type="dxa" w:w="1474"/>
          </w:tcPr>
          <w:p>
            <w:r/>
            <w:r>
              <w:rPr>
                <w:sz w:val="18"/>
              </w:rPr>
              <w:t>Casse majuscule</w:t>
            </w:r>
          </w:p>
        </w:tc>
        <w:tc>
          <w:tcPr>
            <w:tcW w:type="dxa" w:w="1701"/>
          </w:tcPr>
          <w:p>
            <w:r/>
            <w:r>
              <w:rPr>
                <w:sz w:val="18"/>
              </w:rPr>
              <w:t>Booléen</w:t>
            </w:r>
          </w:p>
        </w:tc>
        <w:tc>
          <w:tcPr>
            <w:tcW w:type="dxa" w:w="850"/>
          </w:tcPr>
          <w:p>
            <w:r/>
            <w:r>
              <w:rPr>
                <w:sz w:val="18"/>
              </w:rPr>
              <w:t>Oui</w:t>
            </w:r>
          </w:p>
        </w:tc>
        <w:tc>
          <w:tcPr>
            <w:tcW w:type="dxa" w:w="1134"/>
          </w:tcPr>
          <w:p>
            <w:r/>
            <w:r>
              <w:rPr>
                <w:sz w:val="18"/>
              </w:rPr>
              <w:t>Faux</w:t>
            </w:r>
          </w:p>
        </w:tc>
        <w:tc>
          <w:tcPr>
            <w:tcW w:type="dxa" w:w="1814"/>
          </w:tcPr>
          <w:p>
            <w:r/>
            <w:r>
              <w:rPr>
                <w:sz w:val="18"/>
              </w:rPr>
              <w:t>Non</w:t>
            </w:r>
          </w:p>
        </w:tc>
        <w:tc>
          <w:tcPr>
            <w:tcW w:type="dxa" w:w="2665"/>
          </w:tcPr>
          <w:p>
            <w:r/>
            <w:r>
              <w:rPr>
                <w:sz w:val="18"/>
              </w:rPr>
              <w:t>Appliquée à l'aperçu et au nom composé</w:t>
            </w:r>
          </w:p>
        </w:tc>
      </w:tr>
      <w:tr>
        <w:tc>
          <w:tcPr>
            <w:tcW w:type="dxa" w:w="1474"/>
          </w:tcPr>
          <w:p>
            <w:r/>
            <w:r>
              <w:rPr>
                <w:sz w:val="18"/>
              </w:rPr>
              <w:t>Séparateur</w:t>
            </w:r>
          </w:p>
        </w:tc>
        <w:tc>
          <w:tcPr>
            <w:tcW w:type="dxa" w:w="1701"/>
          </w:tcPr>
          <w:p>
            <w:r/>
            <w:r>
              <w:rPr>
                <w:sz w:val="18"/>
              </w:rPr>
              <w:t>Texte, 255 caractères</w:t>
            </w:r>
          </w:p>
        </w:tc>
        <w:tc>
          <w:tcPr>
            <w:tcW w:type="dxa" w:w="850"/>
          </w:tcPr>
          <w:p>
            <w:r/>
            <w:r>
              <w:rPr>
                <w:sz w:val="18"/>
              </w:rPr>
              <w:t>Oui</w:t>
            </w:r>
          </w:p>
        </w:tc>
        <w:tc>
          <w:tcPr>
            <w:tcW w:type="dxa" w:w="1134"/>
          </w:tcPr>
          <w:p>
            <w:r/>
            <w:r>
              <w:rPr>
                <w:sz w:val="18"/>
              </w:rPr>
              <w:t>Tiret bas</w:t>
            </w:r>
          </w:p>
        </w:tc>
        <w:tc>
          <w:tcPr>
            <w:tcW w:type="dxa" w:w="1814"/>
          </w:tcPr>
          <w:p>
            <w:r/>
            <w:r>
              <w:rPr>
                <w:sz w:val="18"/>
              </w:rPr>
              <w:t>Non</w:t>
            </w:r>
          </w:p>
        </w:tc>
        <w:tc>
          <w:tcPr>
            <w:tcW w:type="dxa" w:w="2665"/>
          </w:tcPr>
          <w:p>
            <w:r/>
            <w:r>
              <w:rPr>
                <w:sz w:val="18"/>
              </w:rPr>
              <w:t>Joint les jetons, et découpe le nom du fichier au dépôt</w:t>
            </w:r>
          </w:p>
        </w:tc>
      </w:tr>
      <w:tr>
        <w:tc>
          <w:tcPr>
            <w:tcW w:type="dxa" w:w="1474"/>
          </w:tcPr>
          <w:p>
            <w:r/>
            <w:r>
              <w:rPr>
                <w:sz w:val="18"/>
              </w:rPr>
              <w:t>Charte de nommage</w:t>
            </w:r>
          </w:p>
        </w:tc>
        <w:tc>
          <w:tcPr>
            <w:tcW w:type="dxa" w:w="1701"/>
          </w:tcPr>
          <w:p>
            <w:r/>
            <w:r>
              <w:rPr>
                <w:sz w:val="18"/>
              </w:rPr>
              <w:t>Texte structuré, 2 000 caractères</w:t>
            </w:r>
          </w:p>
        </w:tc>
        <w:tc>
          <w:tcPr>
            <w:tcW w:type="dxa" w:w="850"/>
          </w:tcPr>
          <w:p>
            <w:r/>
            <w:r>
              <w:rPr>
                <w:sz w:val="18"/>
              </w:rPr>
              <w:t>Non</w:t>
            </w:r>
          </w:p>
        </w:tc>
        <w:tc>
          <w:tcPr>
            <w:tcW w:type="dxa" w:w="1134"/>
          </w:tcPr>
          <w:p>
            <w:r/>
            <w:r>
              <w:rPr>
                <w:sz w:val="18"/>
              </w:rPr>
              <w:t>Vide</w:t>
            </w:r>
          </w:p>
        </w:tc>
        <w:tc>
          <w:tcPr>
            <w:tcW w:type="dxa" w:w="1814"/>
          </w:tcPr>
          <w:p>
            <w:r/>
            <w:r>
              <w:rPr>
                <w:sz w:val="18"/>
              </w:rPr>
              <w:t>Non</w:t>
            </w:r>
          </w:p>
        </w:tc>
        <w:tc>
          <w:tcPr>
            <w:tcW w:type="dxa" w:w="2665"/>
          </w:tcPr>
          <w:p>
            <w:r/>
            <w:r>
              <w:rPr>
                <w:sz w:val="18"/>
              </w:rPr>
              <w:t>Suite ordonnée de jetons : identifiants d'index ou clés système</w:t>
            </w:r>
          </w:p>
        </w:tc>
      </w:tr>
      <w:tr>
        <w:tc>
          <w:tcPr>
            <w:tcW w:type="dxa" w:w="1474"/>
          </w:tcPr>
          <w:p>
            <w:r/>
            <w:r>
              <w:rPr>
                <w:sz w:val="18"/>
              </w:rPr>
              <w:t>Index du plan</w:t>
            </w:r>
          </w:p>
        </w:tc>
        <w:tc>
          <w:tcPr>
            <w:tcW w:type="dxa" w:w="1701"/>
          </w:tcPr>
          <w:p>
            <w:r/>
            <w:r>
              <w:rPr>
                <w:sz w:val="18"/>
              </w:rPr>
              <w:t>Liaison plusieurs-à-plusieurs ordonnée</w:t>
            </w:r>
          </w:p>
        </w:tc>
        <w:tc>
          <w:tcPr>
            <w:tcW w:type="dxa" w:w="850"/>
          </w:tcPr>
          <w:p>
            <w:r/>
            <w:r>
              <w:rPr>
                <w:sz w:val="18"/>
              </w:rPr>
              <w:t>Non</w:t>
            </w:r>
          </w:p>
        </w:tc>
        <w:tc>
          <w:tcPr>
            <w:tcW w:type="dxa" w:w="1134"/>
          </w:tcPr>
          <w:p>
            <w:r/>
            <w:r>
              <w:rPr>
                <w:sz w:val="18"/>
              </w:rPr>
              <w:t>Liste vide</w:t>
            </w:r>
          </w:p>
        </w:tc>
        <w:tc>
          <w:tcPr>
            <w:tcW w:type="dxa" w:w="1814"/>
          </w:tcPr>
          <w:p>
            <w:r/>
            <w:r>
              <w:rPr>
                <w:sz w:val="18"/>
              </w:rPr>
              <w:t>Non</w:t>
            </w:r>
          </w:p>
        </w:tc>
        <w:tc>
          <w:tcPr>
            <w:tcW w:type="dxa" w:w="2665"/>
          </w:tcPr>
          <w:p>
            <w:r/>
            <w:r>
              <w:rPr>
                <w:sz w:val="18"/>
              </w:rPr>
              <w:t>Vers les index ; la colonne de position porte l'ordre</w:t>
            </w:r>
          </w:p>
        </w:tc>
      </w:tr>
      <w:tr>
        <w:tc>
          <w:tcPr>
            <w:tcW w:type="dxa" w:w="1474"/>
          </w:tcPr>
          <w:p>
            <w:r/>
            <w:r>
              <w:rPr>
                <w:sz w:val="18"/>
              </w:rPr>
              <w:t>Corbeille</w:t>
            </w:r>
          </w:p>
        </w:tc>
        <w:tc>
          <w:tcPr>
            <w:tcW w:type="dxa" w:w="1701"/>
          </w:tcPr>
          <w:p>
            <w:r/>
            <w:r>
              <w:rPr>
                <w:sz w:val="18"/>
              </w:rPr>
              <w:t>Booléen</w:t>
            </w:r>
          </w:p>
        </w:tc>
        <w:tc>
          <w:tcPr>
            <w:tcW w:type="dxa" w:w="850"/>
          </w:tcPr>
          <w:p>
            <w:r/>
            <w:r>
              <w:rPr>
                <w:sz w:val="18"/>
              </w:rPr>
              <w:t>Oui</w:t>
            </w:r>
          </w:p>
        </w:tc>
        <w:tc>
          <w:tcPr>
            <w:tcW w:type="dxa" w:w="1134"/>
          </w:tcPr>
          <w:p>
            <w:r/>
            <w:r>
              <w:rPr>
                <w:sz w:val="18"/>
              </w:rPr>
              <w:t>Faux</w:t>
            </w:r>
          </w:p>
        </w:tc>
        <w:tc>
          <w:tcPr>
            <w:tcW w:type="dxa" w:w="1814"/>
          </w:tcPr>
          <w:p>
            <w:r/>
            <w:r>
              <w:rPr>
                <w:sz w:val="18"/>
              </w:rPr>
              <w:t>Non</w:t>
            </w:r>
          </w:p>
        </w:tc>
        <w:tc>
          <w:tcPr>
            <w:tcW w:type="dxa" w:w="2665"/>
          </w:tcPr>
          <w:p>
            <w:r/>
            <w:r>
              <w:rPr>
                <w:sz w:val="18"/>
              </w:rPr>
              <w:t>Filtre de toutes les listes</w:t>
            </w:r>
          </w:p>
        </w:tc>
      </w:tr>
      <w:tr>
        <w:tc>
          <w:tcPr>
            <w:tcW w:type="dxa" w:w="1474"/>
          </w:tcPr>
          <w:p>
            <w:r/>
            <w:r>
              <w:rPr>
                <w:sz w:val="18"/>
              </w:rPr>
              <w:t>Dates de création et de mise à jour</w:t>
            </w:r>
          </w:p>
        </w:tc>
        <w:tc>
          <w:tcPr>
            <w:tcW w:type="dxa" w:w="1701"/>
          </w:tcPr>
          <w:p>
            <w:r/>
            <w:r>
              <w:rPr>
                <w:sz w:val="18"/>
              </w:rPr>
              <w:t>Horodatages</w:t>
            </w:r>
          </w:p>
        </w:tc>
        <w:tc>
          <w:tcPr>
            <w:tcW w:type="dxa" w:w="850"/>
          </w:tcPr>
          <w:p>
            <w:r/>
            <w:r>
              <w:rPr>
                <w:sz w:val="18"/>
              </w:rPr>
              <w:t>Renseignées automatiquement</w:t>
            </w:r>
          </w:p>
        </w:tc>
        <w:tc>
          <w:tcPr>
            <w:tcW w:type="dxa" w:w="1134"/>
          </w:tcPr>
          <w:p>
            <w:r/>
            <w:r>
              <w:rPr>
                <w:sz w:val="18"/>
              </w:rPr>
              <w:t>Instant de l'écriture</w:t>
            </w:r>
          </w:p>
        </w:tc>
        <w:tc>
          <w:tcPr>
            <w:tcW w:type="dxa" w:w="1814"/>
          </w:tcPr>
          <w:p>
            <w:r/>
            <w:r>
              <w:rPr>
                <w:sz w:val="18"/>
              </w:rPr>
              <w:t>Non</w:t>
            </w:r>
          </w:p>
        </w:tc>
        <w:tc>
          <w:tcPr>
            <w:tcW w:type="dxa" w:w="2665"/>
          </w:tcPr>
          <w:p>
            <w:r/>
            <w:r>
              <w:rPr>
                <w:sz w:val="18"/>
              </w:rPr>
              <w:t>Aucune</w:t>
            </w:r>
          </w:p>
        </w:tc>
      </w:tr>
    </w:tbl>
    <w:p>
      <w:pPr>
        <w:spacing w:after="160"/>
      </w:pPr>
    </w:p>
    <w:p>
      <w:pPr>
        <w:pStyle w:val="Heading2"/>
      </w:pPr>
      <w:r>
        <w:t>2.1 Deux listes d'index qu'il ne faut pas confondre</w:t>
      </w:r>
    </w:p>
    <w:p>
      <w:r>
        <w:t>Le plan porte deux collections distinctes, et c'est la subtilité principale de son modèle. La première est la liste des index du plan : ce sont les champs de métadonnées que le plan regroupe, ceux qui seront présentés à l'opérateur au moment d'indexer un document. La seconde est la charte de nommage : la suite ordonnée des jetons qui composent le nom du fichier.</w:t>
      </w:r>
    </w:p>
    <w:p>
      <w:r>
        <w:t>Réutiliser la première pour la seconde aurait interdit deux libertés. D'une part, un plan peut porter des index sans qu'ils entrent tous dans le nom : on peut vouloir enregistrer le fournisseur sans l'inscrire dans le nom du document. D'autre part, la charte peut contenir des jetons système — la date du jour, l'heure — qui n'existent dans aucune table et ne peuvent donc pas figurer dans une liaison vers les index.</w:t>
      </w:r>
    </w:p>
    <w:p>
      <w:pPr>
        <w:pStyle w:val="Heading2"/>
      </w:pPr>
      <w:r>
        <w:t>2.2 La charte de nommage, telle qu'elle est stockée</w:t>
      </w:r>
    </w:p>
    <w:p>
      <w:r>
        <w:t>La charte n'occupe pas de table propre : elle tient dans une colonne unique de la ligne du plan, sous la forme d'un texte structuré à trois clés. Ce format est celui de l'application d'origine, conservé sans modification pour qu'un plan créé dans l'une des deux applications reste lisible par l'autre. Les trois clés sont les suivantes, décrites ici en toutes lettres.</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871"/>
          </w:tcPr>
          <w:p>
            <w:r/>
            <w:r>
              <w:rPr>
                <w:b/>
                <w:sz w:val="19"/>
              </w:rPr>
              <w:t>Clé conservée</w:t>
            </w:r>
          </w:p>
        </w:tc>
        <w:tc>
          <w:tcPr>
            <w:tcW w:type="dxa" w:w="3628"/>
          </w:tcPr>
          <w:p>
            <w:r/>
            <w:r>
              <w:rPr>
                <w:b/>
                <w:sz w:val="19"/>
              </w:rPr>
              <w:t>Ce qu'elle contient</w:t>
            </w:r>
          </w:p>
        </w:tc>
        <w:tc>
          <w:tcPr>
            <w:tcW w:type="dxa" w:w="4139"/>
          </w:tcPr>
          <w:p>
            <w:r/>
            <w:r>
              <w:rPr>
                <w:b/>
                <w:sz w:val="19"/>
              </w:rPr>
              <w:t>Ce qui en est fait à la lecture</w:t>
            </w:r>
          </w:p>
        </w:tc>
      </w:tr>
      <w:tr>
        <w:tc>
          <w:tcPr>
            <w:tcW w:type="dxa" w:w="1871"/>
          </w:tcPr>
          <w:p>
            <w:r/>
            <w:r>
              <w:rPr>
                <w:sz w:val="18"/>
              </w:rPr>
              <w:t>La suite des jetons</w:t>
            </w:r>
          </w:p>
        </w:tc>
        <w:tc>
          <w:tcPr>
            <w:tcW w:type="dxa" w:w="3628"/>
          </w:tcPr>
          <w:p>
            <w:r/>
            <w:r>
              <w:rPr>
                <w:sz w:val="18"/>
              </w:rPr>
              <w:t>La liste ordonnée des jetons qui composent le nom, chacun écrit sous forme de texte : soit l'identifiant d'un index, soit la clé d'un jeton système.</w:t>
            </w:r>
          </w:p>
        </w:tc>
        <w:tc>
          <w:tcPr>
            <w:tcW w:type="dxa" w:w="4139"/>
          </w:tcPr>
          <w:p>
            <w:r/>
            <w:r>
              <w:rPr>
                <w:sz w:val="18"/>
              </w:rPr>
              <w:t>C'est la seule clé réellement exploitée. Elle est relue pour produire l'aperçu et, au dépôt, pour composer le nom du document. Une liste absente, vide ou illisible est traitée comme une charte vide.</w:t>
            </w:r>
          </w:p>
        </w:tc>
      </w:tr>
      <w:tr>
        <w:tc>
          <w:tcPr>
            <w:tcW w:type="dxa" w:w="1871"/>
          </w:tcPr>
          <w:p>
            <w:r/>
            <w:r>
              <w:rPr>
                <w:sz w:val="18"/>
              </w:rPr>
              <w:t>Le séparateur</w:t>
            </w:r>
          </w:p>
        </w:tc>
        <w:tc>
          <w:tcPr>
            <w:tcW w:type="dxa" w:w="3628"/>
          </w:tcPr>
          <w:p>
            <w:r/>
            <w:r>
              <w:rPr>
                <w:sz w:val="18"/>
              </w:rPr>
              <w:t>Le caractère qui joint les jetons, recopié dans la charte alors qu'il possède déjà sa propre colonne dans la ligne du plan.</w:t>
            </w:r>
          </w:p>
        </w:tc>
        <w:tc>
          <w:tcPr>
            <w:tcW w:type="dxa" w:w="4139"/>
          </w:tcPr>
          <w:p>
            <w:r/>
            <w:r>
              <w:rPr>
                <w:sz w:val="18"/>
              </w:rPr>
              <w:t>Ignoré. La colonne du plan fait seule autorité, à l'affichage comme au dépôt. La copie n'est conservée que parce que le format d'origine la comporte.</w:t>
            </w:r>
          </w:p>
        </w:tc>
      </w:tr>
      <w:tr>
        <w:tc>
          <w:tcPr>
            <w:tcW w:type="dxa" w:w="1871"/>
          </w:tcPr>
          <w:p>
            <w:r/>
            <w:r>
              <w:rPr>
                <w:sz w:val="18"/>
              </w:rPr>
              <w:t>L'indicateur de casse</w:t>
            </w:r>
          </w:p>
        </w:tc>
        <w:tc>
          <w:tcPr>
            <w:tcW w:type="dxa" w:w="3628"/>
          </w:tcPr>
          <w:p>
            <w:r/>
            <w:r>
              <w:rPr>
                <w:sz w:val="18"/>
              </w:rPr>
              <w:t>Un vrai ou un faux disant si le nom composé doit être mis en majuscules, lui aussi doublé par une colonne du plan.</w:t>
            </w:r>
          </w:p>
        </w:tc>
        <w:tc>
          <w:tcPr>
            <w:tcW w:type="dxa" w:w="4139"/>
          </w:tcPr>
          <w:p>
            <w:r/>
            <w:r>
              <w:rPr>
                <w:sz w:val="18"/>
              </w:rPr>
              <w:t>Ignoré, pour la même raison et avec la même conséquence : deux emplacements portent la même information, et un seul est lu.</w:t>
            </w:r>
          </w:p>
        </w:tc>
      </w:tr>
    </w:tbl>
    <w:p>
      <w:pPr>
        <w:spacing w:after="160"/>
      </w:pPr>
    </w:p>
    <w:p>
      <w:r>
        <w:t>Cette redondance mérite d'être signalée : le séparateur et la casse sont écrits à deux endroits à chaque enregistrement, et rien ne garantit qu'ils y restent identiques si la colonne du plan est un jour modifiée par un autre chemin que celui de l'écran. La lecture ne s'appuyant que sur les colonnes, la divergence resterait invisible ; elle deviendrait un piège pour toute reprise de données qui ferait confiance à la charte plutôt qu'aux colonnes.</w:t>
      </w:r>
    </w:p>
    <w:p>
      <w:r>
        <w:t>Voici, à titre d'illustration unique, ce que contient la colonne pour un plan dont le nom se compose d'un numéro, d'une date d'émission et de la date du jour.</w:t>
      </w:r>
    </w:p>
    <w:p>
      <w:pPr>
        <w:keepLines/>
        <w:spacing w:before="0" w:after="0" w:line="240" w:lineRule="auto"/>
        <w:ind w:left="227"/>
        <w:shd w:val="clear" w:color="auto" w:fill="F4F5F7"/>
      </w:pPr>
      <w:r>
        <w:rPr>
          <w:rFonts w:ascii="Consolas" w:hAnsi="Consolas" w:cs="Consolas" w:eastAsia="Consolas"/>
          <w:sz w:val="18"/>
        </w:rPr>
        <w:t xml:space="preserve">  Colonne « charte de nommage » — lecture d'un exemple</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Suite des jetons  :  « 3 »  puis  « 7 »  puis  « date »</w:t>
      </w:r>
    </w:p>
    <w:p>
      <w:pPr>
        <w:keepLines/>
        <w:spacing w:before="0" w:after="0" w:line="240" w:lineRule="auto"/>
        <w:ind w:left="227"/>
        <w:shd w:val="clear" w:color="auto" w:fill="F4F5F7"/>
      </w:pPr>
      <w:r>
        <w:rPr>
          <w:rFonts w:ascii="Consolas" w:hAnsi="Consolas" w:cs="Consolas" w:eastAsia="Consolas"/>
          <w:sz w:val="18"/>
        </w:rPr>
        <w:t xml:space="preserve">  Séparateur        :  tiret bas</w:t>
      </w:r>
    </w:p>
    <w:p>
      <w:pPr>
        <w:keepLines/>
        <w:spacing w:before="0" w:after="0" w:line="240" w:lineRule="auto"/>
        <w:ind w:left="227"/>
        <w:shd w:val="clear" w:color="auto" w:fill="F4F5F7"/>
      </w:pPr>
      <w:r>
        <w:rPr>
          <w:rFonts w:ascii="Consolas" w:hAnsi="Consolas" w:cs="Consolas" w:eastAsia="Consolas"/>
          <w:sz w:val="18"/>
        </w:rPr>
        <w:t xml:space="preserve">  Casse             :  minuscule</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 3 »     -&gt; index d'identifiant 3, résolu par la valeur saisie au dépôt</w:t>
      </w:r>
    </w:p>
    <w:p>
      <w:pPr>
        <w:keepLines/>
        <w:spacing w:before="0" w:after="0" w:line="240" w:lineRule="auto"/>
        <w:ind w:left="227"/>
        <w:shd w:val="clear" w:color="auto" w:fill="F4F5F7"/>
      </w:pPr>
      <w:r>
        <w:rPr>
          <w:rFonts w:ascii="Consolas" w:hAnsi="Consolas" w:cs="Consolas" w:eastAsia="Consolas"/>
          <w:sz w:val="18"/>
        </w:rPr>
        <w:t xml:space="preserve">  « 7 »     -&gt; index d'identifiant 7, même mécanisme</w:t>
      </w:r>
    </w:p>
    <w:p>
      <w:pPr>
        <w:keepLines/>
        <w:spacing w:before="0" w:after="0" w:line="240" w:lineRule="auto"/>
        <w:ind w:left="227"/>
        <w:shd w:val="clear" w:color="auto" w:fill="F4F5F7"/>
      </w:pPr>
      <w:r>
        <w:rPr>
          <w:rFonts w:ascii="Consolas" w:hAnsi="Consolas" w:cs="Consolas" w:eastAsia="Consolas"/>
          <w:sz w:val="18"/>
        </w:rPr>
        <w:t xml:space="preserve">  « date »  -&gt; jeton système, résolu par le serveur au moment du dépôt</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Les deux dernières informations sont recopiées dans la charte en plus</w:t>
      </w:r>
    </w:p>
    <w:p>
      <w:pPr>
        <w:keepLines/>
        <w:spacing w:before="0" w:after="0" w:line="240" w:lineRule="auto"/>
        <w:ind w:left="227"/>
        <w:shd w:val="clear" w:color="auto" w:fill="F4F5F7"/>
      </w:pPr>
      <w:r>
        <w:rPr>
          <w:rFonts w:ascii="Consolas" w:hAnsi="Consolas" w:cs="Consolas" w:eastAsia="Consolas"/>
          <w:sz w:val="18"/>
        </w:rPr>
        <w:t xml:space="preserve">  d'être stockées dans leurs propres colonnes : c'est le format d'origine,</w:t>
      </w:r>
    </w:p>
    <w:p>
      <w:pPr>
        <w:keepLines/>
        <w:spacing w:before="0" w:after="0" w:line="240" w:lineRule="auto"/>
        <w:ind w:left="227"/>
        <w:shd w:val="clear" w:color="auto" w:fill="F4F5F7"/>
      </w:pPr>
      <w:r>
        <w:rPr>
          <w:rFonts w:ascii="Consolas" w:hAnsi="Consolas" w:cs="Consolas" w:eastAsia="Consolas"/>
          <w:sz w:val="18"/>
        </w:rPr>
        <w:t xml:space="preserve">  conservé tel quel. En lecture, ce sont les colonnes qui font foi.</w:t>
      </w:r>
    </w:p>
    <w:p>
      <w:pPr>
        <w:spacing w:after="120"/>
      </w:pPr>
    </w:p>
    <w:p>
      <w:pPr>
        <w:pStyle w:val="Heading2"/>
      </w:pPr>
      <w:r>
        <w:t>2.3 Les jetons système</w:t>
      </w:r>
    </w:p>
    <w:p>
      <w:r>
        <w:t>Cinq jetons système sont proposés. Leur clé technique est celle de l'application d'origine, conservée telle quelle, y compris lorsqu'elle comporte une faute de frappe historique — un plan exporté d'une application doit rester lisible par l'autre. Le libellé est ce que voit l'administrateur ; la valeur est ce que le serveur écrit au moment du dépôt.</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1474"/>
          </w:tcPr>
          <w:p>
            <w:r/>
            <w:r>
              <w:rPr>
                <w:b/>
                <w:sz w:val="19"/>
              </w:rPr>
              <w:t>Clé conservée</w:t>
            </w:r>
          </w:p>
        </w:tc>
        <w:tc>
          <w:tcPr>
            <w:tcW w:type="dxa" w:w="1701"/>
          </w:tcPr>
          <w:p>
            <w:r/>
            <w:r>
              <w:rPr>
                <w:b/>
                <w:sz w:val="19"/>
              </w:rPr>
              <w:t>Libellé affiché</w:t>
            </w:r>
          </w:p>
        </w:tc>
        <w:tc>
          <w:tcPr>
            <w:tcW w:type="dxa" w:w="4082"/>
          </w:tcPr>
          <w:p>
            <w:r/>
            <w:r>
              <w:rPr>
                <w:b/>
                <w:sz w:val="19"/>
              </w:rPr>
              <w:t>Valeur produite au dépôt</w:t>
            </w:r>
          </w:p>
        </w:tc>
        <w:tc>
          <w:tcPr>
            <w:tcW w:type="dxa" w:w="2381"/>
          </w:tcPr>
          <w:p>
            <w:r/>
            <w:r>
              <w:rPr>
                <w:b/>
                <w:sz w:val="19"/>
              </w:rPr>
              <w:t>Exemple au 13 août 2026, 10 h 53 min 01 s</w:t>
            </w:r>
          </w:p>
        </w:tc>
      </w:tr>
      <w:tr>
        <w:tc>
          <w:tcPr>
            <w:tcW w:type="dxa" w:w="1474"/>
          </w:tcPr>
          <w:p>
            <w:r/>
            <w:r>
              <w:rPr>
                <w:sz w:val="18"/>
              </w:rPr>
              <w:t>date</w:t>
            </w:r>
          </w:p>
        </w:tc>
        <w:tc>
          <w:tcPr>
            <w:tcW w:type="dxa" w:w="1701"/>
          </w:tcPr>
          <w:p>
            <w:r/>
            <w:r>
              <w:rPr>
                <w:sz w:val="18"/>
              </w:rPr>
              <w:t>DATE</w:t>
            </w:r>
          </w:p>
        </w:tc>
        <w:tc>
          <w:tcPr>
            <w:tcW w:type="dxa" w:w="4082"/>
          </w:tcPr>
          <w:p>
            <w:r/>
            <w:r>
              <w:rPr>
                <w:sz w:val="18"/>
              </w:rPr>
              <w:t>Année sur deux chiffres, mois sur deux, jour sur deux, accolés</w:t>
            </w:r>
          </w:p>
        </w:tc>
        <w:tc>
          <w:tcPr>
            <w:tcW w:type="dxa" w:w="2381"/>
          </w:tcPr>
          <w:p>
            <w:r/>
            <w:r>
              <w:rPr>
                <w:sz w:val="18"/>
              </w:rPr>
              <w:t>260813</w:t>
            </w:r>
          </w:p>
        </w:tc>
      </w:tr>
      <w:tr>
        <w:tc>
          <w:tcPr>
            <w:tcW w:type="dxa" w:w="1474"/>
          </w:tcPr>
          <w:p>
            <w:r/>
            <w:r>
              <w:rPr>
                <w:sz w:val="18"/>
              </w:rPr>
              <w:t>houres</w:t>
            </w:r>
          </w:p>
        </w:tc>
        <w:tc>
          <w:tcPr>
            <w:tcW w:type="dxa" w:w="1701"/>
          </w:tcPr>
          <w:p>
            <w:r/>
            <w:r>
              <w:rPr>
                <w:sz w:val="18"/>
              </w:rPr>
              <w:t>HOUR</w:t>
            </w:r>
          </w:p>
        </w:tc>
        <w:tc>
          <w:tcPr>
            <w:tcW w:type="dxa" w:w="4082"/>
          </w:tcPr>
          <w:p>
            <w:r/>
            <w:r>
              <w:rPr>
                <w:sz w:val="18"/>
              </w:rPr>
              <w:t>Heures, minutes, secondes sur deux chiffres, accolées</w:t>
            </w:r>
          </w:p>
        </w:tc>
        <w:tc>
          <w:tcPr>
            <w:tcW w:type="dxa" w:w="2381"/>
          </w:tcPr>
          <w:p>
            <w:r/>
            <w:r>
              <w:rPr>
                <w:sz w:val="18"/>
              </w:rPr>
              <w:t>105301</w:t>
            </w:r>
          </w:p>
        </w:tc>
      </w:tr>
      <w:tr>
        <w:tc>
          <w:tcPr>
            <w:tcW w:type="dxa" w:w="1474"/>
          </w:tcPr>
          <w:p>
            <w:r/>
            <w:r>
              <w:rPr>
                <w:sz w:val="18"/>
              </w:rPr>
              <w:t>months</w:t>
            </w:r>
          </w:p>
        </w:tc>
        <w:tc>
          <w:tcPr>
            <w:tcW w:type="dxa" w:w="1701"/>
          </w:tcPr>
          <w:p>
            <w:r/>
            <w:r>
              <w:rPr>
                <w:sz w:val="18"/>
              </w:rPr>
              <w:t>MONTH</w:t>
            </w:r>
          </w:p>
        </w:tc>
        <w:tc>
          <w:tcPr>
            <w:tcW w:type="dxa" w:w="4082"/>
          </w:tcPr>
          <w:p>
            <w:r/>
            <w:r>
              <w:rPr>
                <w:sz w:val="18"/>
              </w:rPr>
              <w:t>Mois sur deux chiffres</w:t>
            </w:r>
          </w:p>
        </w:tc>
        <w:tc>
          <w:tcPr>
            <w:tcW w:type="dxa" w:w="2381"/>
          </w:tcPr>
          <w:p>
            <w:r/>
            <w:r>
              <w:rPr>
                <w:sz w:val="18"/>
              </w:rPr>
              <w:t>08</w:t>
            </w:r>
          </w:p>
        </w:tc>
      </w:tr>
      <w:tr>
        <w:tc>
          <w:tcPr>
            <w:tcW w:type="dxa" w:w="1474"/>
          </w:tcPr>
          <w:p>
            <w:r/>
            <w:r>
              <w:rPr>
                <w:sz w:val="18"/>
              </w:rPr>
              <w:t>days</w:t>
            </w:r>
          </w:p>
        </w:tc>
        <w:tc>
          <w:tcPr>
            <w:tcW w:type="dxa" w:w="1701"/>
          </w:tcPr>
          <w:p>
            <w:r/>
            <w:r>
              <w:rPr>
                <w:sz w:val="18"/>
              </w:rPr>
              <w:t>DAY</w:t>
            </w:r>
          </w:p>
        </w:tc>
        <w:tc>
          <w:tcPr>
            <w:tcW w:type="dxa" w:w="4082"/>
          </w:tcPr>
          <w:p>
            <w:r/>
            <w:r>
              <w:rPr>
                <w:sz w:val="18"/>
              </w:rPr>
              <w:t>Jour sur deux chiffres</w:t>
            </w:r>
          </w:p>
        </w:tc>
        <w:tc>
          <w:tcPr>
            <w:tcW w:type="dxa" w:w="2381"/>
          </w:tcPr>
          <w:p>
            <w:r/>
            <w:r>
              <w:rPr>
                <w:sz w:val="18"/>
              </w:rPr>
              <w:t>13</w:t>
            </w:r>
          </w:p>
        </w:tc>
      </w:tr>
      <w:tr>
        <w:tc>
          <w:tcPr>
            <w:tcW w:type="dxa" w:w="1474"/>
          </w:tcPr>
          <w:p>
            <w:r/>
            <w:r>
              <w:rPr>
                <w:sz w:val="18"/>
              </w:rPr>
              <w:t>year</w:t>
            </w:r>
          </w:p>
        </w:tc>
        <w:tc>
          <w:tcPr>
            <w:tcW w:type="dxa" w:w="1701"/>
          </w:tcPr>
          <w:p>
            <w:r/>
            <w:r>
              <w:rPr>
                <w:sz w:val="18"/>
              </w:rPr>
              <w:t>YEAR</w:t>
            </w:r>
          </w:p>
        </w:tc>
        <w:tc>
          <w:tcPr>
            <w:tcW w:type="dxa" w:w="4082"/>
          </w:tcPr>
          <w:p>
            <w:r/>
            <w:r>
              <w:rPr>
                <w:sz w:val="18"/>
              </w:rPr>
              <w:t>Année sur deux chiffres</w:t>
            </w:r>
          </w:p>
        </w:tc>
        <w:tc>
          <w:tcPr>
            <w:tcW w:type="dxa" w:w="2381"/>
          </w:tcPr>
          <w:p>
            <w:r/>
            <w:r>
              <w:rPr>
                <w:sz w:val="18"/>
              </w:rPr>
              <w:t>26</w:t>
            </w:r>
          </w:p>
        </w:tc>
      </w:tr>
    </w:tbl>
    <w:p>
      <w:pPr>
        <w:spacing w:after="160"/>
      </w:pPr>
    </w:p>
    <w:p>
      <w:r>
        <w:t>Deux remarques. Le jeton DATE produit une date compacte à année sur deux chiffres, qui n'est pas le format ISO utilisé partout ailleurs dans l'application pour les valeurs d'index. Et l'heure est résolue à la seconde : deux dépôts successifs séparés d'une seconde produisent deux noms différents, ce qui est précisément l'usage attendu de ce jeton.</w:t>
      </w:r>
    </w:p>
    <w:p>
      <w:pPr>
        <w:pStyle w:val="Heading2"/>
      </w:pPr>
      <w:r>
        <w:t>2.4 Le mode d'indexation</w:t>
      </w:r>
    </w:p>
    <w:p>
      <w:r>
        <w:t>Le champ « mode d'indexation » est conservé et renvoyé, mais il n'est plus piloté par l'écran : le formulaire relit la valeur existante et la renvoie inchangée à l'enregistrement, plutôt que de la remettre à faux d'office, ce qui modifierait en silence les plans qui la portent à vrai. La raison en est que le caractère automatique de l'indexation se décide désormais au dépôt du document et non dans le plan : un même plan sert des dépôts lus automatiquement et d'autres saisis à la main. La valeur reste transmise à l'écran d'analyse d'un document déposé.</w:t>
      </w:r>
    </w:p>
    <w:p>
      <w:pPr>
        <w:pStyle w:val="Heading1"/>
      </w:pPr>
      <w:r>
        <w:t>3. Les relations</w:t>
      </w:r>
    </w:p>
    <w:p>
      <w:pPr>
        <w:pStyle w:val="Heading2"/>
      </w:pPr>
      <w:r>
        <w:t>3.1 Vers les index — plusieurs-à-plusieurs, ordonnée</w:t>
      </w:r>
    </w:p>
    <w:p>
      <w:r>
        <w:t>Le plan est le côté propriétaire de la relation : c'est lui qui écrit dans la table de liaison, et l'index ignore tout des plans qui l'utilisent. La table de liaison porte trois colonnes : l'identifiant du plan, celui de l'index, et une position. La position est ce qui rend l'ordre durable ; sans elle, l'ordre du nommage dépendrait de l'ordre de restitution de la base, c'est-à-dire de rien de garanti.</w:t>
      </w:r>
    </w:p>
    <w:p>
      <w:r>
        <w:t>La clé primaire de cette table porte sur le couple position et plan. Elle interdit donc deux index à la même position dans un même plan, mais n'interdit pas au même index d'apparaître deux fois dans un plan, à deux positions différentes.</w:t>
      </w:r>
    </w:p>
    <w:p>
      <w:pPr>
        <w:pStyle w:val="Heading2"/>
      </w:pPr>
      <w:r>
        <w:t>3.2 Vers les types de document — un-à-plusieurs, facultative</w:t>
      </w:r>
    </w:p>
    <w:p>
      <w:r>
        <w:t>Un type de document désigne au plus un plan d'indexation ; la colonne correspondante accepte l'absence de valeur, et un type sans plan est un cas valide et fréquent. La relation est portée par le type, jamais par le plan : le plan ne sait pas quels types s'appuient sur lui, et le serveur n'expose aucune opération pour le demander.</w:t>
      </w:r>
    </w:p>
    <w:p>
      <w:pPr>
        <w:pStyle w:val="Heading2"/>
      </w:pPr>
      <w:r>
        <w:t>3.3 Ce qui se passe quand le plan disparaît</w:t>
      </w:r>
    </w:p>
    <w:p>
      <w:r>
        <w:t>Comme partout dans l'application, la suppression est logique : la ligne reste, l'indicateur de corbeille bascule. Les conséquences se lisent à trois endroits.</w:t>
      </w:r>
    </w:p>
    <w:p>
      <w:pPr>
        <w:pStyle w:val="ListBullet"/>
      </w:pPr>
      <w:r>
        <w:t>Le sélecteur de plan du formulaire des types de document exclut les plans en corbeille : un plan supprimé disparaît des choix proposés.</w:t>
      </w:r>
    </w:p>
    <w:p>
      <w:pPr>
        <w:pStyle w:val="ListBullet"/>
      </w:pPr>
      <w:r>
        <w:t>Les types de document qui le désignaient déjà conservent leur lien. La clé étrangère reste valide, la fiche du type continue d'afficher le nom du plan.</w:t>
      </w:r>
    </w:p>
    <w:p>
      <w:pPr>
        <w:pStyle w:val="ListBullet"/>
      </w:pPr>
      <w:r>
        <w:t>Et surtout, le dépôt continue d'utiliser ce plan. Le module d'indexation lit le plan à travers le type, sans vérifier son indicateur de corbeille : les champs sont présentés, les contrôles sont appliqués, le nom est composé, exactement comme si le plan était actif. Le module refuse explicitement un type de document en corbeille, mais pas un plan en corbeille. Cette asymétrie est reprise en section 10.</w:t>
      </w:r>
    </w:p>
    <w:p>
      <w:r>
        <w:t>Une suppression physique du plan serait de son côté refusée par la base tant qu'un type le référence. Aucune opération de ce genre n'est exposée.</w:t>
      </w:r>
    </w:p>
    <w:p>
      <w:pPr>
        <w:pStyle w:val="Heading2"/>
      </w:pPr>
      <w:r>
        <w:t>3.4 Schéma des relations</w:t>
      </w:r>
    </w:p>
    <w:p>
      <w:pPr>
        <w:keepLines/>
        <w:spacing w:before="0" w:after="0" w:line="240" w:lineRule="auto"/>
        <w:ind w:left="227"/>
        <w:shd w:val="clear" w:color="auto" w:fill="F4F5F7"/>
      </w:pPr>
      <w:r>
        <w:rPr>
          <w:rFonts w:ascii="Consolas" w:hAnsi="Consolas" w:cs="Consolas" w:eastAsia="Consolas"/>
          <w:sz w:val="18"/>
        </w:rPr>
        <w:t xml:space="preserve">   INDEX (index du plan)                             JETONS SYSTÈME</w:t>
      </w:r>
    </w:p>
    <w:p>
      <w:pPr>
        <w:keepLines/>
        <w:spacing w:before="0" w:after="0" w:line="240" w:lineRule="auto"/>
        <w:ind w:left="227"/>
        <w:shd w:val="clear" w:color="auto" w:fill="F4F5F7"/>
      </w:pPr>
      <w:r>
        <w:rPr>
          <w:rFonts w:ascii="Consolas" w:hAnsi="Consolas" w:cs="Consolas" w:eastAsia="Consolas"/>
          <w:sz w:val="18"/>
        </w:rPr>
        <w:t xml:space="preserve">        ^                                         (aucune table : 5 clés</w:t>
      </w:r>
    </w:p>
    <w:p>
      <w:pPr>
        <w:keepLines/>
        <w:spacing w:before="0" w:after="0" w:line="240" w:lineRule="auto"/>
        <w:ind w:left="227"/>
        <w:shd w:val="clear" w:color="auto" w:fill="F4F5F7"/>
      </w:pPr>
      <w:r>
        <w:rPr>
          <w:rFonts w:ascii="Consolas" w:hAnsi="Consolas" w:cs="Consolas" w:eastAsia="Consolas"/>
          <w:sz w:val="18"/>
        </w:rPr>
        <w:t xml:space="preserve">        |  référence                               figées dans le code)</w:t>
      </w:r>
    </w:p>
    <w:p>
      <w:pPr>
        <w:keepLines/>
        <w:spacing w:before="0" w:after="0" w:line="240" w:lineRule="auto"/>
        <w:ind w:left="227"/>
        <w:shd w:val="clear" w:color="auto" w:fill="F4F5F7"/>
      </w:pPr>
      <w:r>
        <w:rPr>
          <w:rFonts w:ascii="Consolas" w:hAnsi="Consolas" w:cs="Consolas" w:eastAsia="Consolas"/>
          <w:sz w:val="18"/>
        </w:rPr>
        <w:t xml:space="preserve">        |                                                  |</w:t>
      </w:r>
    </w:p>
    <w:p>
      <w:pPr>
        <w:keepLines/>
        <w:spacing w:before="0" w:after="0" w:line="240" w:lineRule="auto"/>
        <w:ind w:left="227"/>
        <w:shd w:val="clear" w:color="auto" w:fill="F4F5F7"/>
      </w:pPr>
      <w:r>
        <w:rPr>
          <w:rFonts w:ascii="Consolas" w:hAnsi="Consolas" w:cs="Consolas" w:eastAsia="Consolas"/>
          <w:sz w:val="18"/>
        </w:rPr>
        <w:t xml:space="preserve">  +-----+-------------------------------+                  |</w:t>
      </w:r>
    </w:p>
    <w:p>
      <w:pPr>
        <w:keepLines/>
        <w:spacing w:before="0" w:after="0" w:line="240" w:lineRule="auto"/>
        <w:ind w:left="227"/>
        <w:shd w:val="clear" w:color="auto" w:fill="F4F5F7"/>
      </w:pPr>
      <w:r>
        <w:rPr>
          <w:rFonts w:ascii="Consolas" w:hAnsi="Consolas" w:cs="Consolas" w:eastAsia="Consolas"/>
          <w:sz w:val="18"/>
        </w:rPr>
        <w:t xml:space="preserve">  | table de liaison, ordonnée          |                  |</w:t>
      </w:r>
    </w:p>
    <w:p>
      <w:pPr>
        <w:keepLines/>
        <w:spacing w:before="0" w:after="0" w:line="240" w:lineRule="auto"/>
        <w:ind w:left="227"/>
        <w:shd w:val="clear" w:color="auto" w:fill="F4F5F7"/>
      </w:pPr>
      <w:r>
        <w:rPr>
          <w:rFonts w:ascii="Consolas" w:hAnsi="Consolas" w:cs="Consolas" w:eastAsia="Consolas"/>
          <w:sz w:val="18"/>
        </w:rPr>
        <w:t xml:space="preserve">  |   identifiant du plan               |                  |</w:t>
      </w:r>
    </w:p>
    <w:p>
      <w:pPr>
        <w:keepLines/>
        <w:spacing w:before="0" w:after="0" w:line="240" w:lineRule="auto"/>
        <w:ind w:left="227"/>
        <w:shd w:val="clear" w:color="auto" w:fill="F4F5F7"/>
      </w:pPr>
      <w:r>
        <w:rPr>
          <w:rFonts w:ascii="Consolas" w:hAnsi="Consolas" w:cs="Consolas" w:eastAsia="Consolas"/>
          <w:sz w:val="18"/>
        </w:rPr>
        <w:t xml:space="preserve">  |   identifiant de l'index            |                  |</w:t>
      </w:r>
    </w:p>
    <w:p>
      <w:pPr>
        <w:keepLines/>
        <w:spacing w:before="0" w:after="0" w:line="240" w:lineRule="auto"/>
        <w:ind w:left="227"/>
        <w:shd w:val="clear" w:color="auto" w:fill="F4F5F7"/>
      </w:pPr>
      <w:r>
        <w:rPr>
          <w:rFonts w:ascii="Consolas" w:hAnsi="Consolas" w:cs="Consolas" w:eastAsia="Consolas"/>
          <w:sz w:val="18"/>
        </w:rPr>
        <w:t xml:space="preserve">  |   position   &lt;- ordre du plan       |                  |</w:t>
      </w:r>
    </w:p>
    <w:p>
      <w:pPr>
        <w:keepLines/>
        <w:spacing w:before="0" w:after="0" w:line="240" w:lineRule="auto"/>
        <w:ind w:left="227"/>
        <w:shd w:val="clear" w:color="auto" w:fill="F4F5F7"/>
      </w:pPr>
      <w:r>
        <w:rPr>
          <w:rFonts w:ascii="Consolas" w:hAnsi="Consolas" w:cs="Consolas" w:eastAsia="Consolas"/>
          <w:sz w:val="18"/>
        </w:rPr>
        <w:t xml:space="preserve">  +-----+-------------------------------+                  |</w:t>
      </w:r>
    </w:p>
    <w:p>
      <w:pPr>
        <w:keepLines/>
        <w:spacing w:before="0" w:after="0" w:line="240" w:lineRule="auto"/>
        <w:ind w:left="227"/>
        <w:shd w:val="clear" w:color="auto" w:fill="F4F5F7"/>
      </w:pPr>
      <w:r>
        <w:rPr>
          <w:rFonts w:ascii="Consolas" w:hAnsi="Consolas" w:cs="Consolas" w:eastAsia="Consolas"/>
          <w:sz w:val="18"/>
        </w:rPr>
        <w:t xml:space="preserve">        |                                                  |</w:t>
      </w:r>
    </w:p>
    <w:p>
      <w:pPr>
        <w:keepLines/>
        <w:spacing w:before="0" w:after="0" w:line="240" w:lineRule="auto"/>
        <w:ind w:left="227"/>
        <w:shd w:val="clear" w:color="auto" w:fill="F4F5F7"/>
      </w:pPr>
      <w:r>
        <w:rPr>
          <w:rFonts w:ascii="Consolas" w:hAnsi="Consolas" w:cs="Consolas" w:eastAsia="Consolas"/>
          <w:sz w:val="18"/>
        </w:rPr>
        <w:t xml:space="preserve">        v                                                  v</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                  PLAN D'INDEXATION                          |</w:t>
      </w:r>
    </w:p>
    <w:p>
      <w:pPr>
        <w:keepLines/>
        <w:spacing w:before="0" w:after="0" w:line="240" w:lineRule="auto"/>
        <w:ind w:left="227"/>
        <w:shd w:val="clear" w:color="auto" w:fill="F4F5F7"/>
      </w:pPr>
      <w:r>
        <w:rPr>
          <w:rFonts w:ascii="Consolas" w:hAnsi="Consolas" w:cs="Consolas" w:eastAsia="Consolas"/>
          <w:sz w:val="18"/>
        </w:rPr>
        <w:t xml:space="preserve">  |  table : plan_d_indexations                                 |</w:t>
      </w:r>
    </w:p>
    <w:p>
      <w:pPr>
        <w:keepLines/>
        <w:spacing w:before="0" w:after="0" w:line="240" w:lineRule="auto"/>
        <w:ind w:left="227"/>
        <w:shd w:val="clear" w:color="auto" w:fill="F4F5F7"/>
      </w:pPr>
      <w:r>
        <w:rPr>
          <w:rFonts w:ascii="Consolas" w:hAnsi="Consolas" w:cs="Consolas" w:eastAsia="Consolas"/>
          <w:sz w:val="18"/>
        </w:rPr>
        <w:t xml:space="preserve">  |   code (unique) . nom du plan . séparateur . casse          |</w:t>
      </w:r>
    </w:p>
    <w:p>
      <w:pPr>
        <w:keepLines/>
        <w:spacing w:before="0" w:after="0" w:line="240" w:lineRule="auto"/>
        <w:ind w:left="227"/>
        <w:shd w:val="clear" w:color="auto" w:fill="F4F5F7"/>
      </w:pPr>
      <w:r>
        <w:rPr>
          <w:rFonts w:ascii="Consolas" w:hAnsi="Consolas" w:cs="Consolas" w:eastAsia="Consolas"/>
          <w:sz w:val="18"/>
        </w:rPr>
        <w:t xml:space="preserve">  |   nommage manuel . mode d'indexation . corbeille            |</w:t>
      </w:r>
    </w:p>
    <w:p>
      <w:pPr>
        <w:keepLines/>
        <w:spacing w:before="0" w:after="0" w:line="240" w:lineRule="auto"/>
        <w:ind w:left="227"/>
        <w:shd w:val="clear" w:color="auto" w:fill="F4F5F7"/>
      </w:pPr>
      <w:r>
        <w:rPr>
          <w:rFonts w:ascii="Consolas" w:hAnsi="Consolas" w:cs="Consolas" w:eastAsia="Consolas"/>
          <w:sz w:val="18"/>
        </w:rPr>
        <w:t xml:space="preserve">  |   charte de nommage : jetons ordonnés + séparateur + casse  |</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  plan d'indexation (facultatif)</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   TYPE DE DOCUMENT         |</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v</w:t>
      </w:r>
    </w:p>
    <w:p>
      <w:pPr>
        <w:keepLines/>
        <w:spacing w:before="0" w:after="0" w:line="240" w:lineRule="auto"/>
        <w:ind w:left="227"/>
        <w:shd w:val="clear" w:color="auto" w:fill="F4F5F7"/>
      </w:pPr>
      <w:r>
        <w:rPr>
          <w:rFonts w:ascii="Consolas" w:hAnsi="Consolas" w:cs="Consolas" w:eastAsia="Consolas"/>
          <w:sz w:val="18"/>
        </w:rPr>
        <w:t xml:space="preserve">                    DÉPÔT : découpage du nom de fichier,</w:t>
      </w:r>
    </w:p>
    <w:p>
      <w:pPr>
        <w:keepLines/>
        <w:spacing w:before="0" w:after="0" w:line="240" w:lineRule="auto"/>
        <w:ind w:left="227"/>
        <w:shd w:val="clear" w:color="auto" w:fill="F4F5F7"/>
      </w:pPr>
      <w:r>
        <w:rPr>
          <w:rFonts w:ascii="Consolas" w:hAnsi="Consolas" w:cs="Consolas" w:eastAsia="Consolas"/>
          <w:sz w:val="18"/>
        </w:rPr>
        <w:t xml:space="preserve">                    contrôle des valeurs, composition du nom</w:t>
      </w:r>
    </w:p>
    <w:p>
      <w:pPr>
        <w:spacing w:after="120"/>
      </w:pPr>
    </w:p>
    <w:p>
      <w:pPr>
        <w:pStyle w:val="Heading1"/>
      </w:pPr>
      <w:r>
        <w:t>4. Les opérations disponibles</w:t>
      </w:r>
    </w:p>
    <w:p>
      <w:r>
        <w:t>Toutes les adresses sont préfixées par « /api/v1/plan-indexations ».</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2268"/>
          </w:tcPr>
          <w:p>
            <w:r/>
            <w:r>
              <w:rPr>
                <w:b/>
                <w:sz w:val="19"/>
              </w:rPr>
              <w:t>Opération</w:t>
            </w:r>
          </w:p>
        </w:tc>
        <w:tc>
          <w:tcPr>
            <w:tcW w:type="dxa" w:w="2041"/>
          </w:tcPr>
          <w:p>
            <w:r/>
            <w:r>
              <w:rPr>
                <w:b/>
                <w:sz w:val="19"/>
              </w:rPr>
              <w:t>Ce qu'elle fait</w:t>
            </w:r>
          </w:p>
        </w:tc>
        <w:tc>
          <w:tcPr>
            <w:tcW w:type="dxa" w:w="1701"/>
          </w:tcPr>
          <w:p>
            <w:r/>
            <w:r>
              <w:rPr>
                <w:b/>
                <w:sz w:val="19"/>
              </w:rPr>
              <w:t>Ce qu'elle exige</w:t>
            </w:r>
          </w:p>
        </w:tc>
        <w:tc>
          <w:tcPr>
            <w:tcW w:type="dxa" w:w="1474"/>
          </w:tcPr>
          <w:p>
            <w:r/>
            <w:r>
              <w:rPr>
                <w:b/>
                <w:sz w:val="19"/>
              </w:rPr>
              <w:t>Ce qu'elle renvoie</w:t>
            </w:r>
          </w:p>
        </w:tc>
        <w:tc>
          <w:tcPr>
            <w:tcW w:type="dxa" w:w="2154"/>
          </w:tcPr>
          <w:p>
            <w:r/>
            <w:r>
              <w:rPr>
                <w:b/>
                <w:sz w:val="19"/>
              </w:rPr>
              <w:t>Ce qu'elle refuse</w:t>
            </w:r>
          </w:p>
        </w:tc>
      </w:tr>
      <w:tr>
        <w:tc>
          <w:tcPr>
            <w:tcW w:type="dxa" w:w="2268"/>
          </w:tcPr>
          <w:p>
            <w:r/>
            <w:r>
              <w:rPr>
                <w:sz w:val="18"/>
              </w:rPr>
              <w:t>GET /api/v1/plan-indexations</w:t>
            </w:r>
          </w:p>
        </w:tc>
        <w:tc>
          <w:tcPr>
            <w:tcW w:type="dxa" w:w="2041"/>
          </w:tcPr>
          <w:p>
            <w:r/>
            <w:r>
              <w:rPr>
                <w:sz w:val="18"/>
              </w:rPr>
              <w:t>Liste paginée des plans actifs, chacun accompagné de ses index, de ses jetons et de son aperçu recomposé.</w:t>
            </w:r>
          </w:p>
        </w:tc>
        <w:tc>
          <w:tcPr>
            <w:tcW w:type="dxa" w:w="1701"/>
          </w:tcPr>
          <w:p>
            <w:r/>
            <w:r>
              <w:rPr>
                <w:sz w:val="18"/>
              </w:rPr>
              <w:t>Rien ; page, taille, terme recherché, colonne et sens de tri sont facultatifs.</w:t>
            </w:r>
          </w:p>
        </w:tc>
        <w:tc>
          <w:tcPr>
            <w:tcW w:type="dxa" w:w="1474"/>
          </w:tcPr>
          <w:p>
            <w:r/>
            <w:r>
              <w:rPr>
                <w:sz w:val="18"/>
              </w:rPr>
              <w:t>200 : enveloppe de pagination.</w:t>
            </w:r>
          </w:p>
        </w:tc>
        <w:tc>
          <w:tcPr>
            <w:tcW w:type="dxa" w:w="2154"/>
          </w:tcPr>
          <w:p>
            <w:r/>
            <w:r>
              <w:rPr>
                <w:sz w:val="18"/>
              </w:rPr>
              <w:t>400 si le numéro de page est négatif ou hors limites.</w:t>
            </w:r>
          </w:p>
        </w:tc>
      </w:tr>
      <w:tr>
        <w:tc>
          <w:tcPr>
            <w:tcW w:type="dxa" w:w="2268"/>
          </w:tcPr>
          <w:p>
            <w:r/>
            <w:r>
              <w:rPr>
                <w:sz w:val="18"/>
              </w:rPr>
              <w:t>GET /api/v1/plan-indexations/trashed</w:t>
            </w:r>
          </w:p>
        </w:tc>
        <w:tc>
          <w:tcPr>
            <w:tcW w:type="dxa" w:w="2041"/>
          </w:tcPr>
          <w:p>
            <w:r/>
            <w:r>
              <w:rPr>
                <w:sz w:val="18"/>
              </w:rPr>
              <w:t>Même liste, restreinte à la corbeille.</w:t>
            </w:r>
          </w:p>
        </w:tc>
        <w:tc>
          <w:tcPr>
            <w:tcW w:type="dxa" w:w="1701"/>
          </w:tcPr>
          <w:p>
            <w:r/>
            <w:r>
              <w:rPr>
                <w:sz w:val="18"/>
              </w:rPr>
              <w:t>Mêmes paramètres.</w:t>
            </w:r>
          </w:p>
        </w:tc>
        <w:tc>
          <w:tcPr>
            <w:tcW w:type="dxa" w:w="1474"/>
          </w:tcPr>
          <w:p>
            <w:r/>
            <w:r>
              <w:rPr>
                <w:sz w:val="18"/>
              </w:rPr>
              <w:t>200.</w:t>
            </w:r>
          </w:p>
        </w:tc>
        <w:tc>
          <w:tcPr>
            <w:tcW w:type="dxa" w:w="2154"/>
          </w:tcPr>
          <w:p>
            <w:r/>
            <w:r>
              <w:rPr>
                <w:sz w:val="18"/>
              </w:rPr>
              <w:t>Idem.</w:t>
            </w:r>
          </w:p>
        </w:tc>
      </w:tr>
      <w:tr>
        <w:tc>
          <w:tcPr>
            <w:tcW w:type="dxa" w:w="2268"/>
          </w:tcPr>
          <w:p>
            <w:r/>
            <w:r>
              <w:rPr>
                <w:sz w:val="18"/>
              </w:rPr>
              <w:t>GET /api/v1/plan-indexations/jetons-systeme</w:t>
            </w:r>
          </w:p>
        </w:tc>
        <w:tc>
          <w:tcPr>
            <w:tcW w:type="dxa" w:w="2041"/>
          </w:tcPr>
          <w:p>
            <w:r/>
            <w:r>
              <w:rPr>
                <w:sz w:val="18"/>
              </w:rPr>
              <w:t>Catalogue des jetons système : clé technique et libellé.</w:t>
            </w:r>
          </w:p>
        </w:tc>
        <w:tc>
          <w:tcPr>
            <w:tcW w:type="dxa" w:w="1701"/>
          </w:tcPr>
          <w:p>
            <w:r/>
            <w:r>
              <w:rPr>
                <w:sz w:val="18"/>
              </w:rPr>
              <w:t>Rien.</w:t>
            </w:r>
          </w:p>
        </w:tc>
        <w:tc>
          <w:tcPr>
            <w:tcW w:type="dxa" w:w="1474"/>
          </w:tcPr>
          <w:p>
            <w:r/>
            <w:r>
              <w:rPr>
                <w:sz w:val="18"/>
              </w:rPr>
              <w:t>200 : cinq entrées, dans un ordre fixe.</w:t>
            </w:r>
          </w:p>
        </w:tc>
        <w:tc>
          <w:tcPr>
            <w:tcW w:type="dxa" w:w="2154"/>
          </w:tcPr>
          <w:p>
            <w:r/>
            <w:r>
              <w:rPr>
                <w:sz w:val="18"/>
              </w:rPr>
              <w:t>Rien. La liste est figée dans le code, elle ne dépend d'aucune donnée.</w:t>
            </w:r>
          </w:p>
        </w:tc>
      </w:tr>
      <w:tr>
        <w:tc>
          <w:tcPr>
            <w:tcW w:type="dxa" w:w="2268"/>
          </w:tcPr>
          <w:p>
            <w:r/>
            <w:r>
              <w:rPr>
                <w:sz w:val="18"/>
              </w:rPr>
              <w:t>GET /api/v1/plan-indexations/for-select</w:t>
            </w:r>
          </w:p>
        </w:tc>
        <w:tc>
          <w:tcPr>
            <w:tcW w:type="dxa" w:w="2041"/>
          </w:tcPr>
          <w:p>
            <w:r/>
            <w:r>
              <w:rPr>
                <w:sz w:val="18"/>
              </w:rPr>
              <w:t>Liste allégée pour le sélecteur des types de document.</w:t>
            </w:r>
          </w:p>
        </w:tc>
        <w:tc>
          <w:tcPr>
            <w:tcW w:type="dxa" w:w="1701"/>
          </w:tcPr>
          <w:p>
            <w:r/>
            <w:r>
              <w:rPr>
                <w:sz w:val="18"/>
              </w:rPr>
              <w:t>Rien.</w:t>
            </w:r>
          </w:p>
        </w:tc>
        <w:tc>
          <w:tcPr>
            <w:tcW w:type="dxa" w:w="1474"/>
          </w:tcPr>
          <w:p>
            <w:r/>
            <w:r>
              <w:rPr>
                <w:sz w:val="18"/>
              </w:rPr>
              <w:t>200 : identifiant et nom, dans l'ordre de création.</w:t>
            </w:r>
          </w:p>
        </w:tc>
        <w:tc>
          <w:tcPr>
            <w:tcW w:type="dxa" w:w="2154"/>
          </w:tcPr>
          <w:p>
            <w:r/>
            <w:r>
              <w:rPr>
                <w:sz w:val="18"/>
              </w:rPr>
              <w:t>Rien. La corbeille est exclue.</w:t>
            </w:r>
          </w:p>
        </w:tc>
      </w:tr>
      <w:tr>
        <w:tc>
          <w:tcPr>
            <w:tcW w:type="dxa" w:w="2268"/>
          </w:tcPr>
          <w:p>
            <w:r/>
            <w:r>
              <w:rPr>
                <w:sz w:val="18"/>
              </w:rPr>
              <w:t>GET /api/v1/plan-indexations/{id}</w:t>
            </w:r>
          </w:p>
        </w:tc>
        <w:tc>
          <w:tcPr>
            <w:tcW w:type="dxa" w:w="2041"/>
          </w:tcPr>
          <w:p>
            <w:r/>
            <w:r>
              <w:rPr>
                <w:sz w:val="18"/>
              </w:rPr>
              <w:t>Fiche complète, index chargés en une seule requête.</w:t>
            </w:r>
          </w:p>
        </w:tc>
        <w:tc>
          <w:tcPr>
            <w:tcW w:type="dxa" w:w="1701"/>
          </w:tcPr>
          <w:p>
            <w:r/>
            <w:r>
              <w:rPr>
                <w:sz w:val="18"/>
              </w:rPr>
              <w:t>Un identifiant.</w:t>
            </w:r>
          </w:p>
        </w:tc>
        <w:tc>
          <w:tcPr>
            <w:tcW w:type="dxa" w:w="1474"/>
          </w:tcPr>
          <w:p>
            <w:r/>
            <w:r>
              <w:rPr>
                <w:sz w:val="18"/>
              </w:rPr>
              <w:t>200.</w:t>
            </w:r>
          </w:p>
        </w:tc>
        <w:tc>
          <w:tcPr>
            <w:tcW w:type="dxa" w:w="2154"/>
          </w:tcPr>
          <w:p>
            <w:r/>
            <w:r>
              <w:rPr>
                <w:sz w:val="18"/>
              </w:rPr>
              <w:t>404 si le plan n'existe pas. Un plan en corbeille est renvoyé normalement.</w:t>
            </w:r>
          </w:p>
        </w:tc>
      </w:tr>
      <w:tr>
        <w:tc>
          <w:tcPr>
            <w:tcW w:type="dxa" w:w="2268"/>
          </w:tcPr>
          <w:p>
            <w:r/>
            <w:r>
              <w:rPr>
                <w:sz w:val="18"/>
              </w:rPr>
              <w:t>POST /api/v1/plan-indexations</w:t>
            </w:r>
          </w:p>
        </w:tc>
        <w:tc>
          <w:tcPr>
            <w:tcW w:type="dxa" w:w="2041"/>
          </w:tcPr>
          <w:p>
            <w:r/>
            <w:r>
              <w:rPr>
                <w:sz w:val="18"/>
              </w:rPr>
              <w:t>Crée un plan.</w:t>
            </w:r>
          </w:p>
        </w:tc>
        <w:tc>
          <w:tcPr>
            <w:tcW w:type="dxa" w:w="1701"/>
          </w:tcPr>
          <w:p>
            <w:r/>
            <w:r>
              <w:rPr>
                <w:sz w:val="18"/>
              </w:rPr>
              <w:t>Code et nom du plan ; les index, les jetons, le séparateur, la casse et les deux indicateurs sont facultatifs.</w:t>
            </w:r>
          </w:p>
        </w:tc>
        <w:tc>
          <w:tcPr>
            <w:tcW w:type="dxa" w:w="1474"/>
          </w:tcPr>
          <w:p>
            <w:r/>
            <w:r>
              <w:rPr>
                <w:sz w:val="18"/>
              </w:rPr>
              <w:t>201 : la fiche créée, aperçu compris.</w:t>
            </w:r>
          </w:p>
        </w:tc>
        <w:tc>
          <w:tcPr>
            <w:tcW w:type="dxa" w:w="2154"/>
          </w:tcPr>
          <w:p>
            <w:r/>
            <w:r>
              <w:rPr>
                <w:sz w:val="18"/>
              </w:rPr>
              <w:t>400 si le code ou le nom manquent, ou si le code est déjà pris.</w:t>
            </w:r>
          </w:p>
        </w:tc>
      </w:tr>
      <w:tr>
        <w:tc>
          <w:tcPr>
            <w:tcW w:type="dxa" w:w="2268"/>
          </w:tcPr>
          <w:p>
            <w:r/>
            <w:r>
              <w:rPr>
                <w:sz w:val="18"/>
              </w:rPr>
              <w:t>PUT /api/v1/plan-indexations/{id}</w:t>
            </w:r>
          </w:p>
        </w:tc>
        <w:tc>
          <w:tcPr>
            <w:tcW w:type="dxa" w:w="2041"/>
          </w:tcPr>
          <w:p>
            <w:r/>
            <w:r>
              <w:rPr>
                <w:sz w:val="18"/>
              </w:rPr>
              <w:t>Remplace intégralement la définition, index et charte compris.</w:t>
            </w:r>
          </w:p>
        </w:tc>
        <w:tc>
          <w:tcPr>
            <w:tcW w:type="dxa" w:w="1701"/>
          </w:tcPr>
          <w:p>
            <w:r/>
            <w:r>
              <w:rPr>
                <w:sz w:val="18"/>
              </w:rPr>
              <w:t>Un identifiant et le même corps qu'à la création.</w:t>
            </w:r>
          </w:p>
        </w:tc>
        <w:tc>
          <w:tcPr>
            <w:tcW w:type="dxa" w:w="1474"/>
          </w:tcPr>
          <w:p>
            <w:r/>
            <w:r>
              <w:rPr>
                <w:sz w:val="18"/>
              </w:rPr>
              <w:t>200.</w:t>
            </w:r>
          </w:p>
        </w:tc>
        <w:tc>
          <w:tcPr>
            <w:tcW w:type="dxa" w:w="2154"/>
          </w:tcPr>
          <w:p>
            <w:r/>
            <w:r>
              <w:rPr>
                <w:sz w:val="18"/>
              </w:rPr>
              <w:t>404 si le plan n'existe pas ; 400 dans les mêmes cas qu'à la création.</w:t>
            </w:r>
          </w:p>
        </w:tc>
      </w:tr>
      <w:tr>
        <w:tc>
          <w:tcPr>
            <w:tcW w:type="dxa" w:w="2268"/>
          </w:tcPr>
          <w:p>
            <w:r/>
            <w:r>
              <w:rPr>
                <w:sz w:val="18"/>
              </w:rPr>
              <w:t>DELETE /api/v1/plan-indexations/{id}</w:t>
            </w:r>
          </w:p>
        </w:tc>
        <w:tc>
          <w:tcPr>
            <w:tcW w:type="dxa" w:w="2041"/>
          </w:tcPr>
          <w:p>
            <w:r/>
            <w:r>
              <w:rPr>
                <w:sz w:val="18"/>
              </w:rPr>
              <w:t>Met le plan à la corbeille.</w:t>
            </w:r>
          </w:p>
        </w:tc>
        <w:tc>
          <w:tcPr>
            <w:tcW w:type="dxa" w:w="1701"/>
          </w:tcPr>
          <w:p>
            <w:r/>
            <w:r>
              <w:rPr>
                <w:sz w:val="18"/>
              </w:rPr>
              <w:t>Un identifiant.</w:t>
            </w:r>
          </w:p>
        </w:tc>
        <w:tc>
          <w:tcPr>
            <w:tcW w:type="dxa" w:w="1474"/>
          </w:tcPr>
          <w:p>
            <w:r/>
            <w:r>
              <w:rPr>
                <w:sz w:val="18"/>
              </w:rPr>
              <w:t>204.</w:t>
            </w:r>
          </w:p>
        </w:tc>
        <w:tc>
          <w:tcPr>
            <w:tcW w:type="dxa" w:w="2154"/>
          </w:tcPr>
          <w:p>
            <w:r/>
            <w:r>
              <w:rPr>
                <w:sz w:val="18"/>
              </w:rPr>
              <w:t>404 si le plan n'existe pas. Aucune vérification d'usage.</w:t>
            </w:r>
          </w:p>
        </w:tc>
      </w:tr>
      <w:tr>
        <w:tc>
          <w:tcPr>
            <w:tcW w:type="dxa" w:w="2268"/>
          </w:tcPr>
          <w:p>
            <w:r/>
            <w:r>
              <w:rPr>
                <w:sz w:val="18"/>
              </w:rPr>
              <w:t>PATCH /api/v1/plan-indexations/{id}/restore</w:t>
            </w:r>
          </w:p>
        </w:tc>
        <w:tc>
          <w:tcPr>
            <w:tcW w:type="dxa" w:w="2041"/>
          </w:tcPr>
          <w:p>
            <w:r/>
            <w:r>
              <w:rPr>
                <w:sz w:val="18"/>
              </w:rPr>
              <w:t>Sort le plan de la corbeille.</w:t>
            </w:r>
          </w:p>
        </w:tc>
        <w:tc>
          <w:tcPr>
            <w:tcW w:type="dxa" w:w="1701"/>
          </w:tcPr>
          <w:p>
            <w:r/>
            <w:r>
              <w:rPr>
                <w:sz w:val="18"/>
              </w:rPr>
              <w:t>Un identifiant.</w:t>
            </w:r>
          </w:p>
        </w:tc>
        <w:tc>
          <w:tcPr>
            <w:tcW w:type="dxa" w:w="1474"/>
          </w:tcPr>
          <w:p>
            <w:r/>
            <w:r>
              <w:rPr>
                <w:sz w:val="18"/>
              </w:rPr>
              <w:t>204.</w:t>
            </w:r>
          </w:p>
        </w:tc>
        <w:tc>
          <w:tcPr>
            <w:tcW w:type="dxa" w:w="2154"/>
          </w:tcPr>
          <w:p>
            <w:r/>
            <w:r>
              <w:rPr>
                <w:sz w:val="18"/>
              </w:rPr>
              <w:t>404 si le plan n'existe pas.</w:t>
            </w:r>
          </w:p>
        </w:tc>
      </w:tr>
      <w:tr>
        <w:tc>
          <w:tcPr>
            <w:tcW w:type="dxa" w:w="2268"/>
          </w:tcPr>
          <w:p>
            <w:r/>
            <w:r>
              <w:rPr>
                <w:sz w:val="18"/>
              </w:rPr>
              <w:t>DELETE /api/v1/plan-indexations/multiple-delete</w:t>
            </w:r>
          </w:p>
        </w:tc>
        <w:tc>
          <w:tcPr>
            <w:tcW w:type="dxa" w:w="2041"/>
          </w:tcPr>
          <w:p>
            <w:r/>
            <w:r>
              <w:rPr>
                <w:sz w:val="18"/>
              </w:rPr>
              <w:t>Met à la corbeille tous les plans désignés.</w:t>
            </w:r>
          </w:p>
        </w:tc>
        <w:tc>
          <w:tcPr>
            <w:tcW w:type="dxa" w:w="1701"/>
          </w:tcPr>
          <w:p>
            <w:r/>
            <w:r>
              <w:rPr>
                <w:sz w:val="18"/>
              </w:rPr>
              <w:t>Une liste d'identifiants sous la clé « ids ».</w:t>
            </w:r>
          </w:p>
        </w:tc>
        <w:tc>
          <w:tcPr>
            <w:tcW w:type="dxa" w:w="1474"/>
          </w:tcPr>
          <w:p>
            <w:r/>
            <w:r>
              <w:rPr>
                <w:sz w:val="18"/>
              </w:rPr>
              <w:t>204.</w:t>
            </w:r>
          </w:p>
        </w:tc>
        <w:tc>
          <w:tcPr>
            <w:tcW w:type="dxa" w:w="2154"/>
          </w:tcPr>
          <w:p>
            <w:r/>
            <w:r>
              <w:rPr>
                <w:sz w:val="18"/>
              </w:rPr>
              <w:t>Rien : les identifiants inconnus sont ignorés.</w:t>
            </w:r>
          </w:p>
        </w:tc>
      </w:tr>
      <w:tr>
        <w:tc>
          <w:tcPr>
            <w:tcW w:type="dxa" w:w="2268"/>
          </w:tcPr>
          <w:p>
            <w:r/>
            <w:r>
              <w:rPr>
                <w:sz w:val="18"/>
              </w:rPr>
              <w:t>PATCH /api/v1/plan-indexations/multiple-restore</w:t>
            </w:r>
          </w:p>
        </w:tc>
        <w:tc>
          <w:tcPr>
            <w:tcW w:type="dxa" w:w="2041"/>
          </w:tcPr>
          <w:p>
            <w:r/>
            <w:r>
              <w:rPr>
                <w:sz w:val="18"/>
              </w:rPr>
              <w:t>Restaure tous les plans désignés.</w:t>
            </w:r>
          </w:p>
        </w:tc>
        <w:tc>
          <w:tcPr>
            <w:tcW w:type="dxa" w:w="1701"/>
          </w:tcPr>
          <w:p>
            <w:r/>
            <w:r>
              <w:rPr>
                <w:sz w:val="18"/>
              </w:rPr>
              <w:t>Même corps.</w:t>
            </w:r>
          </w:p>
        </w:tc>
        <w:tc>
          <w:tcPr>
            <w:tcW w:type="dxa" w:w="1474"/>
          </w:tcPr>
          <w:p>
            <w:r/>
            <w:r>
              <w:rPr>
                <w:sz w:val="18"/>
              </w:rPr>
              <w:t>204.</w:t>
            </w:r>
          </w:p>
        </w:tc>
        <w:tc>
          <w:tcPr>
            <w:tcW w:type="dxa" w:w="2154"/>
          </w:tcPr>
          <w:p>
            <w:r/>
            <w:r>
              <w:rPr>
                <w:sz w:val="18"/>
              </w:rPr>
              <w:t>Rien, pour la même raison.</w:t>
            </w:r>
          </w:p>
        </w:tc>
      </w:tr>
    </w:tbl>
    <w:p>
      <w:pPr>
        <w:spacing w:after="160"/>
      </w:pPr>
    </w:p>
    <w:p>
      <w:pPr>
        <w:pStyle w:val="Heading2"/>
      </w:pPr>
      <w:r>
        <w:t>4.1 Ce que contient la fiche d'un plan</w:t>
      </w:r>
    </w:p>
    <w:p>
      <w:r>
        <w:t>La réponse est plus riche que les colonnes stockées, parce qu'elle porte deux informations calculées à la lecture.</w:t>
      </w:r>
    </w:p>
    <w:p>
      <w:pPr>
        <w:pStyle w:val="ListBullet"/>
      </w:pPr>
      <w:r>
        <w:t>La liste des jetons de la charte, dans l'ordre. Lorsque la charte est vide — cas d'un plan enregistré avant l'introduction de la charte, ou d'un plan auquel aucun jeton n'a été affecté — le serveur retombe sur l'ordre des index du plan, plutôt que de renvoyer une liste vide qui produirait un aperçu vide.</w:t>
      </w:r>
    </w:p>
    <w:p>
      <w:pPr>
        <w:pStyle w:val="ListBullet"/>
      </w:pPr>
      <w:r>
        <w:t>L'aperçu lui-même : les libellés des jetons joints par le séparateur, mis en majuscules ou en minuscules selon la casse du plan. Un jeton système y apparaît sous son libellé, pas sous sa valeur. Un jeton dont l'index a été retiré du plan y apparaît sous sa forme brute — l'identifiant numérique — ce qui rend le trou visible au lieu de le faire disparaître.</w:t>
      </w:r>
    </w:p>
    <w:p>
      <w:pPr>
        <w:pStyle w:val="ListBullet"/>
      </w:pPr>
      <w:r>
        <w:t>La charte telle qu'enregistrée, exposée sans transformation. Un plan hérité peut contenir du texte libre à la place de la structure attendue ; la liste l'affiche alors tel quel, suivi de la mention « (Manuel) », plutôt que de laisser la colonne vide.</w:t>
      </w:r>
    </w:p>
    <w:p>
      <w:pPr>
        <w:pStyle w:val="Heading1"/>
      </w:pPr>
      <w:r>
        <w:t>5. Les règles vérifiées côté serveur</w:t>
      </w:r>
    </w:p>
    <w:p>
      <w:r>
        <w:t>Les douze règles ci-dessous sont celles que le serveur applique lui-même. Chacune indique si elle est également vérifiée côté écran — auquel cas le contrôle local n'est qu'un service rendu à l'utilisateur — ou si elle n'existe que côté serveur, auquel cas elle est la seule barrière.</w:t>
      </w:r>
    </w:p>
    <w:p>
      <w:pPr>
        <w:pStyle w:val="Heading2"/>
      </w:pPr>
      <w:r>
        <w:t>5.1 Règles de validité</w:t>
      </w:r>
    </w:p>
    <w:p>
      <w:pPr>
        <w:pStyle w:val="Heading3"/>
      </w:pPr>
      <w:r>
        <w:t>Règle 1 — Le code est obligatoire</w:t>
      </w:r>
    </w:p>
    <w:p>
      <w:r>
        <w:t>Message : « Le code est obligatoire », rattaché au champ « code ». Vérifiée aussi côté écran, avec le même message.</w:t>
      </w:r>
    </w:p>
    <w:p>
      <w:r>
        <w:t>Pourquoi : le code est l'identifiant métier du plan et le support de la contrainte d'unicité. Sans valeur, cette contrainte n'a plus de support, et la colonne étant déclarée non nulle en base, l'absence serait de toute façon refusée — mais par la base, sous la forme d'un message générique qui ne nomme pas le champ fautif. Le contrôle applicatif existe pour que le refus soit rattaché au champ et affichable sous lui.</w:t>
      </w:r>
    </w:p>
    <w:p>
      <w:pPr>
        <w:pStyle w:val="Heading3"/>
      </w:pPr>
      <w:r>
        <w:t>Règle 2 — Le nom du plan est obligatoire</w:t>
      </w:r>
    </w:p>
    <w:p>
      <w:r>
        <w:t>Message : « Le nom du plan est obligatoire », rattaché au champ « nomDuPlan ». Vérifiée aussi côté écran, avec le même message.</w:t>
      </w:r>
    </w:p>
    <w:p>
      <w:r>
        <w:t>Pourquoi : c'est le libellé affiché dans le sélecteur des types de document, et la seule colonne interrogée par la recherche. Un plan sans nom serait une ligne que l'on ne peut ni choisir dans un type, ni retrouver dans sa propre liste.</w:t>
      </w:r>
    </w:p>
    <w:p>
      <w:pPr>
        <w:pStyle w:val="Heading3"/>
      </w:pPr>
      <w:r>
        <w:t>Règle 3 — Le code doit être unique, sans égard à la casse</w:t>
      </w:r>
    </w:p>
    <w:p>
      <w:r>
        <w:t>Contrôlée à la création sur toute la table, et à la modification en excluant le plan courant. Message construit : « Le code « PLAN-FACT » est déjà utilisé ». Règle serveur uniquement : l'écran ne connaît pas la liste des codes et se contente d'afficher le refus.</w:t>
      </w:r>
    </w:p>
    <w:p>
      <w:r>
        <w:t>Pourquoi : le code est la seule colonne du plan qui porte une contrainte d'unicité — le nom du plan, lui, n'en porte aucune, et deux plans peuvent parfaitement s'appeler « Fiche Facture ». Le code est donc le seul repère qui désigne un plan et un seul sans passer par son identifiant interne, lequel n'est affiché nulle part dans le produit. Si l'homonymie était permise, deux définitions de nommage entièrement différentes — index distincts, ordre de jetons distinct, séparateur et casse distincts — cohabiteraient sous un même repère, et rien ne dirait laquelle gouverne le nom des documents.</w:t>
      </w:r>
    </w:p>
    <w:p>
      <w:r>
        <w:t>La conséquence se lit du côté des types de document, qui sont les consommateurs du plan. La liaison technique entre un type et son plan passe bien par un identifiant, et resterait donc exacte ; mais tout ce qui échappe à cette liaison deviendrait ambigu. Le sélecteur du formulaire d'un type affiche le nom du plan, jamais son code : deux plans homonymes de code y apparaîtraient sous deux noms quelconques, sans que l'administrateur puisse savoir lequel des deux « PLAN-FACT » il vient de rattacher. Une reprise de données, un export vers l'application d'origine — dont le format de charte est précisément conservé pour cela — ou une simple correspondance entre un paramétrage documenté et un paramétrage en base ne disposent, eux, d'aucun autre repère que le code. L'homonymie casserait cette correspondance, et elle la casserait silencieusement : le mauvais plan serait appliqué, les documents seraient nommés selon une charte que personne n'a choisie, et rien dans l'écran ne signalerait l'erreur.</w:t>
      </w:r>
    </w:p>
    <w:p>
      <w:r>
        <w:t>Pourquoi sans égard à la casse : « PLAN-FACT » et « plan-fact » se lisent comme un seul et même code. Sans cette précaution, la liste afficherait deux lignes que l'œil tient pour la même, et un administrateur qui saisit le code en minuscules croirait modifier le plan existant alors qu'il en créerait un second.</w:t>
      </w:r>
    </w:p>
    <w:p>
      <w:r>
        <w:t>Limite connue : la vérification ne distingue pas les plans en corbeille. Un code utilisé par un plan supprimé reste donc réservé indéfiniment ; il n'est jamais libéré.</w:t>
      </w:r>
    </w:p>
    <w:p>
      <w:pPr>
        <w:pStyle w:val="Heading3"/>
      </w:pPr>
      <w:r>
        <w:t>Règle 4 — Un plan sans index est accepté</w:t>
      </w:r>
    </w:p>
    <w:p>
      <w:r>
        <w:t>Aucune contrainte n'impose au plan de contenir des index. Cette permissivité est délibérée : un plan vide sert de coquille en attendant que les index existent. Elle est cohérente côté écran, où le formulaire n'exige rien non plus.</w:t>
      </w:r>
    </w:p>
    <w:p>
      <w:r>
        <w:t>Pourquoi : imposer l'ordre inverse — d'abord tous les index, ensuite le plan — obligerait à interrompre le paramétrage dès qu'un index manque, alors que la chaîne de paramétrage se construit rarement dans un ordre parfait.</w:t>
      </w:r>
    </w:p>
    <w:p>
      <w:pPr>
        <w:pStyle w:val="Heading2"/>
      </w:pPr>
      <w:r>
        <w:t>5.2 Règles de normalisation</w:t>
      </w:r>
    </w:p>
    <w:p>
      <w:pPr>
        <w:pStyle w:val="Heading3"/>
      </w:pPr>
      <w:r>
        <w:t>Règle 5 — Le séparateur est toujours renseigné</w:t>
      </w:r>
    </w:p>
    <w:p>
      <w:r>
        <w:t>Un séparateur absent, vide ou composé d'espaces est remplacé par le tiret bas. Règle serveur uniquement ; l'écran, lui, n'offre que deux choix, le tiret et le tiret bas, et pré-positionne le tiret bas.</w:t>
      </w:r>
    </w:p>
    <w:p>
      <w:r>
        <w:t>Pourquoi : le séparateur sert à joindre les jetons, mais aussi à découper le nom du fichier au dépôt. Un séparateur vide produirait un découpage sans borne et un nom composé illisible.</w:t>
      </w:r>
    </w:p>
    <w:p>
      <w:pPr>
        <w:pStyle w:val="Heading3"/>
      </w:pPr>
      <w:r>
        <w:t>Règle 6 — En nommage manuel, la charte est effacée</w:t>
      </w:r>
    </w:p>
    <w:p>
      <w:r>
        <w:t>Lorsque l'indicateur de nommage manuel est vrai, la colonne de charte est mise à vide, quel que soit le contenu de la requête. Vérifiée aussi côté écran, qui n'envoie aucun jeton dans ce mode.</w:t>
      </w:r>
    </w:p>
    <w:p>
      <w:r>
        <w:t>Pourquoi : conserver une charte inopérante laisserait croire qu'elle s'applique. Conséquence à connaître : l'effacement est définitif. Repasser en nommage automatique ne restitue pas la charte antérieure, il faut la recomposer.</w:t>
      </w:r>
    </w:p>
    <w:p>
      <w:pPr>
        <w:pStyle w:val="Heading3"/>
      </w:pPr>
      <w:r>
        <w:t>Règle 7 — Une charte vide n'est pas enregistrée comme une liste vide</w:t>
      </w:r>
    </w:p>
    <w:p>
      <w:r>
        <w:t>Si la liste de jetons reçue est absente ou vide, aucune charte n'est écrite et la colonne reste à vide. Règle serveur uniquement.</w:t>
      </w:r>
    </w:p>
    <w:p>
      <w:r>
        <w:t>Pourquoi : une structure représentant une liste vide et une colonne vide diraient la même chose de deux façons ; à la lecture, la seconde suffit et déclenche le repli sur l'ordre des index du plan.</w:t>
      </w:r>
    </w:p>
    <w:p>
      <w:pPr>
        <w:pStyle w:val="Heading3"/>
      </w:pPr>
      <w:r>
        <w:t>Règle 8 — L'ordre reçu est l'ordre enregistré</w:t>
      </w:r>
    </w:p>
    <w:p>
      <w:r>
        <w:t>Le serveur ne trie pas les index par identifiant, ni par nom : il les enregistre dans l'ordre de la liste reçue. Il charge les index désignés, puis reconstitue une liste en parcourant les identifiants dans l'ordre d'arrivée. Règle serveur uniquement — l'écran s'appuie sur elle en permettant de réordonner les jetons par glisser-déposer.</w:t>
      </w:r>
    </w:p>
    <w:p>
      <w:r>
        <w:t>Pourquoi : l'ordre est une donnée de l'utilisateur, pas une commodité d'affichage ; c'est lui qui décide de la forme du nom des documents.</w:t>
      </w:r>
    </w:p>
    <w:p>
      <w:pPr>
        <w:pStyle w:val="Heading3"/>
      </w:pPr>
      <w:r>
        <w:t>Règle 9 — Un identifiant d'index inconnu est ignoré en silence</w:t>
      </w:r>
    </w:p>
    <w:p>
      <w:r>
        <w:t>Lors de la reconstitution de la liste ordonnée, un identifiant qui ne correspond à aucun index est simplement sauté ; il ne provoque ni erreur ni avertissement. Règle serveur uniquement.</w:t>
      </w:r>
    </w:p>
    <w:p>
      <w:r>
        <w:t>Pourquoi : la permissivité protège l'enregistrement d'un plan dont un index vient d'être supprimé par ailleurs. Elle a un revers, décrit en section 10 — un appel mal formé passe inaperçu.</w:t>
      </w:r>
    </w:p>
    <w:p>
      <w:pPr>
        <w:pStyle w:val="Heading2"/>
      </w:pPr>
      <w:r>
        <w:t>5.3 Règles de lecture</w:t>
      </w:r>
    </w:p>
    <w:p>
      <w:pPr>
        <w:pStyle w:val="Heading3"/>
      </w:pPr>
      <w:r>
        <w:t>Règle 10 — Le tri n'est accepté que sur trois colonnes</w:t>
      </w:r>
    </w:p>
    <w:p>
      <w:r>
        <w:t>Identifiant, code, nom du plan. Toute autre valeur est ignorée et la liste retombe sur l'identifiant décroissant. Règle serveur uniquement.</w:t>
      </w:r>
    </w:p>
    <w:p>
      <w:r>
        <w:t>Pourquoi : le nom de colonne demandé finit dans la clause de tri envoyée à la base ; une valeur libre atteindrait donc directement le schéma de la table, et une colonne inexistante ferait remonter une erreur de base au client. La liste blanche est la seule protection.</w:t>
      </w:r>
    </w:p>
    <w:p>
      <w:r>
        <w:t>Conséquence : les colonnes « Index » et « Charte de nommage » ne sont pas triables, ce qui se comprend puisqu'elles sont calculées et n'existent dans aucune colonne.</w:t>
      </w:r>
    </w:p>
    <w:p>
      <w:pPr>
        <w:pStyle w:val="Heading3"/>
      </w:pPr>
      <w:r>
        <w:t>Règle 11 — La recherche porte sur le seul nom du plan</w:t>
      </w:r>
    </w:p>
    <w:p>
      <w:r>
        <w:t>Recherche par inclusion, sans égard à la casse, sur la seule colonne du nom. Ni le code, ni les jetons de la charte ne sont interrogés. Règle serveur uniquement.</w:t>
      </w:r>
    </w:p>
    <w:p>
      <w:r>
        <w:t>Pourquoi le nom du plan a été retenu : c'est la seule information que l'administrateur manipule couramment, celle qu'il lit dans le sélecteur du formulaire des types de document et celle qu'il a en tête lorsqu'il revient sur son paramétrage. La condition tient en une seule colonne, et la requête correspondante est dérivée automatiquement du nom de la méthode d'accès aux données ; y ajouter le code supposerait une seconde condition, donc une requête écrite explicitement. C'est une économie de moyens, non un choix fonctionnel — et c'est là que réside la gêne.</w:t>
      </w:r>
    </w:p>
    <w:p>
      <w:r>
        <w:t>Pourquoi le code est exclu : rien ne le justifie du point de vue de l'usage. La colonne « Code » est affichée en première position dans la liste, en caractères à chasse fixe, et elle est même triable. Le champ de recherche, lui, porte un libellé générique. L'écran ne dit donc nulle part que ce qu'il montre n'est pas ce qu'il cherche. Saisir « PLAN-FACT » — valeur lue à l'écran, sur la ligne même que l'on veut retrouver — ne renvoie aucun résultat, et l'application affiche alors son état « aucun résultat » en reprenant le terme saisi. L'administrateur en conclut que le plan n'existe pas, ou qu'il est en corbeille, alors qu'il est sous ses yeux à la page précédente.</w:t>
      </w:r>
    </w:p>
    <w:p>
      <w:r>
        <w:t>Pourquoi les jetons de la charte sont exclus : ici, la raison est structurelle et non plus économique. Ce que la colonne « Charte de nommage » affiche n'est stocké nulle part. La charte conserve des identifiants d'index et des clés système, pas des libellés : chercher « numéro de facture » dans cette colonne ne trouverait rien, puisqu'elle ne contient que le numéro interne de cet index. Le texte lisible — « numéro de facture_date d'émission » — est un aperçu recomposé après la requête, à partir des libellés d'index du moment. Un texte calculé après la lecture ne peut pas servir de critère à cette lecture. Rendre la charte cherchable supposerait soit de stocker l'aperçu en même temps que la charte, avec le risque de divergence que cela implique, soit de déplier les jetons à chaque requête, ce qui reviendrait à parcourir la table entière.</w:t>
      </w:r>
    </w:p>
    <w:p>
      <w:r>
        <w:t>La gêne, en résumé : deux des quatre colonnes affichées ne sont pas atteignables par la recherche, sans que rien ne le signale. Un administrateur qui cherche tous les plans dont le nom composé fait intervenir la date du jour peut le voir dans la colonne, mais ne peut pas le demander. La correction est asymétrique : étendre la recherche au code coûterait une condition supplémentaire, et réglerait le cas le plus fréquent ; la rendre sensible aux jetons demanderait un changement de modèle.</w:t>
      </w:r>
    </w:p>
    <w:p>
      <w:pPr>
        <w:pStyle w:val="Heading3"/>
      </w:pPr>
      <w:r>
        <w:t>Règle 12 — Une charte illisible est traitée comme une charte vide</w:t>
      </w:r>
    </w:p>
    <w:p>
      <w:r>
        <w:t>La lecture de la colonne est protégée : un contenu qui ne respecte pas la structure attendue, ou dont la suite de jetons est absente, produit une liste de jetons vide plutôt qu'une erreur. Règle serveur uniquement.</w:t>
      </w:r>
    </w:p>
    <w:p>
      <w:r>
        <w:t>Pourquoi : un plan hérité mal formé ne doit pas empêcher d'afficher les vingt autres plans de la page. La charte brute reste par ailleurs exposée telle quelle, pour que l'écran puisse au moins montrer ce qu'il y a — il l'affiche alors suivie de la mention « (Manuel) ».</w:t>
      </w:r>
    </w:p>
    <w:p>
      <w:pPr>
        <w:pStyle w:val="Heading2"/>
      </w:pPr>
      <w:r>
        <w:t>5.4 La règle du séparateur et des dates — vérifiée nulle part</w:t>
      </w:r>
    </w:p>
    <w:p>
      <w:r>
        <w:t>La fiche fonctionnelle de cet écran désigne comme sa règle la plus importante l'incompatibilité entre le tiret comme séparateur et la présence d'une date dans la charte. Le raisonnement est solide : une date écrite au format ISO contient elle-même des tirets, si bien qu'un nom composé avec ce séparateur devient impossible à redécouper — plus rien ne distingue une date de trois éléments distincts.</w:t>
      </w:r>
    </w:p>
    <w:p>
      <w:r>
        <w:t>Ce contrôle n'existe ni côté serveur, ni dans le formulaire du plan. Le serveur accepte n'importe quelle combinaison de séparateur et de jetons, sans avertissement. Les conséquences réelles au dépôt sont détaillées en section 10, car elles ne sont pas exactement celles que la fiche annonce.</w:t>
      </w:r>
    </w:p>
    <w:p>
      <w:pPr>
        <w:pStyle w:val="Heading1"/>
      </w:pPr>
      <w:r>
        <w:t>6. Les erreurs et les réponses</w:t>
      </w:r>
    </w:p>
    <w:p>
      <w:r>
        <w:t>Les erreurs sont mises en forme par le gestionnaire commun à l'application. Le corps comporte toujours un horodatage, le code de statut répété et un message ; les erreurs de validation y ajoutent un dictionnaire nommant chaque champ fautif, ce qui permet à l'écran de placer le message sous le champ concerné plutôt qu'en pied de formulaire.</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041"/>
          </w:tcPr>
          <w:p>
            <w:r/>
            <w:r>
              <w:rPr>
                <w:b/>
                <w:sz w:val="19"/>
              </w:rPr>
              <w:t>Situation</w:t>
            </w:r>
          </w:p>
        </w:tc>
        <w:tc>
          <w:tcPr>
            <w:tcW w:type="dxa" w:w="794"/>
          </w:tcPr>
          <w:p>
            <w:r/>
            <w:r>
              <w:rPr>
                <w:b/>
                <w:sz w:val="19"/>
              </w:rPr>
              <w:t>Code</w:t>
            </w:r>
          </w:p>
        </w:tc>
        <w:tc>
          <w:tcPr>
            <w:tcW w:type="dxa" w:w="3402"/>
          </w:tcPr>
          <w:p>
            <w:r/>
            <w:r>
              <w:rPr>
                <w:b/>
                <w:sz w:val="19"/>
              </w:rPr>
              <w:t>Message renvoyé</w:t>
            </w:r>
          </w:p>
        </w:tc>
        <w:tc>
          <w:tcPr>
            <w:tcW w:type="dxa" w:w="3402"/>
          </w:tcPr>
          <w:p>
            <w:r/>
            <w:r>
              <w:rPr>
                <w:b/>
                <w:sz w:val="19"/>
              </w:rPr>
              <w:t>Ce que l'écran en fait</w:t>
            </w:r>
          </w:p>
        </w:tc>
      </w:tr>
      <w:tr>
        <w:tc>
          <w:tcPr>
            <w:tcW w:type="dxa" w:w="2041"/>
          </w:tcPr>
          <w:p>
            <w:r/>
            <w:r>
              <w:rPr>
                <w:sz w:val="18"/>
              </w:rPr>
              <w:t>Appel sans jeton valide</w:t>
            </w:r>
          </w:p>
        </w:tc>
        <w:tc>
          <w:tcPr>
            <w:tcW w:type="dxa" w:w="794"/>
          </w:tcPr>
          <w:p>
            <w:r/>
            <w:r>
              <w:rPr>
                <w:sz w:val="18"/>
              </w:rPr>
              <w:t>401</w:t>
            </w:r>
          </w:p>
        </w:tc>
        <w:tc>
          <w:tcPr>
            <w:tcW w:type="dxa" w:w="3402"/>
          </w:tcPr>
          <w:p>
            <w:r/>
            <w:r>
              <w:rPr>
                <w:sz w:val="18"/>
              </w:rPr>
              <w:t>Aucun corps.</w:t>
            </w:r>
          </w:p>
        </w:tc>
        <w:tc>
          <w:tcPr>
            <w:tcW w:type="dxa" w:w="3402"/>
          </w:tcPr>
          <w:p>
            <w:r/>
            <w:r>
              <w:rPr>
                <w:sz w:val="18"/>
              </w:rPr>
              <w:t>Retour à l'écran de connexion.</w:t>
            </w:r>
          </w:p>
        </w:tc>
      </w:tr>
      <w:tr>
        <w:tc>
          <w:tcPr>
            <w:tcW w:type="dxa" w:w="2041"/>
          </w:tcPr>
          <w:p>
            <w:r/>
            <w:r>
              <w:rPr>
                <w:sz w:val="18"/>
              </w:rPr>
              <w:t>Code ou nom du plan manquant</w:t>
            </w:r>
          </w:p>
        </w:tc>
        <w:tc>
          <w:tcPr>
            <w:tcW w:type="dxa" w:w="794"/>
          </w:tcPr>
          <w:p>
            <w:r/>
            <w:r>
              <w:rPr>
                <w:sz w:val="18"/>
              </w:rPr>
              <w:t>400</w:t>
            </w:r>
          </w:p>
        </w:tc>
        <w:tc>
          <w:tcPr>
            <w:tcW w:type="dxa" w:w="3402"/>
          </w:tcPr>
          <w:p>
            <w:r/>
            <w:r>
              <w:rPr>
                <w:sz w:val="18"/>
              </w:rPr>
              <w:t>« Données invalides » et un dictionnaire « errors » nommant « code » ou « nomDuPlan ».</w:t>
            </w:r>
          </w:p>
        </w:tc>
        <w:tc>
          <w:tcPr>
            <w:tcW w:type="dxa" w:w="3402"/>
          </w:tcPr>
          <w:p>
            <w:r/>
            <w:r>
              <w:rPr>
                <w:sz w:val="18"/>
              </w:rPr>
              <w:t>Ne se produit pas en usage normal, le formulaire bloquant en amont.</w:t>
            </w:r>
          </w:p>
        </w:tc>
      </w:tr>
      <w:tr>
        <w:tc>
          <w:tcPr>
            <w:tcW w:type="dxa" w:w="2041"/>
          </w:tcPr>
          <w:p>
            <w:r/>
            <w:r>
              <w:rPr>
                <w:sz w:val="18"/>
              </w:rPr>
              <w:t>Code déjà utilisé</w:t>
            </w:r>
          </w:p>
        </w:tc>
        <w:tc>
          <w:tcPr>
            <w:tcW w:type="dxa" w:w="794"/>
          </w:tcPr>
          <w:p>
            <w:r/>
            <w:r>
              <w:rPr>
                <w:sz w:val="18"/>
              </w:rPr>
              <w:t>400</w:t>
            </w:r>
          </w:p>
        </w:tc>
        <w:tc>
          <w:tcPr>
            <w:tcW w:type="dxa" w:w="3402"/>
          </w:tcPr>
          <w:p>
            <w:r/>
            <w:r>
              <w:rPr>
                <w:sz w:val="18"/>
              </w:rPr>
              <w:t>« Le code « X » est déjà utilisé »</w:t>
            </w:r>
          </w:p>
        </w:tc>
        <w:tc>
          <w:tcPr>
            <w:tcW w:type="dxa" w:w="3402"/>
          </w:tcPr>
          <w:p>
            <w:r/>
            <w:r>
              <w:rPr>
                <w:sz w:val="18"/>
              </w:rPr>
              <w:t>Affiché tel quel en pied de formulaire, qui reste ouvert.</w:t>
            </w:r>
          </w:p>
        </w:tc>
      </w:tr>
      <w:tr>
        <w:tc>
          <w:tcPr>
            <w:tcW w:type="dxa" w:w="2041"/>
          </w:tcPr>
          <w:p>
            <w:r/>
            <w:r>
              <w:rPr>
                <w:sz w:val="18"/>
              </w:rPr>
              <w:t>Identifiant inconnu, en lecture ou en écriture</w:t>
            </w:r>
          </w:p>
        </w:tc>
        <w:tc>
          <w:tcPr>
            <w:tcW w:type="dxa" w:w="794"/>
          </w:tcPr>
          <w:p>
            <w:r/>
            <w:r>
              <w:rPr>
                <w:sz w:val="18"/>
              </w:rPr>
              <w:t>404</w:t>
            </w:r>
          </w:p>
        </w:tc>
        <w:tc>
          <w:tcPr>
            <w:tcW w:type="dxa" w:w="3402"/>
          </w:tcPr>
          <w:p>
            <w:r/>
            <w:r>
              <w:rPr>
                <w:sz w:val="18"/>
              </w:rPr>
              <w:t>« Plan d'indexation introuvable : 42 »</w:t>
            </w:r>
          </w:p>
        </w:tc>
        <w:tc>
          <w:tcPr>
            <w:tcW w:type="dxa" w:w="3402"/>
          </w:tcPr>
          <w:p>
            <w:r/>
            <w:r>
              <w:rPr>
                <w:sz w:val="18"/>
              </w:rPr>
              <w:t>Le formulaire en page pleine renvoie à la liste ; la modale affiche le message.</w:t>
            </w:r>
          </w:p>
        </w:tc>
      </w:tr>
      <w:tr>
        <w:tc>
          <w:tcPr>
            <w:tcW w:type="dxa" w:w="2041"/>
          </w:tcPr>
          <w:p>
            <w:r/>
            <w:r>
              <w:rPr>
                <w:sz w:val="18"/>
              </w:rPr>
              <w:t>Charte trop longue pour sa colonne</w:t>
            </w:r>
          </w:p>
        </w:tc>
        <w:tc>
          <w:tcPr>
            <w:tcW w:type="dxa" w:w="794"/>
          </w:tcPr>
          <w:p>
            <w:r/>
            <w:r>
              <w:rPr>
                <w:sz w:val="18"/>
              </w:rPr>
              <w:t>400</w:t>
            </w:r>
          </w:p>
        </w:tc>
        <w:tc>
          <w:tcPr>
            <w:tcW w:type="dxa" w:w="3402"/>
          </w:tcPr>
          <w:p>
            <w:r/>
            <w:r>
              <w:rPr>
                <w:sz w:val="18"/>
              </w:rPr>
              <w:t>« Donnée refusée par la base : une valeur dépasse la longueur autorisée pour sa colonne (255 caractères pour un champ texte). »</w:t>
            </w:r>
          </w:p>
        </w:tc>
        <w:tc>
          <w:tcPr>
            <w:tcW w:type="dxa" w:w="3402"/>
          </w:tcPr>
          <w:p>
            <w:r/>
            <w:r>
              <w:rPr>
                <w:sz w:val="18"/>
              </w:rPr>
              <w:t>Affiché tel quel. Le message annonce 255 caractères alors que la colonne de charte en accepte 2 000 : le texte est générique et ne connaît pas la colonne réellement en cause.</w:t>
            </w:r>
          </w:p>
        </w:tc>
      </w:tr>
      <w:tr>
        <w:tc>
          <w:tcPr>
            <w:tcW w:type="dxa" w:w="2041"/>
          </w:tcPr>
          <w:p>
            <w:r/>
            <w:r>
              <w:rPr>
                <w:sz w:val="18"/>
              </w:rPr>
              <w:t>Numéro de page négatif ou hors limites</w:t>
            </w:r>
          </w:p>
        </w:tc>
        <w:tc>
          <w:tcPr>
            <w:tcW w:type="dxa" w:w="794"/>
          </w:tcPr>
          <w:p>
            <w:r/>
            <w:r>
              <w:rPr>
                <w:sz w:val="18"/>
              </w:rPr>
              <w:t>400</w:t>
            </w:r>
          </w:p>
        </w:tc>
        <w:tc>
          <w:tcPr>
            <w:tcW w:type="dxa" w:w="3402"/>
          </w:tcPr>
          <w:p>
            <w:r/>
            <w:r>
              <w:rPr>
                <w:sz w:val="18"/>
              </w:rPr>
              <w:t>Message nommant la borne acceptable.</w:t>
            </w:r>
          </w:p>
        </w:tc>
        <w:tc>
          <w:tcPr>
            <w:tcW w:type="dxa" w:w="3402"/>
          </w:tcPr>
          <w:p>
            <w:r/>
            <w:r>
              <w:rPr>
                <w:sz w:val="18"/>
              </w:rPr>
              <w:t>Cas d'appel direct de l'API.</w:t>
            </w:r>
          </w:p>
        </w:tc>
      </w:tr>
      <w:tr>
        <w:tc>
          <w:tcPr>
            <w:tcW w:type="dxa" w:w="2041"/>
          </w:tcPr>
          <w:p>
            <w:r/>
            <w:r>
              <w:rPr>
                <w:sz w:val="18"/>
              </w:rPr>
              <w:t>Panne non prévue</w:t>
            </w:r>
          </w:p>
        </w:tc>
        <w:tc>
          <w:tcPr>
            <w:tcW w:type="dxa" w:w="794"/>
          </w:tcPr>
          <w:p>
            <w:r/>
            <w:r>
              <w:rPr>
                <w:sz w:val="18"/>
              </w:rPr>
              <w:t>500</w:t>
            </w:r>
          </w:p>
        </w:tc>
        <w:tc>
          <w:tcPr>
            <w:tcW w:type="dxa" w:w="3402"/>
          </w:tcPr>
          <w:p>
            <w:r/>
            <w:r>
              <w:rPr>
                <w:sz w:val="18"/>
              </w:rPr>
              <w:t>Réponse d'erreur par défaut du socle.</w:t>
            </w:r>
          </w:p>
        </w:tc>
        <w:tc>
          <w:tcPr>
            <w:tcW w:type="dxa" w:w="3402"/>
          </w:tcPr>
          <w:p>
            <w:r/>
            <w:r>
              <w:rPr>
                <w:sz w:val="18"/>
              </w:rPr>
              <w:t>« Une erreur est survenue. »</w:t>
            </w:r>
          </w:p>
        </w:tc>
      </w:tr>
    </w:tbl>
    <w:p>
      <w:pPr>
        <w:spacing w:after="160"/>
      </w:pPr>
    </w:p>
    <w:p>
      <w:r>
        <w:t>Aucune erreur métier propre à la charte n'existe : ni jeton inconnu, ni séparateur invalide, ni combinaison refusée. C'est la conséquence directe de l'absence de règles décrite en section 5.4.</w:t>
      </w:r>
    </w:p>
    <w:p>
      <w:pPr>
        <w:pStyle w:val="Heading1"/>
      </w:pPr>
      <w:r>
        <w:t>7. Ce qui est écrit, et dans quel ordre</w:t>
      </w:r>
    </w:p>
    <w:p>
      <w:r>
        <w:t>L'enregistrement d'un plan touche deux tables : la table du plan et sa table de liaison. La séquence mérite donc d'être suivie de près, notamment parce que la mise à jour des index procède par vidage puis remplissage.</w:t>
      </w:r>
    </w:p>
    <w:p>
      <w:pPr>
        <w:pStyle w:val="Heading2"/>
      </w:pPr>
      <w:r>
        <w:t>7.1 Création</w:t>
      </w:r>
    </w:p>
    <w:p>
      <w:pPr>
        <w:keepLines/>
        <w:spacing w:before="0" w:after="0" w:line="240" w:lineRule="auto"/>
        <w:ind w:left="227"/>
        <w:shd w:val="clear" w:color="auto" w:fill="F4F5F7"/>
      </w:pPr>
      <w:r>
        <w:rPr>
          <w:rFonts w:ascii="Consolas" w:hAnsi="Consolas" w:cs="Consolas" w:eastAsia="Consolas"/>
          <w:sz w:val="18"/>
        </w:rPr>
        <w:t xml:space="preserve">  POST /api/v1/plan-indexations</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1. Lecture du corps, validation : code et nom présents</w:t>
      </w:r>
    </w:p>
    <w:p>
      <w:pPr>
        <w:keepLines/>
        <w:spacing w:before="0" w:after="0" w:line="240" w:lineRule="auto"/>
        <w:ind w:left="227"/>
        <w:shd w:val="clear" w:color="auto" w:fill="F4F5F7"/>
      </w:pPr>
      <w:r>
        <w:rPr>
          <w:rFonts w:ascii="Consolas" w:hAnsi="Consolas" w:cs="Consolas" w:eastAsia="Consolas"/>
          <w:sz w:val="18"/>
        </w:rPr>
        <w:t xml:space="preserve">         échec -&gt; 400, rien n'est ouvert en base</w:t>
      </w:r>
    </w:p>
    <w:p>
      <w:pPr>
        <w:keepLines/>
        <w:spacing w:before="0" w:after="0" w:line="240" w:lineRule="auto"/>
        <w:ind w:left="227"/>
        <w:shd w:val="clear" w:color="auto" w:fill="F4F5F7"/>
      </w:pPr>
      <w:r>
        <w:rPr>
          <w:rFonts w:ascii="Consolas" w:hAnsi="Consolas" w:cs="Consolas" w:eastAsia="Consolas"/>
          <w:sz w:val="18"/>
        </w:rPr>
        <w:t xml:space="preserve">    2. Ouverture de la transaction</w:t>
      </w:r>
    </w:p>
    <w:p>
      <w:pPr>
        <w:keepLines/>
        <w:spacing w:before="0" w:after="0" w:line="240" w:lineRule="auto"/>
        <w:ind w:left="227"/>
        <w:shd w:val="clear" w:color="auto" w:fill="F4F5F7"/>
      </w:pPr>
      <w:r>
        <w:rPr>
          <w:rFonts w:ascii="Consolas" w:hAnsi="Consolas" w:cs="Consolas" w:eastAsia="Consolas"/>
          <w:sz w:val="18"/>
        </w:rPr>
        <w:t xml:space="preserve">    3. Vérification d'unicité du code</w:t>
      </w:r>
    </w:p>
    <w:p>
      <w:pPr>
        <w:keepLines/>
        <w:spacing w:before="0" w:after="0" w:line="240" w:lineRule="auto"/>
        <w:ind w:left="227"/>
        <w:shd w:val="clear" w:color="auto" w:fill="F4F5F7"/>
      </w:pPr>
      <w:r>
        <w:rPr>
          <w:rFonts w:ascii="Consolas" w:hAnsi="Consolas" w:cs="Consolas" w:eastAsia="Consolas"/>
          <w:sz w:val="18"/>
        </w:rPr>
        <w:t xml:space="preserve">         échec -&gt; 400, transaction annulée</w:t>
      </w:r>
    </w:p>
    <w:p>
      <w:pPr>
        <w:keepLines/>
        <w:spacing w:before="0" w:after="0" w:line="240" w:lineRule="auto"/>
        <w:ind w:left="227"/>
        <w:shd w:val="clear" w:color="auto" w:fill="F4F5F7"/>
      </w:pPr>
      <w:r>
        <w:rPr>
          <w:rFonts w:ascii="Consolas" w:hAnsi="Consolas" w:cs="Consolas" w:eastAsia="Consolas"/>
          <w:sz w:val="18"/>
        </w:rPr>
        <w:t xml:space="preserve">    4. Construction de l'entité : code + nom du plan</w:t>
      </w:r>
    </w:p>
    <w:p>
      <w:pPr>
        <w:keepLines/>
        <w:spacing w:before="0" w:after="0" w:line="240" w:lineRule="auto"/>
        <w:ind w:left="227"/>
        <w:shd w:val="clear" w:color="auto" w:fill="F4F5F7"/>
      </w:pPr>
      <w:r>
        <w:rPr>
          <w:rFonts w:ascii="Consolas" w:hAnsi="Consolas" w:cs="Consolas" w:eastAsia="Consolas"/>
          <w:sz w:val="18"/>
        </w:rPr>
        <w:t xml:space="preserve">    5. Application des réglages</w:t>
      </w:r>
    </w:p>
    <w:p>
      <w:pPr>
        <w:keepLines/>
        <w:spacing w:before="0" w:after="0" w:line="240" w:lineRule="auto"/>
        <w:ind w:left="227"/>
        <w:shd w:val="clear" w:color="auto" w:fill="F4F5F7"/>
      </w:pPr>
      <w:r>
        <w:rPr>
          <w:rFonts w:ascii="Consolas" w:hAnsi="Consolas" w:cs="Consolas" w:eastAsia="Consolas"/>
          <w:sz w:val="18"/>
        </w:rPr>
        <w:t xml:space="preserve">         mode d'indexation, nommage manuel, casse</w:t>
      </w:r>
    </w:p>
    <w:p>
      <w:pPr>
        <w:keepLines/>
        <w:spacing w:before="0" w:after="0" w:line="240" w:lineRule="auto"/>
        <w:ind w:left="227"/>
        <w:shd w:val="clear" w:color="auto" w:fill="F4F5F7"/>
      </w:pPr>
      <w:r>
        <w:rPr>
          <w:rFonts w:ascii="Consolas" w:hAnsi="Consolas" w:cs="Consolas" w:eastAsia="Consolas"/>
          <w:sz w:val="18"/>
        </w:rPr>
        <w:t xml:space="preserve">         séparateur : valeur reçue, ou tiret bas si absente ou vide</w:t>
      </w:r>
    </w:p>
    <w:p>
      <w:pPr>
        <w:keepLines/>
        <w:spacing w:before="0" w:after="0" w:line="240" w:lineRule="auto"/>
        <w:ind w:left="227"/>
        <w:shd w:val="clear" w:color="auto" w:fill="F4F5F7"/>
      </w:pPr>
      <w:r>
        <w:rPr>
          <w:rFonts w:ascii="Consolas" w:hAnsi="Consolas" w:cs="Consolas" w:eastAsia="Consolas"/>
          <w:sz w:val="18"/>
        </w:rPr>
        <w:t xml:space="preserve">    6. Reconstitution de la liste ordonnée des index</w:t>
      </w:r>
    </w:p>
    <w:p>
      <w:pPr>
        <w:keepLines/>
        <w:spacing w:before="0" w:after="0" w:line="240" w:lineRule="auto"/>
        <w:ind w:left="227"/>
        <w:shd w:val="clear" w:color="auto" w:fill="F4F5F7"/>
      </w:pPr>
      <w:r>
        <w:rPr>
          <w:rFonts w:ascii="Consolas" w:hAnsi="Consolas" w:cs="Consolas" w:eastAsia="Consolas"/>
          <w:sz w:val="18"/>
        </w:rPr>
        <w:t xml:space="preserve">         a. chargement en une requête de tous les index désignés</w:t>
      </w:r>
    </w:p>
    <w:p>
      <w:pPr>
        <w:keepLines/>
        <w:spacing w:before="0" w:after="0" w:line="240" w:lineRule="auto"/>
        <w:ind w:left="227"/>
        <w:shd w:val="clear" w:color="auto" w:fill="F4F5F7"/>
      </w:pPr>
      <w:r>
        <w:rPr>
          <w:rFonts w:ascii="Consolas" w:hAnsi="Consolas" w:cs="Consolas" w:eastAsia="Consolas"/>
          <w:sz w:val="18"/>
        </w:rPr>
        <w:t xml:space="preserve">         b. parcours des identifiants DANS L'ORDRE REÇU</w:t>
      </w:r>
    </w:p>
    <w:p>
      <w:pPr>
        <w:keepLines/>
        <w:spacing w:before="0" w:after="0" w:line="240" w:lineRule="auto"/>
        <w:ind w:left="227"/>
        <w:shd w:val="clear" w:color="auto" w:fill="F4F5F7"/>
      </w:pPr>
      <w:r>
        <w:rPr>
          <w:rFonts w:ascii="Consolas" w:hAnsi="Consolas" w:cs="Consolas" w:eastAsia="Consolas"/>
          <w:sz w:val="18"/>
        </w:rPr>
        <w:t xml:space="preserve">         c. les identifiants inconnus sont sautés</w:t>
      </w:r>
    </w:p>
    <w:p>
      <w:pPr>
        <w:keepLines/>
        <w:spacing w:before="0" w:after="0" w:line="240" w:lineRule="auto"/>
        <w:ind w:left="227"/>
        <w:shd w:val="clear" w:color="auto" w:fill="F4F5F7"/>
      </w:pPr>
      <w:r>
        <w:rPr>
          <w:rFonts w:ascii="Consolas" w:hAnsi="Consolas" w:cs="Consolas" w:eastAsia="Consolas"/>
          <w:sz w:val="18"/>
        </w:rPr>
        <w:t xml:space="preserve">         d. la collection du plan est vidée puis remplie</w:t>
      </w:r>
    </w:p>
    <w:p>
      <w:pPr>
        <w:keepLines/>
        <w:spacing w:before="0" w:after="0" w:line="240" w:lineRule="auto"/>
        <w:ind w:left="227"/>
        <w:shd w:val="clear" w:color="auto" w:fill="F4F5F7"/>
      </w:pPr>
      <w:r>
        <w:rPr>
          <w:rFonts w:ascii="Consolas" w:hAnsi="Consolas" w:cs="Consolas" w:eastAsia="Consolas"/>
          <w:sz w:val="18"/>
        </w:rPr>
        <w:t xml:space="preserve">    7. Écriture de la charte</w:t>
      </w:r>
    </w:p>
    <w:p>
      <w:pPr>
        <w:keepLines/>
        <w:spacing w:before="0" w:after="0" w:line="240" w:lineRule="auto"/>
        <w:ind w:left="227"/>
        <w:shd w:val="clear" w:color="auto" w:fill="F4F5F7"/>
      </w:pPr>
      <w:r>
        <w:rPr>
          <w:rFonts w:ascii="Consolas" w:hAnsi="Consolas" w:cs="Consolas" w:eastAsia="Consolas"/>
          <w:sz w:val="18"/>
        </w:rPr>
        <w:t xml:space="preserve">         nommage manuel  -&gt; colonne mise à vide</w:t>
      </w:r>
    </w:p>
    <w:p>
      <w:pPr>
        <w:keepLines/>
        <w:spacing w:before="0" w:after="0" w:line="240" w:lineRule="auto"/>
        <w:ind w:left="227"/>
        <w:shd w:val="clear" w:color="auto" w:fill="F4F5F7"/>
      </w:pPr>
      <w:r>
        <w:rPr>
          <w:rFonts w:ascii="Consolas" w:hAnsi="Consolas" w:cs="Consolas" w:eastAsia="Consolas"/>
          <w:sz w:val="18"/>
        </w:rPr>
        <w:t xml:space="preserve">         sinon           -&gt; jetons ordonnés + séparateur + casse</w:t>
      </w:r>
    </w:p>
    <w:p>
      <w:pPr>
        <w:keepLines/>
        <w:spacing w:before="0" w:after="0" w:line="240" w:lineRule="auto"/>
        <w:ind w:left="227"/>
        <w:shd w:val="clear" w:color="auto" w:fill="F4F5F7"/>
      </w:pPr>
      <w:r>
        <w:rPr>
          <w:rFonts w:ascii="Consolas" w:hAnsi="Consolas" w:cs="Consolas" w:eastAsia="Consolas"/>
          <w:sz w:val="18"/>
        </w:rPr>
        <w:t xml:space="preserve">         liste de jetons vide -&gt; colonne mise à vide</w:t>
      </w:r>
    </w:p>
    <w:p>
      <w:pPr>
        <w:keepLines/>
        <w:spacing w:before="0" w:after="0" w:line="240" w:lineRule="auto"/>
        <w:ind w:left="227"/>
        <w:shd w:val="clear" w:color="auto" w:fill="F4F5F7"/>
      </w:pPr>
      <w:r>
        <w:rPr>
          <w:rFonts w:ascii="Consolas" w:hAnsi="Consolas" w:cs="Consolas" w:eastAsia="Consolas"/>
          <w:sz w:val="18"/>
        </w:rPr>
        <w:t xml:space="preserve">    8. Enregistrement</w:t>
      </w:r>
    </w:p>
    <w:p>
      <w:pPr>
        <w:keepLines/>
        <w:spacing w:before="0" w:after="0" w:line="240" w:lineRule="auto"/>
        <w:ind w:left="227"/>
        <w:shd w:val="clear" w:color="auto" w:fill="F4F5F7"/>
      </w:pPr>
      <w:r>
        <w:rPr>
          <w:rFonts w:ascii="Consolas" w:hAnsi="Consolas" w:cs="Consolas" w:eastAsia="Consolas"/>
          <w:sz w:val="18"/>
        </w:rPr>
        <w:t xml:space="preserve">         insertion dans la table des plans</w:t>
      </w:r>
    </w:p>
    <w:p>
      <w:pPr>
        <w:keepLines/>
        <w:spacing w:before="0" w:after="0" w:line="240" w:lineRule="auto"/>
        <w:ind w:left="227"/>
        <w:shd w:val="clear" w:color="auto" w:fill="F4F5F7"/>
      </w:pPr>
      <w:r>
        <w:rPr>
          <w:rFonts w:ascii="Consolas" w:hAnsi="Consolas" w:cs="Consolas" w:eastAsia="Consolas"/>
          <w:sz w:val="18"/>
        </w:rPr>
        <w:t xml:space="preserve">         insertion dans la table de liaison, une ligne par index,</w:t>
      </w:r>
    </w:p>
    <w:p>
      <w:pPr>
        <w:keepLines/>
        <w:spacing w:before="0" w:after="0" w:line="240" w:lineRule="auto"/>
        <w:ind w:left="227"/>
        <w:shd w:val="clear" w:color="auto" w:fill="F4F5F7"/>
      </w:pPr>
      <w:r>
        <w:rPr>
          <w:rFonts w:ascii="Consolas" w:hAnsi="Consolas" w:cs="Consolas" w:eastAsia="Consolas"/>
          <w:sz w:val="18"/>
        </w:rPr>
        <w:t xml:space="preserve">         avec sa position</w:t>
      </w:r>
    </w:p>
    <w:p>
      <w:pPr>
        <w:keepLines/>
        <w:spacing w:before="0" w:after="0" w:line="240" w:lineRule="auto"/>
        <w:ind w:left="227"/>
        <w:shd w:val="clear" w:color="auto" w:fill="F4F5F7"/>
      </w:pPr>
      <w:r>
        <w:rPr>
          <w:rFonts w:ascii="Consolas" w:hAnsi="Consolas" w:cs="Consolas" w:eastAsia="Consolas"/>
          <w:sz w:val="18"/>
        </w:rPr>
        <w:t xml:space="preserve">    9. Fermeture de la transaction</w:t>
      </w:r>
    </w:p>
    <w:p>
      <w:pPr>
        <w:keepLines/>
        <w:spacing w:before="0" w:after="0" w:line="240" w:lineRule="auto"/>
        <w:ind w:left="227"/>
        <w:shd w:val="clear" w:color="auto" w:fill="F4F5F7"/>
      </w:pPr>
      <w:r>
        <w:rPr>
          <w:rFonts w:ascii="Consolas" w:hAnsi="Consolas" w:cs="Consolas" w:eastAsia="Consolas"/>
          <w:sz w:val="18"/>
        </w:rPr>
        <w:t xml:space="preserve">   10. Réponse 201 : la fiche, avec l'aperçu recomposé</w:t>
      </w:r>
    </w:p>
    <w:p>
      <w:pPr>
        <w:spacing w:after="120"/>
      </w:pPr>
    </w:p>
    <w:p>
      <w:pPr>
        <w:pStyle w:val="Heading2"/>
      </w:pPr>
      <w:r>
        <w:t>7.2 Modification</w:t>
      </w:r>
    </w:p>
    <w:p>
      <w:r>
        <w:t>La séquence est la même, précédée d'un chargement du plan par son identifiant — un plan inconnu produit un 404 avant toute écriture. Ce chargement récupère les index en une seule requête, au moyen d'un graphe d'entités déclaré : sans lui, l'accès à la collection provoquerait une seconde requête, voire une erreur si la session de persistance était déjà fermée.</w:t>
      </w:r>
    </w:p>
    <w:p>
      <w:r>
        <w:t>Le point à retenir est que la modification est un remplacement, jamais une fusion. La collection d'index est vidée puis remplie avec ce que contient la requête ; la charte est réécrite intégralement. Un corps de requête sans index et sans jetons ne conserve rien de l'ancien plan : il le vide. L'écran envoie toujours l'état complet du formulaire, ce qui rend le point théorique pour l'utilisateur, mais décisif pour tout appel direct de l'API.</w:t>
      </w:r>
    </w:p>
    <w:p>
      <w:pPr>
        <w:keepLines/>
        <w:spacing w:before="0" w:after="0" w:line="240" w:lineRule="auto"/>
        <w:ind w:left="227"/>
        <w:shd w:val="clear" w:color="auto" w:fill="F4F5F7"/>
      </w:pPr>
      <w:r>
        <w:rPr>
          <w:rFonts w:ascii="Consolas" w:hAnsi="Consolas" w:cs="Consolas" w:eastAsia="Consolas"/>
          <w:sz w:val="18"/>
        </w:rPr>
        <w:t xml:space="preserve">  Conséquence en base d'une modification des index :</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plan 4, avant   -&gt;  liaison : (4, index 3, position 0)</w:t>
      </w:r>
    </w:p>
    <w:p>
      <w:pPr>
        <w:keepLines/>
        <w:spacing w:before="0" w:after="0" w:line="240" w:lineRule="auto"/>
        <w:ind w:left="227"/>
        <w:shd w:val="clear" w:color="auto" w:fill="F4F5F7"/>
      </w:pPr>
      <w:r>
        <w:rPr>
          <w:rFonts w:ascii="Consolas" w:hAnsi="Consolas" w:cs="Consolas" w:eastAsia="Consolas"/>
          <w:sz w:val="18"/>
        </w:rPr>
        <w:t xml:space="preserve">                                  (4, index 7, position 1)</w:t>
      </w:r>
    </w:p>
    <w:p>
      <w:pPr>
        <w:keepLines/>
        <w:spacing w:before="0" w:after="0" w:line="240" w:lineRule="auto"/>
        <w:ind w:left="227"/>
        <w:shd w:val="clear" w:color="auto" w:fill="F4F5F7"/>
      </w:pPr>
      <w:r>
        <w:rPr>
          <w:rFonts w:ascii="Consolas" w:hAnsi="Consolas" w:cs="Consolas" w:eastAsia="Consolas"/>
          <w:sz w:val="18"/>
        </w:rPr>
        <w:t xml:space="preserve">    requête reçue   -&gt;  index désignés = 7, puis 3, puis 9</w:t>
      </w:r>
    </w:p>
    <w:p>
      <w:pPr>
        <w:keepLines/>
        <w:spacing w:before="0" w:after="0" w:line="240" w:lineRule="auto"/>
        <w:ind w:left="227"/>
        <w:shd w:val="clear" w:color="auto" w:fill="F4F5F7"/>
      </w:pPr>
      <w:r>
        <w:rPr>
          <w:rFonts w:ascii="Consolas" w:hAnsi="Consolas" w:cs="Consolas" w:eastAsia="Consolas"/>
          <w:sz w:val="18"/>
        </w:rPr>
        <w:t xml:space="preserve">    plan 4, après   -&gt;  liaison : (4, index 7, position 0)</w:t>
      </w:r>
    </w:p>
    <w:p>
      <w:pPr>
        <w:keepLines/>
        <w:spacing w:before="0" w:after="0" w:line="240" w:lineRule="auto"/>
        <w:ind w:left="227"/>
        <w:shd w:val="clear" w:color="auto" w:fill="F4F5F7"/>
      </w:pPr>
      <w:r>
        <w:rPr>
          <w:rFonts w:ascii="Consolas" w:hAnsi="Consolas" w:cs="Consolas" w:eastAsia="Consolas"/>
          <w:sz w:val="18"/>
        </w:rPr>
        <w:t xml:space="preserve">                                  (4, index 3, position 1)</w:t>
      </w:r>
    </w:p>
    <w:p>
      <w:pPr>
        <w:keepLines/>
        <w:spacing w:before="0" w:after="0" w:line="240" w:lineRule="auto"/>
        <w:ind w:left="227"/>
        <w:shd w:val="clear" w:color="auto" w:fill="F4F5F7"/>
      </w:pPr>
      <w:r>
        <w:rPr>
          <w:rFonts w:ascii="Consolas" w:hAnsi="Consolas" w:cs="Consolas" w:eastAsia="Consolas"/>
          <w:sz w:val="18"/>
        </w:rPr>
        <w:t xml:space="preserve">                                  (4, index 9, position 2)</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La collection est vidée puis remplie : les anciennes lignes sont</w:t>
      </w:r>
    </w:p>
    <w:p>
      <w:pPr>
        <w:keepLines/>
        <w:spacing w:before="0" w:after="0" w:line="240" w:lineRule="auto"/>
        <w:ind w:left="227"/>
        <w:shd w:val="clear" w:color="auto" w:fill="F4F5F7"/>
      </w:pPr>
      <w:r>
        <w:rPr>
          <w:rFonts w:ascii="Consolas" w:hAnsi="Consolas" w:cs="Consolas" w:eastAsia="Consolas"/>
          <w:sz w:val="18"/>
        </w:rPr>
        <w:t xml:space="preserve">  supprimées et de nouvelles sont écrites, même quand l'index ne change</w:t>
      </w:r>
    </w:p>
    <w:p>
      <w:pPr>
        <w:keepLines/>
        <w:spacing w:before="0" w:after="0" w:line="240" w:lineRule="auto"/>
        <w:ind w:left="227"/>
        <w:shd w:val="clear" w:color="auto" w:fill="F4F5F7"/>
      </w:pPr>
      <w:r>
        <w:rPr>
          <w:rFonts w:ascii="Consolas" w:hAnsi="Consolas" w:cs="Consolas" w:eastAsia="Consolas"/>
          <w:sz w:val="18"/>
        </w:rPr>
        <w:t xml:space="preserve">  pas. Tout se joue dans une seule transaction.</w:t>
      </w:r>
    </w:p>
    <w:p>
      <w:pPr>
        <w:spacing w:after="120"/>
      </w:pPr>
    </w:p>
    <w:p>
      <w:pPr>
        <w:pStyle w:val="Heading2"/>
      </w:pPr>
      <w:r>
        <w:t>7.3 Mise à la corbeille, restauration, opérations groupées</w:t>
      </w:r>
    </w:p>
    <w:p>
      <w:r>
        <w:t>Ces opérations n'écrivent qu'un booléen. Elles chargent l'entité — ou, pour les opérations groupées, l'ensemble des entités désignées et se trouvant dans l'état de départ attendu — puis basculent l'indicateur ; la transaction écrit la modification à sa fermeture. Les opérations groupées sont atomiques : tout le lot est traité, ou rien ne l'est. Aucune vérification d'usage n'est faite : le serveur ne regarde pas si un type de document s'appuie sur le plan.</w:t>
      </w:r>
    </w:p>
    <w:p>
      <w:pPr>
        <w:pStyle w:val="Heading2"/>
      </w:pPr>
      <w:r>
        <w:t>7.4 Ce qui se passe plus tard, au dépôt</w:t>
      </w:r>
    </w:p>
    <w:p>
      <w:r>
        <w:t>L'écriture la plus conséquente du plan n'a pas lieu dans ce module. Elle survient au moment où un opérateur confirme l'indexation d'un document, et elle est décrite ici parce que c'est le plan qui la commande.</w:t>
      </w:r>
    </w:p>
    <w:p>
      <w:pPr>
        <w:keepLines/>
        <w:spacing w:before="0" w:after="0" w:line="240" w:lineRule="auto"/>
        <w:ind w:left="227"/>
        <w:shd w:val="clear" w:color="auto" w:fill="F4F5F7"/>
      </w:pPr>
      <w:r>
        <w:rPr>
          <w:rFonts w:ascii="Consolas" w:hAnsi="Consolas" w:cs="Consolas" w:eastAsia="Consolas"/>
          <w:sz w:val="18"/>
        </w:rPr>
        <w:t xml:space="preserve">  Confirmation de l'indexation d'un document</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1. Le plan du type fait autorité : il dit ce qu'on a le droit</w:t>
      </w:r>
    </w:p>
    <w:p>
      <w:pPr>
        <w:keepLines/>
        <w:spacing w:before="0" w:after="0" w:line="240" w:lineRule="auto"/>
        <w:ind w:left="227"/>
        <w:shd w:val="clear" w:color="auto" w:fill="F4F5F7"/>
      </w:pPr>
      <w:r>
        <w:rPr>
          <w:rFonts w:ascii="Consolas" w:hAnsi="Consolas" w:cs="Consolas" w:eastAsia="Consolas"/>
          <w:sz w:val="18"/>
        </w:rPr>
        <w:t xml:space="preserve">       d'écrire ET ce qu'on est tenu de renseigner</w:t>
      </w:r>
    </w:p>
    <w:p>
      <w:pPr>
        <w:keepLines/>
        <w:spacing w:before="0" w:after="0" w:line="240" w:lineRule="auto"/>
        <w:ind w:left="227"/>
        <w:shd w:val="clear" w:color="auto" w:fill="F4F5F7"/>
      </w:pPr>
      <w:r>
        <w:rPr>
          <w:rFonts w:ascii="Consolas" w:hAnsi="Consolas" w:cs="Consolas" w:eastAsia="Consolas"/>
          <w:sz w:val="18"/>
        </w:rPr>
        <w:t xml:space="preserve">    2. Première passe : TOUT est validé avant la moindre écriture</w:t>
      </w:r>
    </w:p>
    <w:p>
      <w:pPr>
        <w:keepLines/>
        <w:spacing w:before="0" w:after="0" w:line="240" w:lineRule="auto"/>
        <w:ind w:left="227"/>
        <w:shd w:val="clear" w:color="auto" w:fill="F4F5F7"/>
      </w:pPr>
      <w:r>
        <w:rPr>
          <w:rFonts w:ascii="Consolas" w:hAnsi="Consolas" w:cs="Consolas" w:eastAsia="Consolas"/>
          <w:sz w:val="18"/>
        </w:rPr>
        <w:t xml:space="preserve">         - un index étranger au plan est refusé</w:t>
      </w:r>
    </w:p>
    <w:p>
      <w:pPr>
        <w:keepLines/>
        <w:spacing w:before="0" w:after="0" w:line="240" w:lineRule="auto"/>
        <w:ind w:left="227"/>
        <w:shd w:val="clear" w:color="auto" w:fill="F4F5F7"/>
      </w:pPr>
      <w:r>
        <w:rPr>
          <w:rFonts w:ascii="Consolas" w:hAnsi="Consolas" w:cs="Consolas" w:eastAsia="Consolas"/>
          <w:sz w:val="18"/>
        </w:rPr>
        <w:t xml:space="preserve">         - chaque valeur est confrontée au type de son index</w:t>
      </w:r>
    </w:p>
    <w:p>
      <w:pPr>
        <w:keepLines/>
        <w:spacing w:before="0" w:after="0" w:line="240" w:lineRule="auto"/>
        <w:ind w:left="227"/>
        <w:shd w:val="clear" w:color="auto" w:fill="F4F5F7"/>
      </w:pPr>
      <w:r>
        <w:rPr>
          <w:rFonts w:ascii="Consolas" w:hAnsi="Consolas" w:cs="Consolas" w:eastAsia="Consolas"/>
          <w:sz w:val="18"/>
        </w:rPr>
        <w:t xml:space="preserve">    3. Contrôle des index obligatoires du plan</w:t>
      </w:r>
    </w:p>
    <w:p>
      <w:pPr>
        <w:keepLines/>
        <w:spacing w:before="0" w:after="0" w:line="240" w:lineRule="auto"/>
        <w:ind w:left="227"/>
        <w:shd w:val="clear" w:color="auto" w:fill="F4F5F7"/>
      </w:pPr>
      <w:r>
        <w:rPr>
          <w:rFonts w:ascii="Consolas" w:hAnsi="Consolas" w:cs="Consolas" w:eastAsia="Consolas"/>
          <w:sz w:val="18"/>
        </w:rPr>
        <w:t xml:space="preserve">         porte sur le PLAN, pas sur ce qui a été envoyé</w:t>
      </w:r>
    </w:p>
    <w:p>
      <w:pPr>
        <w:keepLines/>
        <w:spacing w:before="0" w:after="0" w:line="240" w:lineRule="auto"/>
        <w:ind w:left="227"/>
        <w:shd w:val="clear" w:color="auto" w:fill="F4F5F7"/>
      </w:pPr>
      <w:r>
        <w:rPr>
          <w:rFonts w:ascii="Consolas" w:hAnsi="Consolas" w:cs="Consolas" w:eastAsia="Consolas"/>
          <w:sz w:val="18"/>
        </w:rPr>
        <w:t xml:space="preserve">    4. Seconde passe : écriture des valeurs</w:t>
      </w:r>
    </w:p>
    <w:p>
      <w:pPr>
        <w:keepLines/>
        <w:spacing w:before="0" w:after="0" w:line="240" w:lineRule="auto"/>
        <w:ind w:left="227"/>
        <w:shd w:val="clear" w:color="auto" w:fill="F4F5F7"/>
      </w:pPr>
      <w:r>
        <w:rPr>
          <w:rFonts w:ascii="Consolas" w:hAnsi="Consolas" w:cs="Consolas" w:eastAsia="Consolas"/>
          <w:sz w:val="18"/>
        </w:rPr>
        <w:t xml:space="preserve">         création, mise à jour, ou suppression si la valeur est vidée</w:t>
      </w:r>
    </w:p>
    <w:p>
      <w:pPr>
        <w:keepLines/>
        <w:spacing w:before="0" w:after="0" w:line="240" w:lineRule="auto"/>
        <w:ind w:left="227"/>
        <w:shd w:val="clear" w:color="auto" w:fill="F4F5F7"/>
      </w:pPr>
      <w:r>
        <w:rPr>
          <w:rFonts w:ascii="Consolas" w:hAnsi="Consolas" w:cs="Consolas" w:eastAsia="Consolas"/>
          <w:sz w:val="18"/>
        </w:rPr>
        <w:t xml:space="preserve">    5. Recomposition du nom, seulement si au moins une valeur</w:t>
      </w:r>
    </w:p>
    <w:p>
      <w:pPr>
        <w:keepLines/>
        <w:spacing w:before="0" w:after="0" w:line="240" w:lineRule="auto"/>
        <w:ind w:left="227"/>
        <w:shd w:val="clear" w:color="auto" w:fill="F4F5F7"/>
      </w:pPr>
      <w:r>
        <w:rPr>
          <w:rFonts w:ascii="Consolas" w:hAnsi="Consolas" w:cs="Consolas" w:eastAsia="Consolas"/>
          <w:sz w:val="18"/>
        </w:rPr>
        <w:t xml:space="preserve">       a été écrite</w:t>
      </w:r>
    </w:p>
    <w:p>
      <w:pPr>
        <w:keepLines/>
        <w:spacing w:before="0" w:after="0" w:line="240" w:lineRule="auto"/>
        <w:ind w:left="227"/>
        <w:shd w:val="clear" w:color="auto" w:fill="F4F5F7"/>
      </w:pPr>
      <w:r>
        <w:rPr>
          <w:rFonts w:ascii="Consolas" w:hAnsi="Consolas" w:cs="Consolas" w:eastAsia="Consolas"/>
          <w:sz w:val="18"/>
        </w:rPr>
        <w:t xml:space="preserve">         a. jetons de la charte, ou à défaut index du plan</w:t>
      </w:r>
    </w:p>
    <w:p>
      <w:pPr>
        <w:keepLines/>
        <w:spacing w:before="0" w:after="0" w:line="240" w:lineRule="auto"/>
        <w:ind w:left="227"/>
        <w:shd w:val="clear" w:color="auto" w:fill="F4F5F7"/>
      </w:pPr>
      <w:r>
        <w:rPr>
          <w:rFonts w:ascii="Consolas" w:hAnsi="Consolas" w:cs="Consolas" w:eastAsia="Consolas"/>
          <w:sz w:val="18"/>
        </w:rPr>
        <w:t xml:space="preserve">         b. jeton système  -&gt; valeur résolue à l'instant présent</w:t>
      </w:r>
    </w:p>
    <w:p>
      <w:pPr>
        <w:keepLines/>
        <w:spacing w:before="0" w:after="0" w:line="240" w:lineRule="auto"/>
        <w:ind w:left="227"/>
        <w:shd w:val="clear" w:color="auto" w:fill="F4F5F7"/>
      </w:pPr>
      <w:r>
        <w:rPr>
          <w:rFonts w:ascii="Consolas" w:hAnsi="Consolas" w:cs="Consolas" w:eastAsia="Consolas"/>
          <w:sz w:val="18"/>
        </w:rPr>
        <w:t xml:space="preserve">            jeton d'index  -&gt; valeur enregistrée du document</w:t>
      </w:r>
    </w:p>
    <w:p>
      <w:pPr>
        <w:keepLines/>
        <w:spacing w:before="0" w:after="0" w:line="240" w:lineRule="auto"/>
        <w:ind w:left="227"/>
        <w:shd w:val="clear" w:color="auto" w:fill="F4F5F7"/>
      </w:pPr>
      <w:r>
        <w:rPr>
          <w:rFonts w:ascii="Consolas" w:hAnsi="Consolas" w:cs="Consolas" w:eastAsia="Consolas"/>
          <w:sz w:val="18"/>
        </w:rPr>
        <w:t xml:space="preserve">         c. les jetons sans valeur sont OMIS, pas remplacés par un</w:t>
      </w:r>
    </w:p>
    <w:p>
      <w:pPr>
        <w:keepLines/>
        <w:spacing w:before="0" w:after="0" w:line="240" w:lineRule="auto"/>
        <w:ind w:left="227"/>
        <w:shd w:val="clear" w:color="auto" w:fill="F4F5F7"/>
      </w:pPr>
      <w:r>
        <w:rPr>
          <w:rFonts w:ascii="Consolas" w:hAnsi="Consolas" w:cs="Consolas" w:eastAsia="Consolas"/>
          <w:sz w:val="18"/>
        </w:rPr>
        <w:t xml:space="preserve">            point d'interrogation</w:t>
      </w:r>
    </w:p>
    <w:p>
      <w:pPr>
        <w:keepLines/>
        <w:spacing w:before="0" w:after="0" w:line="240" w:lineRule="auto"/>
        <w:ind w:left="227"/>
        <w:shd w:val="clear" w:color="auto" w:fill="F4F5F7"/>
      </w:pPr>
      <w:r>
        <w:rPr>
          <w:rFonts w:ascii="Consolas" w:hAnsi="Consolas" w:cs="Consolas" w:eastAsia="Consolas"/>
          <w:sz w:val="18"/>
        </w:rPr>
        <w:t xml:space="preserve">         d. la référence du document est écrite</w:t>
      </w:r>
    </w:p>
    <w:p>
      <w:pPr>
        <w:keepLines/>
        <w:spacing w:before="0" w:after="0" w:line="240" w:lineRule="auto"/>
        <w:ind w:left="227"/>
        <w:shd w:val="clear" w:color="auto" w:fill="F4F5F7"/>
      </w:pPr>
      <w:r>
        <w:rPr>
          <w:rFonts w:ascii="Consolas" w:hAnsi="Consolas" w:cs="Consolas" w:eastAsia="Consolas"/>
          <w:sz w:val="18"/>
        </w:rPr>
        <w:t xml:space="preserve">         e. en nommage automatique, le nom du document devient</w:t>
      </w:r>
    </w:p>
    <w:p>
      <w:pPr>
        <w:keepLines/>
        <w:spacing w:before="0" w:after="0" w:line="240" w:lineRule="auto"/>
        <w:ind w:left="227"/>
        <w:shd w:val="clear" w:color="auto" w:fill="F4F5F7"/>
      </w:pPr>
      <w:r>
        <w:rPr>
          <w:rFonts w:ascii="Consolas" w:hAnsi="Consolas" w:cs="Consolas" w:eastAsia="Consolas"/>
          <w:sz w:val="18"/>
        </w:rPr>
        <w:t xml:space="preserve">            cette référence ; en nommage manuel, le nom saisi</w:t>
      </w:r>
    </w:p>
    <w:p>
      <w:pPr>
        <w:keepLines/>
        <w:spacing w:before="0" w:after="0" w:line="240" w:lineRule="auto"/>
        <w:ind w:left="227"/>
        <w:shd w:val="clear" w:color="auto" w:fill="F4F5F7"/>
      </w:pPr>
      <w:r>
        <w:rPr>
          <w:rFonts w:ascii="Consolas" w:hAnsi="Consolas" w:cs="Consolas" w:eastAsia="Consolas"/>
          <w:sz w:val="18"/>
        </w:rPr>
        <w:t xml:space="preserve">            par l'opérateur reste intact</w:t>
      </w:r>
    </w:p>
    <w:p>
      <w:pPr>
        <w:spacing w:after="120"/>
      </w:pPr>
    </w:p>
    <w:p>
      <w:r>
        <w:t>L'ordre des deux passes n'est pas une commodité : une validation entrelacée avec les écritures laisserait un enregistrement partiel derrière elle dès qu'une ligne serait refusée. De même, la recomposition n'est déclenchée que si la requête a effectivement écrit quelque chose : recomposer après un corps vide remplacerait le nom du document par les seuls jetons système, c'est-à-dire détruirait le nom sans qu'aucune donnée n'ait été fournie.</w:t>
      </w:r>
    </w:p>
    <w:p>
      <w:pPr>
        <w:pStyle w:val="Heading1"/>
      </w:pPr>
      <w:r>
        <w:t>8. Les effets de bord</w:t>
      </w:r>
    </w:p>
    <w:p>
      <w:pPr>
        <w:pStyle w:val="Heading2"/>
      </w:pPr>
      <w:r>
        <w:t>8.1 Dans ce module</w:t>
      </w:r>
    </w:p>
    <w:p>
      <w:r>
        <w:t>L'enregistrement d'un plan écrit la table du plan et sa table de liaison, et rien d'autre. Aucun fichier n'est produit, aucun calcul de fond n'est lancé, aucun compteur n'est tenu. L'aperçu affiché dans la liste n'est pas stocké : il est recalculé à chaque lecture, à partir de la charte, du séparateur, de la casse et des libellés d'index du moment. C'est ce qui garantit qu'il ne peut pas diverger de la définition.</w:t>
      </w:r>
    </w:p>
    <w:p>
      <w:pPr>
        <w:pStyle w:val="Heading2"/>
      </w:pPr>
      <w:r>
        <w:t>8.2 Ailleurs, sans écriture</w:t>
      </w:r>
    </w:p>
    <w:p>
      <w:pPr>
        <w:pStyle w:val="ListBullet"/>
      </w:pPr>
      <w:r>
        <w:t>Modifier le séparateur d'un plan change la façon dont le nom des fichiers déposés est découpé au dépôt suivant. Un nom de fichier qui alimentait correctement trois champs peut cesser de le faire, sans qu'aucune donnée existante ne bouge.</w:t>
      </w:r>
    </w:p>
    <w:p>
      <w:pPr>
        <w:pStyle w:val="ListBullet"/>
      </w:pPr>
      <w:r>
        <w:t>Modifier l'ordre des jetons change la forme des noms composés à partir du dépôt suivant. Les documents déjà nommés conservent leur nom : il a été écrit une fois, il n'est jamais recalculé.</w:t>
      </w:r>
    </w:p>
    <w:p>
      <w:pPr>
        <w:pStyle w:val="ListBullet"/>
      </w:pPr>
      <w:r>
        <w:t>Basculer un plan en nommage manuel arrête toute composition de nom pour les dépôts suivants, et rend le champ « Nom du document » à l'opérateur.</w:t>
      </w:r>
    </w:p>
    <w:p>
      <w:pPr>
        <w:pStyle w:val="ListBullet"/>
      </w:pPr>
      <w:r>
        <w:t>Retirer un index du plan le retire des champs présentés au dépôt et, s'il figurait dans la charte, laisse un jeton orphelin que l'aperçu affiche sous sa forme brute.</w:t>
      </w:r>
    </w:p>
    <w:p>
      <w:pPr>
        <w:pStyle w:val="ListBullet"/>
      </w:pPr>
      <w:r>
        <w:t>Ajouter un index obligatoire au plan bloque la confirmation de l'indexation de tout document de ce type tant que le champ n'est pas renseigné.</w:t>
      </w:r>
    </w:p>
    <w:p>
      <w:pPr>
        <w:pStyle w:val="Heading2"/>
      </w:pPr>
      <w:r>
        <w:t>8.3 Ce qui n'est jamais supprimé</w:t>
      </w:r>
    </w:p>
    <w:p>
      <w:pPr>
        <w:pStyle w:val="ListBullet"/>
      </w:pPr>
      <w:r>
        <w:t>Aucune ligne de la table des plans : la suppression est une bascule d'indicateur, il n'existe aucune purge.</w:t>
      </w:r>
    </w:p>
    <w:p>
      <w:pPr>
        <w:pStyle w:val="ListBullet"/>
      </w:pPr>
      <w:r>
        <w:t>Aucun code : un code utilisé par un plan en corbeille reste réservé indéfiniment.</w:t>
      </w:r>
    </w:p>
    <w:p>
      <w:pPr>
        <w:pStyle w:val="ListBullet"/>
      </w:pPr>
      <w:r>
        <w:t>Aucun nom de document déjà composé : le nom écrit au moment de l'indexation est figé.</w:t>
      </w:r>
    </w:p>
    <w:p>
      <w:pPr>
        <w:pStyle w:val="ListBullet"/>
      </w:pPr>
      <w:r>
        <w:t>Aucune valeur d'index de document : elles appartiennent au document, pas au plan.</w:t>
      </w:r>
    </w:p>
    <w:p>
      <w:r>
        <w:t>La seule donnée réellement détruite par ce module est la charte elle-même, effacée lorsqu'on bascule le plan en nommage manuel, et remplacée intégralement à chaque enregistrement. Il n'en existe aucun historique.</w:t>
      </w:r>
    </w:p>
    <w:p>
      <w:pPr>
        <w:pStyle w:val="Heading1"/>
      </w:pPr>
      <w:r>
        <w:t>9. Sécurité et contrôle d'accès</w:t>
      </w:r>
    </w:p>
    <w:p>
      <w:r>
        <w:t>L'application ne comporte qu'un compte, celui de l'administrateur. Les autres personnes visibles dans le produit sont des employés, c'est-à-dire des données : elles ne se connectent pas. Il n'existe donc ni rôle, ni permission, ni profil, et le module des plans d'indexation ne fait aucune exception.</w:t>
      </w:r>
    </w:p>
    <w:p>
      <w:pPr>
        <w:pStyle w:val="Heading2"/>
      </w:pPr>
      <w:r>
        <w:t>9.1 Le contrôle qui existe</w:t>
      </w:r>
    </w:p>
    <w:p>
      <w:pPr>
        <w:pStyle w:val="ListBullet"/>
      </w:pPr>
      <w:r>
        <w:t>L'API est fermée par défaut : toute requête doit porter un jeton valide. Les onze adresses de ce module sont protégées, lectures comprises, y compris le catalogue des jetons système, pourtant purement statique.</w:t>
      </w:r>
    </w:p>
    <w:p>
      <w:pPr>
        <w:pStyle w:val="ListBullet"/>
      </w:pPr>
      <w:r>
        <w:t>Le jeton est signé, sa durée de vie est bornée, et la borne annoncée dans le jeton est elle-même vérifiée à la lecture.</w:t>
      </w:r>
    </w:p>
    <w:p>
      <w:pPr>
        <w:pStyle w:val="ListBullet"/>
      </w:pPr>
      <w:r>
        <w:t>L'API est sans état : aucun cookie de session, donc aucune surface d'attaque par requête forgée entre sites.</w:t>
      </w:r>
    </w:p>
    <w:p>
      <w:pPr>
        <w:pStyle w:val="ListBullet"/>
      </w:pPr>
      <w:r>
        <w:t>Les origines autorisées sont déclarées par configuration ; l'envoi d'identifiants d'origine croisée n'est pas autorisé, le jeton voyageant dans un en-tête.</w:t>
      </w:r>
    </w:p>
    <w:p>
      <w:pPr>
        <w:pStyle w:val="Heading2"/>
      </w:pPr>
      <w:r>
        <w:t>9.2 Le contrôle qui n'existe pas, et pourquoi</w:t>
      </w:r>
    </w:p>
    <w:p>
      <w:r>
        <w:t>Aucune annotation d'autorisation ne figure dans le module. Une fois authentifié, l'appelant peut lire, créer, modifier, supprimer et restaurer n'importe quel plan. C'est la traduction littérale de la règle de l'utilisateur unique : il n'y a personne à distinguer, donc rien à arbitrer.</w:t>
      </w:r>
    </w:p>
    <w:p>
      <w:r>
        <w:t>Il faut cependant mesurer ce que cela recouvre pour ce module précis. Le plan d'indexation est l'objet dont la modification a la portée la plus large de toute la chaîne de paramétrage : changer un séparateur, réordonner trois jetons ou basculer en nommage manuel modifie le nom de tous les documents déposés ensuite, dans tous les types qui s'appuient sur ce plan. Cette portée n'est encadrée par aucun garde-fou technique — ni confirmation renforcée, ni historique, ni distinction entre consultation et administration. Aucune trace nominative n'est conservée non plus : les deux colonnes d'horodatage disent quand un plan a changé, jamais qui l'a changé.</w:t>
      </w:r>
    </w:p>
    <w:p>
      <w:pPr>
        <w:pStyle w:val="Heading1"/>
      </w:pPr>
      <w:r>
        <w:t>10. Points de vigilance et limites connues</w:t>
      </w:r>
    </w:p>
    <w:p>
      <w:pPr>
        <w:pStyle w:val="Heading2"/>
      </w:pPr>
      <w:r>
        <w:t>10.1 La règle du tiret et des dates n'est vérifiée nulle part</w:t>
      </w:r>
    </w:p>
    <w:p>
      <w:r>
        <w:t>C'est la limite la plus importante de cet écran, parce que la fiche fonctionnelle en fait sa règle centrale. Ni le serveur ni le formulaire n'avertissent lorsqu'un plan combine le tiret comme séparateur et un jeton de date. Il faut de surcroît décrire précisément ce qui se passe alors, car ce n'est pas tout à fait ce que la fiche annonce.</w:t>
      </w:r>
    </w:p>
    <w:p>
      <w:pPr>
        <w:keepLines/>
        <w:spacing w:before="0" w:after="0" w:line="240" w:lineRule="auto"/>
        <w:ind w:left="227"/>
        <w:shd w:val="clear" w:color="auto" w:fill="F4F5F7"/>
      </w:pPr>
      <w:r>
        <w:rPr>
          <w:rFonts w:ascii="Consolas" w:hAnsi="Consolas" w:cs="Consolas" w:eastAsia="Consolas"/>
          <w:sz w:val="18"/>
        </w:rPr>
        <w:t xml:space="preserve">  Plan : séparateur = « - »   charte = numéro, puis date d'émission</w:t>
      </w:r>
    </w:p>
    <w:p>
      <w:pPr>
        <w:keepLines/>
        <w:spacing w:before="0" w:after="0" w:line="240" w:lineRule="auto"/>
        <w:ind w:left="227"/>
        <w:shd w:val="clear" w:color="auto" w:fill="F4F5F7"/>
      </w:pPr>
      <w:r>
        <w:rPr>
          <w:rFonts w:ascii="Consolas" w:hAnsi="Consolas" w:cs="Consolas" w:eastAsia="Consolas"/>
          <w:sz w:val="18"/>
        </w:rPr>
        <w:t xml:space="preserve">  Fichier déposé : 2026003-2026-06-10.pdf</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Découpage sur « - » :  2026003 | 2026 | 06 | 10</w:t>
      </w:r>
    </w:p>
    <w:p>
      <w:pPr>
        <w:keepLines/>
        <w:spacing w:before="0" w:after="0" w:line="240" w:lineRule="auto"/>
        <w:ind w:left="227"/>
        <w:shd w:val="clear" w:color="auto" w:fill="F4F5F7"/>
      </w:pPr>
      <w:r>
        <w:rPr>
          <w:rFonts w:ascii="Consolas" w:hAnsi="Consolas" w:cs="Consolas" w:eastAsia="Consolas"/>
          <w:sz w:val="18"/>
        </w:rPr>
        <w:t xml:space="preserve">                          soit 4 segments pour 2 index</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Champ 1, numéro  &lt;- segment 1 = 2026003        accepté</w:t>
      </w:r>
    </w:p>
    <w:p>
      <w:pPr>
        <w:keepLines/>
        <w:spacing w:before="0" w:after="0" w:line="240" w:lineRule="auto"/>
        <w:ind w:left="227"/>
        <w:shd w:val="clear" w:color="auto" w:fill="F4F5F7"/>
      </w:pPr>
      <w:r>
        <w:rPr>
          <w:rFonts w:ascii="Consolas" w:hAnsi="Consolas" w:cs="Consolas" w:eastAsia="Consolas"/>
          <w:sz w:val="18"/>
        </w:rPr>
        <w:t xml:space="preserve">  Champ 2, date    &lt;- segment 2 = 2026           refusé :</w:t>
      </w:r>
    </w:p>
    <w:p>
      <w:pPr>
        <w:keepLines/>
        <w:spacing w:before="0" w:after="0" w:line="240" w:lineRule="auto"/>
        <w:ind w:left="227"/>
        <w:shd w:val="clear" w:color="auto" w:fill="F4F5F7"/>
      </w:pPr>
      <w:r>
        <w:rPr>
          <w:rFonts w:ascii="Consolas" w:hAnsi="Consolas" w:cs="Consolas" w:eastAsia="Consolas"/>
          <w:sz w:val="18"/>
        </w:rPr>
        <w:t xml:space="preserve">                      « 2026 » n'est pas une date AAAA-MM-JJ</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Le second champ est signalé comme non déduit. La lecture du contenu</w:t>
      </w:r>
    </w:p>
    <w:p>
      <w:pPr>
        <w:keepLines/>
        <w:spacing w:before="0" w:after="0" w:line="240" w:lineRule="auto"/>
        <w:ind w:left="227"/>
        <w:shd w:val="clear" w:color="auto" w:fill="F4F5F7"/>
      </w:pPr>
      <w:r>
        <w:rPr>
          <w:rFonts w:ascii="Consolas" w:hAnsi="Consolas" w:cs="Consolas" w:eastAsia="Consolas"/>
          <w:sz w:val="18"/>
        </w:rPr>
        <w:t xml:space="preserve">  du document est alors tentée ; si elle échoue, le champ reste vide</w:t>
      </w:r>
    </w:p>
    <w:p>
      <w:pPr>
        <w:keepLines/>
        <w:spacing w:before="0" w:after="0" w:line="240" w:lineRule="auto"/>
        <w:ind w:left="227"/>
        <w:shd w:val="clear" w:color="auto" w:fill="F4F5F7"/>
      </w:pPr>
      <w:r>
        <w:rPr>
          <w:rFonts w:ascii="Consolas" w:hAnsi="Consolas" w:cs="Consolas" w:eastAsia="Consolas"/>
          <w:sz w:val="18"/>
        </w:rPr>
        <w:t xml:space="preserve">  et l'opérateur doit le saisir.</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À la confirmation, le nom est composé des seules valeurs présentes :</w:t>
      </w:r>
    </w:p>
    <w:p>
      <w:pPr>
        <w:keepLines/>
        <w:spacing w:before="0" w:after="0" w:line="240" w:lineRule="auto"/>
        <w:ind w:left="227"/>
        <w:shd w:val="clear" w:color="auto" w:fill="F4F5F7"/>
      </w:pPr>
      <w:r>
        <w:rPr>
          <w:rFonts w:ascii="Consolas" w:hAnsi="Consolas" w:cs="Consolas" w:eastAsia="Consolas"/>
          <w:sz w:val="18"/>
        </w:rPr>
        <w:t xml:space="preserve">  un jeton sans valeur est OMIS, pas remplacé par un marqueur.</w:t>
      </w:r>
    </w:p>
    <w:p>
      <w:pPr>
        <w:spacing w:after="120"/>
      </w:pPr>
    </w:p>
    <w:p>
      <w:r>
        <w:t>Autrement dit, le champ « Nom du document » n'est pas systématiquement vide, comme le laisse entendre la fiche : il est composé de ce qui a pu être déterminé, amputé de ce qui manque. Un nom amputé est plus insidieux qu'un nom absent, car rien ne signale qu'il est incomplet. L'avertissement recommandé par la fiche reste donc à ajouter, de préférence côté serveur, où il pourrait être renvoyé avec la fiche du plan et réutilisé partout.</w:t>
      </w:r>
    </w:p>
    <w:p>
      <w:pPr>
        <w:pStyle w:val="Heading2"/>
      </w:pPr>
      <w:r>
        <w:t>10.2 L'aperçu et le nom réel ne suivent pas la même règle de casse</w:t>
      </w:r>
    </w:p>
    <w:p>
      <w:r>
        <w:t>Deux traitements distincts composent une chaîne à partir des jetons : celui qui produit l'aperçu affiché dans la liste et dans le formulaire, et celui qui produit le nom réel du document au dépôt. Ils ne traitent pas la casse de la même façon.</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268"/>
          </w:tcPr>
          <w:p>
            <w:r/>
            <w:r>
              <w:rPr>
                <w:b/>
                <w:sz w:val="19"/>
              </w:rPr>
              <w:t>Cas</w:t>
            </w:r>
          </w:p>
        </w:tc>
        <w:tc>
          <w:tcPr>
            <w:tcW w:type="dxa" w:w="3118"/>
          </w:tcPr>
          <w:p>
            <w:r/>
            <w:r>
              <w:rPr>
                <w:b/>
                <w:sz w:val="19"/>
              </w:rPr>
              <w:t>Aperçu du plan</w:t>
            </w:r>
          </w:p>
        </w:tc>
        <w:tc>
          <w:tcPr>
            <w:tcW w:type="dxa" w:w="4252"/>
          </w:tcPr>
          <w:p>
            <w:r/>
            <w:r>
              <w:rPr>
                <w:b/>
                <w:sz w:val="19"/>
              </w:rPr>
              <w:t>Nom réellement écrit sur le document</w:t>
            </w:r>
          </w:p>
        </w:tc>
      </w:tr>
      <w:tr>
        <w:tc>
          <w:tcPr>
            <w:tcW w:type="dxa" w:w="2268"/>
          </w:tcPr>
          <w:p>
            <w:r/>
            <w:r>
              <w:rPr>
                <w:sz w:val="18"/>
              </w:rPr>
              <w:t>Casse « Majuscule »</w:t>
            </w:r>
          </w:p>
        </w:tc>
        <w:tc>
          <w:tcPr>
            <w:tcW w:type="dxa" w:w="3118"/>
          </w:tcPr>
          <w:p>
            <w:r/>
            <w:r>
              <w:rPr>
                <w:sz w:val="18"/>
              </w:rPr>
              <w:t>Tout en majuscules</w:t>
            </w:r>
          </w:p>
        </w:tc>
        <w:tc>
          <w:tcPr>
            <w:tcW w:type="dxa" w:w="4252"/>
          </w:tcPr>
          <w:p>
            <w:r/>
            <w:r>
              <w:rPr>
                <w:sz w:val="18"/>
              </w:rPr>
              <w:t>Tout en majuscules — identique</w:t>
            </w:r>
          </w:p>
        </w:tc>
      </w:tr>
      <w:tr>
        <w:tc>
          <w:tcPr>
            <w:tcW w:type="dxa" w:w="2268"/>
          </w:tcPr>
          <w:p>
            <w:r/>
            <w:r>
              <w:rPr>
                <w:sz w:val="18"/>
              </w:rPr>
              <w:t>Casse « Minuscule »</w:t>
            </w:r>
          </w:p>
        </w:tc>
        <w:tc>
          <w:tcPr>
            <w:tcW w:type="dxa" w:w="3118"/>
          </w:tcPr>
          <w:p>
            <w:r/>
            <w:r>
              <w:rPr>
                <w:sz w:val="18"/>
              </w:rPr>
              <w:t>Tout en minuscules</w:t>
            </w:r>
          </w:p>
        </w:tc>
        <w:tc>
          <w:tcPr>
            <w:tcW w:type="dxa" w:w="4252"/>
          </w:tcPr>
          <w:p>
            <w:r/>
            <w:r>
              <w:rPr>
                <w:sz w:val="18"/>
              </w:rPr>
              <w:t>Casse d'origine des valeurs, non transformée</w:t>
            </w:r>
          </w:p>
        </w:tc>
      </w:tr>
    </w:tbl>
    <w:p>
      <w:pPr>
        <w:spacing w:after="160"/>
      </w:pPr>
    </w:p>
    <w:p>
      <w:r>
        <w:t>Un plan en casse « Minuscule » dont un index vaut « ACME » affiche donc « … acme » en aperçu et écrit « … ACME » sur le document. L'écart est réel et ne relève pas de la définition des jetons système ; il mérite d'être aligné, dans un sens ou dans l'autre.</w:t>
      </w:r>
    </w:p>
    <w:p>
      <w:pPr>
        <w:pStyle w:val="Heading2"/>
      </w:pPr>
      <w:r>
        <w:t>10.3 Un plan en corbeille continue de piloter les dépôts</w:t>
      </w:r>
    </w:p>
    <w:p>
      <w:r>
        <w:t>Le module d'indexation refuse explicitement un type de document mis à la corbeille, avec un message dédié. Il ne fait rien d'équivalent pour un plan. Un plan supprimé disparaît donc des sélecteurs, mais continue de présenter ses champs, d'imposer ses index obligatoires et de composer les noms de tous les documents déposés sous un type qui le désignait déjà. L'administrateur qui supprime un plan pour le retirer du service constate qu'il ne s'est rien passé. Le contrôle symétrique de celui qui existe pour le type est à ajouter.</w:t>
      </w:r>
    </w:p>
    <w:p>
      <w:pPr>
        <w:pStyle w:val="Heading2"/>
      </w:pPr>
      <w:r>
        <w:t>10.4 Aucun contrôle sur le contenu de la charte</w:t>
      </w:r>
    </w:p>
    <w:p>
      <w:r>
        <w:t>Les jetons reçus sont enregistrés tels quels, sans aucune vérification. Il est donc possible d'enregistrer une charte qui référence un index n'appartenant pas au plan, un identifiant d'index inexistant, ou une chaîne quelconque. Les conséquences sont contenues — un jeton inconnu apparaît brut dans l'aperçu, et il est ignoré à la composition du nom, faute de valeur — mais elles se manifestent tard et sans explication. Une validation des jetons à l'enregistrement serait peu coûteuse.</w:t>
      </w:r>
    </w:p>
    <w:p>
      <w:pPr>
        <w:pStyle w:val="Heading2"/>
      </w:pPr>
      <w:r>
        <w:t>10.5 Le séparateur n'est pas restreint</w:t>
      </w:r>
    </w:p>
    <w:p>
      <w:r>
        <w:t>L'écran n'offre que deux valeurs, le tiret et le tiret bas. Le serveur, lui, accepte n'importe quelle chaîne non vide, y compris de plusieurs caractères, y compris un point ou une barre oblique. Or le séparateur finit dans le nom du document, donc dans le nom du fichier proposé au téléchargement. Un séparateur mal choisi produirait un nom que le poste de travail refuse d'enregistrer. La liste fermée existe à l'écran ; elle devrait exister aussi côté serveur.</w:t>
      </w:r>
    </w:p>
    <w:p>
      <w:pPr>
        <w:pStyle w:val="Heading2"/>
      </w:pPr>
      <w:r>
        <w:t>10.6 Un identifiant d'index inconnu est accepté sans un mot</w:t>
      </w:r>
    </w:p>
    <w:p>
      <w:r>
        <w:t>Un appel qui désigne des index inexistants enregistre un plan amputé et renvoie 201. La tolérance protège un cas légitime — un index supprimé entre l'ouverture du formulaire et son enregistrement — mais elle masque aussi les appels mal formés. Distinguer les deux cas demanderait peu : accepter en silence un index absent, refuser un identifiant qui n'a jamais existé.</w:t>
      </w:r>
    </w:p>
    <w:p>
      <w:pPr>
        <w:pStyle w:val="Heading2"/>
      </w:pPr>
      <w:r>
        <w:t>10.7 Un plan peut être construit sur des index en corbeille</w:t>
      </w:r>
    </w:p>
    <w:p>
      <w:r>
        <w:t>Le chargement des index désignés ne filtre pas l'indicateur de corbeille. Un plan peut donc être enregistré avec des index supprimés, qui apparaîtront dans sa fiche et dans son aperçu, mais que le dépôt ne demandera jamais — le module d'indexation, lui, les écarte. La fiche du plan promet alors un champ qui n'existera pas.</w:t>
      </w:r>
    </w:p>
    <w:p>
      <w:pPr>
        <w:pStyle w:val="Heading2"/>
      </w:pPr>
      <w:r>
        <w:t>10.8 Le jeton DATE n'a pas le format des valeurs de date</w:t>
      </w:r>
    </w:p>
    <w:p>
      <w:r>
        <w:t>Le jeton système DATE produit une date compacte à année sur deux chiffres, tandis que les valeurs d'index de type Date sont stockées et contrôlées au format ISO complet — un choix délibéré, puisqu'une année sur deux chiffres ne permet pas de trancher entre deux lectures possibles. Un même nom de document peut donc mêler les deux écritures. Le format du jeton est hérité de l'application d'origine et a été conservé pour l'interopérabilité ; il faut le savoir, faute de quoi la différence sera prise pour une anomalie.</w:t>
      </w:r>
    </w:p>
    <w:p>
      <w:pPr>
        <w:pStyle w:val="Heading2"/>
      </w:pPr>
      <w:r>
        <w:t>10.9 Ce qui n'est pas géré</w:t>
      </w:r>
    </w:p>
    <w:p>
      <w:pPr>
        <w:pStyle w:val="ListBullet"/>
      </w:pPr>
      <w:r>
        <w:t>Aucune purge définitive de la corbeille.</w:t>
      </w:r>
    </w:p>
    <w:p>
      <w:pPr>
        <w:pStyle w:val="ListBullet"/>
      </w:pPr>
      <w:r>
        <w:t>Aucun historique de la charte : sa modification est irréversible, et son effacement par bascule en nommage manuel l'est également.</w:t>
      </w:r>
    </w:p>
    <w:p>
      <w:pPr>
        <w:pStyle w:val="ListBullet"/>
      </w:pPr>
      <w:r>
        <w:t>Aucune duplication de plan, alors que c'est le geste naturel pour décliner une variante.</w:t>
      </w:r>
    </w:p>
    <w:p>
      <w:pPr>
        <w:pStyle w:val="ListBullet"/>
      </w:pPr>
      <w:r>
        <w:t>Aucun moyen de savoir quels types de document s'appuient sur un plan : la relation n'est exposée que dans un sens.</w:t>
      </w:r>
    </w:p>
    <w:p>
      <w:pPr>
        <w:pStyle w:val="ListBullet"/>
      </w:pPr>
      <w:r>
        <w:t>Aucune recherche sur le code ni sur la charte, alors que les deux colonnes correspondantes sont affichées dans la liste (voir la règle 11).</w:t>
      </w:r>
    </w:p>
    <w:p>
      <w:pPr>
        <w:pStyle w:val="ListBullet"/>
      </w:pPr>
      <w:r>
        <w:t>Aucun contrôle de concurrence : deux enregistrements simultanés du même plan se succèdent, le dernier écrase le premier.</w:t>
      </w:r>
    </w:p>
    <w:p>
      <w:pPr>
        <w:pStyle w:val="ListBullet"/>
      </w:pPr>
      <w:r>
        <w:t>Aucune borne applicative sur la longueur du code et du nom, dont le dépassement n'est refusé que par la base, avec un message générique.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4"/>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