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jc w:val="center"/>
      </w:pPr>
      <w:r>
        <w:rPr>
          <w:b/>
          <w:color w:val="1B365D"/>
          <w:sz w:val="48"/>
        </w:rPr>
        <w:t>GED MARCHICA MED</w:t>
      </w:r>
    </w:p>
    <w:p>
      <w:pPr>
        <w:spacing w:after="720"/>
        <w:jc w:val="center"/>
      </w:pPr>
      <w:r>
        <w:rPr>
          <w:color w:val="444A54"/>
          <w:sz w:val="24"/>
        </w:rPr>
        <w:t>Gestion électronique de documents</w:t>
      </w:r>
    </w:p>
    <w:p>
      <w:pPr>
        <w:spacing w:after="200"/>
        <w:jc w:val="center"/>
      </w:pPr>
      <w:r>
        <w:rPr>
          <w:color w:val="444A54"/>
          <w:sz w:val="22"/>
        </w:rPr>
        <w:t>Rapport technique — volet backend</w:t>
      </w:r>
    </w:p>
    <w:p>
      <w:pPr>
        <w:jc w:val="center"/>
      </w:pPr>
      <w:r>
        <w:rPr>
          <w:b/>
          <w:color w:val="1B365D"/>
          <w:sz w:val="38"/>
        </w:rPr>
        <w:t>08 — Types de document</w:t>
      </w:r>
    </w:p>
    <w:p>
      <w:pPr>
        <w:spacing w:after="1200"/>
        <w:jc w:val="center"/>
      </w:pPr>
      <w:r>
        <w:rPr>
          <w:i/>
          <w:color w:val="444A54"/>
          <w:sz w:val="22"/>
        </w:rPr>
        <w:t>Espace de travail, plan d'indexation, formats et taille maximale</w:t>
      </w:r>
    </w:p>
    <w:p>
      <w:pPr>
        <w:spacing w:after="40"/>
        <w:jc w:val="center"/>
      </w:pPr>
      <w:r>
        <w:rPr>
          <w:b/>
          <w:sz w:val="21"/>
        </w:rPr>
        <w:t xml:space="preserve">Application : </w:t>
      </w:r>
      <w:r>
        <w:rPr>
          <w:sz w:val="21"/>
        </w:rPr>
        <w:t>GED Marchica Med</w:t>
      </w:r>
    </w:p>
    <w:p>
      <w:pPr>
        <w:spacing w:after="40"/>
        <w:jc w:val="center"/>
      </w:pPr>
      <w:r>
        <w:rPr>
          <w:b/>
          <w:sz w:val="21"/>
        </w:rPr>
        <w:t xml:space="preserve">Interface : </w:t>
      </w:r>
      <w:r>
        <w:rPr>
          <w:sz w:val="21"/>
        </w:rPr>
        <w:t>08 — Types de document</w:t>
      </w:r>
    </w:p>
    <w:p>
      <w:pPr>
        <w:spacing w:after="40"/>
        <w:jc w:val="center"/>
      </w:pPr>
      <w:r>
        <w:rPr>
          <w:b/>
          <w:sz w:val="21"/>
        </w:rPr>
        <w:t xml:space="preserve">Volet : </w:t>
      </w:r>
      <w:r>
        <w:rPr>
          <w:sz w:val="21"/>
        </w:rPr>
        <w:t>Backend (comportement du serveur)</w:t>
      </w:r>
    </w:p>
    <w:p>
      <w:pPr>
        <w:spacing w:after="40"/>
        <w:jc w:val="center"/>
      </w:pPr>
      <w:r>
        <w:rPr>
          <w:b/>
          <w:sz w:val="21"/>
        </w:rPr>
        <w:t xml:space="preserve">Socle technique : </w:t>
      </w:r>
      <w:r>
        <w:rPr>
          <w:sz w:val="21"/>
        </w:rPr>
        <w:t>Spring Boot, Java 17, JPA/Hibernate, MySQL, Flyway</w:t>
      </w:r>
    </w:p>
    <w:p>
      <w:pPr>
        <w:spacing w:after="40"/>
        <w:jc w:val="center"/>
      </w:pPr>
      <w:r>
        <w:rPr>
          <w:b/>
          <w:sz w:val="21"/>
        </w:rPr>
        <w:t xml:space="preserve">Date d'édition : </w:t>
      </w:r>
      <w:r>
        <w:rPr>
          <w:sz w:val="21"/>
        </w:rPr>
        <w:t>13 août 2026</w:t>
      </w:r>
    </w:p>
    <w:p>
      <w:r>
        <w:br w:type="page"/>
      </w:r>
    </w:p>
    <w:p>
      <w:pPr>
        <w:pStyle w:val="Heading1"/>
      </w:pPr>
      <w:r>
        <w:t>Sommaire</w:t>
      </w:r>
    </w:p>
    <w:p>
      <w:pPr>
        <w:spacing w:after="200"/>
      </w:pPr>
      <w:r>
        <w:t>Le présent document suit le plan ci-dessous.</w:t>
      </w:r>
    </w:p>
    <w:p>
      <w:pPr>
        <w:spacing w:after="20"/>
        <w:ind w:left="340"/>
      </w:pPr>
      <w:r>
        <w:rPr>
          <w:b/>
          <w:sz w:val="21"/>
        </w:rPr>
        <w:t>1.  Rôle du serveur pour cette interface</w:t>
      </w:r>
    </w:p>
    <w:p>
      <w:pPr>
        <w:spacing w:after="20"/>
        <w:ind w:left="850"/>
      </w:pPr>
      <w:r>
        <w:rPr>
          <w:color w:val="444A54"/>
          <w:sz w:val="20"/>
        </w:rPr>
        <w:t>1.1  Ce que le serveur fournit</w:t>
      </w:r>
    </w:p>
    <w:p>
      <w:pPr>
        <w:spacing w:after="20"/>
        <w:ind w:left="850"/>
      </w:pPr>
      <w:r>
        <w:rPr>
          <w:color w:val="444A54"/>
          <w:sz w:val="20"/>
        </w:rPr>
        <w:t>1.2  Ce que le serveur garantit</w:t>
      </w:r>
    </w:p>
    <w:p>
      <w:pPr>
        <w:spacing w:after="20"/>
        <w:ind w:left="850"/>
      </w:pPr>
      <w:r>
        <w:rPr>
          <w:color w:val="444A54"/>
          <w:sz w:val="20"/>
        </w:rPr>
        <w:t>1.3  Ce que le serveur laisse ouvert</w:t>
      </w:r>
    </w:p>
    <w:p>
      <w:pPr>
        <w:spacing w:after="20"/>
        <w:ind w:left="340"/>
      </w:pPr>
      <w:r>
        <w:rPr>
          <w:b/>
          <w:sz w:val="21"/>
        </w:rPr>
        <w:t>2.  Les données conservées</w:t>
      </w:r>
    </w:p>
    <w:p>
      <w:pPr>
        <w:spacing w:after="20"/>
        <w:ind w:left="850"/>
      </w:pPr>
      <w:r>
        <w:rPr>
          <w:color w:val="444A54"/>
          <w:sz w:val="20"/>
        </w:rPr>
        <w:t>2.1  Une divergence à connaître entre la requête et la colonne</w:t>
      </w:r>
    </w:p>
    <w:p>
      <w:pPr>
        <w:spacing w:after="20"/>
        <w:ind w:left="850"/>
      </w:pPr>
      <w:r>
        <w:rPr>
          <w:color w:val="444A54"/>
          <w:sz w:val="20"/>
        </w:rPr>
        <w:t>2.2  Pourquoi la description est obligatoire ici, et nulle part ailleurs</w:t>
      </w:r>
    </w:p>
    <w:p>
      <w:pPr>
        <w:spacing w:after="20"/>
        <w:ind w:left="850"/>
      </w:pPr>
      <w:r>
        <w:rPr>
          <w:color w:val="444A54"/>
          <w:sz w:val="20"/>
        </w:rPr>
        <w:t>2.3  La taille maximale et son plancher</w:t>
      </w:r>
    </w:p>
    <w:p>
      <w:pPr>
        <w:spacing w:after="20"/>
        <w:ind w:left="340"/>
      </w:pPr>
      <w:r>
        <w:rPr>
          <w:b/>
          <w:sz w:val="21"/>
        </w:rPr>
        <w:t>3.  Les relations</w:t>
      </w:r>
    </w:p>
    <w:p>
      <w:pPr>
        <w:spacing w:after="20"/>
        <w:ind w:left="850"/>
      </w:pPr>
      <w:r>
        <w:rPr>
          <w:color w:val="444A54"/>
          <w:sz w:val="20"/>
        </w:rPr>
        <w:t>3.1  Vers l'espace de travail — obligatoire</w:t>
      </w:r>
    </w:p>
    <w:p>
      <w:pPr>
        <w:spacing w:after="20"/>
        <w:ind w:left="850"/>
      </w:pPr>
      <w:r>
        <w:rPr>
          <w:color w:val="444A54"/>
          <w:sz w:val="20"/>
        </w:rPr>
        <w:t>3.2  Vers le plan d'indexation — facultative</w:t>
      </w:r>
    </w:p>
    <w:p>
      <w:pPr>
        <w:spacing w:after="20"/>
        <w:ind w:left="850"/>
      </w:pPr>
      <w:r>
        <w:rPr>
          <w:color w:val="444A54"/>
          <w:sz w:val="20"/>
        </w:rPr>
        <w:t>3.3  Vers les documents — un-à-plusieurs</w:t>
      </w:r>
    </w:p>
    <w:p>
      <w:pPr>
        <w:spacing w:after="20"/>
        <w:ind w:left="850"/>
      </w:pPr>
      <w:r>
        <w:rPr>
          <w:color w:val="444A54"/>
          <w:sz w:val="20"/>
        </w:rPr>
        <w:t>3.4  Ce qui se passe quand le type disparaît</w:t>
      </w:r>
    </w:p>
    <w:p>
      <w:pPr>
        <w:spacing w:after="20"/>
        <w:ind w:left="850"/>
      </w:pPr>
      <w:r>
        <w:rPr>
          <w:color w:val="444A54"/>
          <w:sz w:val="20"/>
        </w:rPr>
        <w:t>3.5  Schéma des relations</w:t>
      </w:r>
    </w:p>
    <w:p>
      <w:pPr>
        <w:spacing w:after="20"/>
        <w:ind w:left="340"/>
      </w:pPr>
      <w:r>
        <w:rPr>
          <w:b/>
          <w:sz w:val="21"/>
        </w:rPr>
        <w:t>4.  Les opérations disponibles</w:t>
      </w:r>
    </w:p>
    <w:p>
      <w:pPr>
        <w:spacing w:after="20"/>
        <w:ind w:left="850"/>
      </w:pPr>
      <w:r>
        <w:rPr>
          <w:color w:val="444A54"/>
          <w:sz w:val="20"/>
        </w:rPr>
        <w:t>4.1  La liste allégée, ou pourquoi le sélecteur transporte des contraintes</w:t>
      </w:r>
    </w:p>
    <w:p>
      <w:pPr>
        <w:spacing w:after="20"/>
        <w:ind w:left="340"/>
      </w:pPr>
      <w:r>
        <w:rPr>
          <w:b/>
          <w:sz w:val="21"/>
        </w:rPr>
        <w:t>5.  Les règles vérifiées côté serveur</w:t>
      </w:r>
    </w:p>
    <w:p>
      <w:pPr>
        <w:spacing w:after="20"/>
        <w:ind w:left="850"/>
      </w:pPr>
      <w:r>
        <w:rPr>
          <w:color w:val="444A54"/>
          <w:sz w:val="20"/>
        </w:rPr>
        <w:t>5.1  Règles de validité du formulaire</w:t>
      </w:r>
    </w:p>
    <w:p>
      <w:pPr>
        <w:spacing w:after="20"/>
        <w:ind w:left="850"/>
      </w:pPr>
      <w:r>
        <w:rPr>
          <w:color w:val="444A54"/>
          <w:sz w:val="20"/>
        </w:rPr>
        <w:t>5.2  Règles de cohérence des rattachements</w:t>
      </w:r>
    </w:p>
    <w:p>
      <w:pPr>
        <w:spacing w:after="20"/>
        <w:ind w:left="850"/>
      </w:pPr>
      <w:r>
        <w:rPr>
          <w:color w:val="444A54"/>
          <w:sz w:val="20"/>
        </w:rPr>
        <w:t>5.3  Règles appliquées au moment du dépôt</w:t>
      </w:r>
    </w:p>
    <w:p>
      <w:pPr>
        <w:spacing w:after="20"/>
        <w:ind w:left="850"/>
      </w:pPr>
      <w:r>
        <w:rPr>
          <w:color w:val="444A54"/>
          <w:sz w:val="20"/>
        </w:rPr>
        <w:t>5.4  Règles de lecture des listes</w:t>
      </w:r>
    </w:p>
    <w:p>
      <w:pPr>
        <w:spacing w:after="20"/>
        <w:ind w:left="340"/>
      </w:pPr>
      <w:r>
        <w:rPr>
          <w:b/>
          <w:sz w:val="21"/>
        </w:rPr>
        <w:t>6.  Les erreurs et les réponses</w:t>
      </w:r>
    </w:p>
    <w:p>
      <w:pPr>
        <w:spacing w:after="20"/>
        <w:ind w:left="340"/>
      </w:pPr>
      <w:r>
        <w:rPr>
          <w:b/>
          <w:sz w:val="21"/>
        </w:rPr>
        <w:t>7.  Ce qui est écrit, et dans quel ordre</w:t>
      </w:r>
    </w:p>
    <w:p>
      <w:pPr>
        <w:spacing w:after="20"/>
        <w:ind w:left="850"/>
      </w:pPr>
      <w:r>
        <w:rPr>
          <w:color w:val="444A54"/>
          <w:sz w:val="20"/>
        </w:rPr>
        <w:t>7.1  Création</w:t>
      </w:r>
    </w:p>
    <w:p>
      <w:pPr>
        <w:spacing w:after="20"/>
        <w:ind w:left="850"/>
      </w:pPr>
      <w:r>
        <w:rPr>
          <w:color w:val="444A54"/>
          <w:sz w:val="20"/>
        </w:rPr>
        <w:t>7.2  Modification</w:t>
      </w:r>
    </w:p>
    <w:p>
      <w:pPr>
        <w:spacing w:after="20"/>
        <w:ind w:left="850"/>
      </w:pPr>
      <w:r>
        <w:rPr>
          <w:color w:val="444A54"/>
          <w:sz w:val="20"/>
        </w:rPr>
        <w:t>7.3  Échec en cours de route</w:t>
      </w:r>
    </w:p>
    <w:p>
      <w:pPr>
        <w:spacing w:after="20"/>
        <w:ind w:left="850"/>
      </w:pPr>
      <w:r>
        <w:rPr>
          <w:color w:val="444A54"/>
          <w:sz w:val="20"/>
        </w:rPr>
        <w:t>7.4  Ce qui est écrit plus tard, au dépôt</w:t>
      </w:r>
    </w:p>
    <w:p>
      <w:pPr>
        <w:spacing w:after="20"/>
        <w:ind w:left="340"/>
      </w:pPr>
      <w:r>
        <w:rPr>
          <w:b/>
          <w:sz w:val="21"/>
        </w:rPr>
        <w:t>8.  Les effets de bord</w:t>
      </w:r>
    </w:p>
    <w:p>
      <w:pPr>
        <w:spacing w:after="20"/>
        <w:ind w:left="850"/>
      </w:pPr>
      <w:r>
        <w:rPr>
          <w:color w:val="444A54"/>
          <w:sz w:val="20"/>
        </w:rPr>
        <w:t>8.1  Dans ce module</w:t>
      </w:r>
    </w:p>
    <w:p>
      <w:pPr>
        <w:spacing w:after="20"/>
        <w:ind w:left="850"/>
      </w:pPr>
      <w:r>
        <w:rPr>
          <w:color w:val="444A54"/>
          <w:sz w:val="20"/>
        </w:rPr>
        <w:t>8.2  Ailleurs, sans écriture</w:t>
      </w:r>
    </w:p>
    <w:p>
      <w:pPr>
        <w:spacing w:after="20"/>
        <w:ind w:left="850"/>
      </w:pPr>
      <w:r>
        <w:rPr>
          <w:color w:val="444A54"/>
          <w:sz w:val="20"/>
        </w:rPr>
        <w:t>8.3  Ce qui n'est jamais revérifié</w:t>
      </w:r>
    </w:p>
    <w:p>
      <w:pPr>
        <w:spacing w:after="20"/>
        <w:ind w:left="850"/>
      </w:pPr>
      <w:r>
        <w:rPr>
          <w:color w:val="444A54"/>
          <w:sz w:val="20"/>
        </w:rPr>
        <w:t>8.4  Ce qui n'est jamais supprimé</w:t>
      </w:r>
    </w:p>
    <w:p>
      <w:pPr>
        <w:spacing w:after="20"/>
        <w:ind w:left="340"/>
      </w:pPr>
      <w:r>
        <w:rPr>
          <w:b/>
          <w:sz w:val="21"/>
        </w:rPr>
        <w:t>9.  Sécurité et contrôle d'accès</w:t>
      </w:r>
    </w:p>
    <w:p>
      <w:pPr>
        <w:spacing w:after="20"/>
        <w:ind w:left="850"/>
      </w:pPr>
      <w:r>
        <w:rPr>
          <w:color w:val="444A54"/>
          <w:sz w:val="20"/>
        </w:rPr>
        <w:t>9.1  Ce qui est contrôlé</w:t>
      </w:r>
    </w:p>
    <w:p>
      <w:pPr>
        <w:spacing w:after="20"/>
        <w:ind w:left="850"/>
      </w:pPr>
      <w:r>
        <w:rPr>
          <w:color w:val="444A54"/>
          <w:sz w:val="20"/>
        </w:rPr>
        <w:t>9.2  Une précision utile sur le vocabulaire</w:t>
      </w:r>
    </w:p>
    <w:p>
      <w:pPr>
        <w:spacing w:after="20"/>
        <w:ind w:left="850"/>
      </w:pPr>
      <w:r>
        <w:rPr>
          <w:color w:val="444A54"/>
          <w:sz w:val="20"/>
        </w:rPr>
        <w:t>9.3  Ce que cela implique concrètement</w:t>
      </w:r>
    </w:p>
    <w:p>
      <w:pPr>
        <w:spacing w:after="20"/>
        <w:ind w:left="340"/>
      </w:pPr>
      <w:r>
        <w:rPr>
          <w:b/>
          <w:sz w:val="21"/>
        </w:rPr>
        <w:t>10.  Points de vigilance et limites connues</w:t>
      </w:r>
    </w:p>
    <w:p>
      <w:r>
        <w:br w:type="page"/>
      </w:r>
    </w:p>
    <w:p>
      <w:pPr>
        <w:pStyle w:val="Heading1"/>
      </w:pPr>
      <w:r>
        <w:t>1. Rôle du serveur pour cette interface</w:t>
      </w:r>
    </w:p>
    <w:p>
      <w:r>
        <w:t>Le type de document est la pièce qui relie tout. C'est la seule chose que l'opérateur choisit au moment de déposer un fichier ; en la choisissant, il a décidé sans le savoir du dossier de rangement, du circuit de validation, du plan de nommage et des formats acceptés. Le serveur porte cette concentration de décisions : il conserve les rattachements du type, il les vérifie à l'enregistrement, et surtout il les republie sous une forme directement exploitable par le formulaire de dépôt.</w:t>
      </w:r>
    </w:p>
    <w:p>
      <w:pPr>
        <w:pStyle w:val="Heading2"/>
      </w:pPr>
      <w:r>
        <w:t>1.1 Ce que le serveur fournit</w:t>
      </w:r>
    </w:p>
    <w:p>
      <w:pPr>
        <w:pStyle w:val="ListBullet"/>
      </w:pPr>
      <w:r>
        <w:t>La persistance du type sous la forme d'une entité unique, portée par la table « type_de_documents ».</w:t>
      </w:r>
    </w:p>
    <w:p>
      <w:pPr>
        <w:pStyle w:val="ListBullet"/>
      </w:pPr>
      <w:r>
        <w:t>La résolution et la vérification de ses deux rattachements : l'espace de travail, obligatoire, et le plan d'indexation, facultatif.</w:t>
      </w:r>
    </w:p>
    <w:p>
      <w:pPr>
        <w:pStyle w:val="ListBullet"/>
      </w:pPr>
      <w:r>
        <w:t>Les contraintes de dépôt : la liste des formats de fichier acceptés et la taille maximale, exprimée en mégaoctets.</w:t>
      </w:r>
    </w:p>
    <w:p>
      <w:pPr>
        <w:pStyle w:val="ListBullet"/>
      </w:pPr>
      <w:r>
        <w:t>Les listes paginées, active et corbeille, avec une particularité utile : le tri est accepté sur le nom de l'espace de travail, c'est-à-dire sur une colonne d'une autre table.</w:t>
      </w:r>
    </w:p>
    <w:p>
      <w:pPr>
        <w:pStyle w:val="ListBullet"/>
      </w:pPr>
      <w:r>
        <w:t>Une liste allégée pour le sélecteur du dépôt, enrichie de tout ce dont le formulaire a besoin pour contrôler un fichier localement, sans appel supplémentaire.</w:t>
      </w:r>
    </w:p>
    <w:p>
      <w:pPr>
        <w:pStyle w:val="ListBullet"/>
      </w:pPr>
      <w:r>
        <w:t>Les contraintes de dépôt elles-mêmes, appliquées au moment du dépôt par un utilitaire partagé entre le dépôt initial, l'ajout d'une version et l'aperçu d'indexation qui les précède.</w:t>
      </w:r>
    </w:p>
    <w:p>
      <w:pPr>
        <w:pStyle w:val="Heading2"/>
      </w:pPr>
      <w:r>
        <w:t>1.2 Ce que le serveur garantit</w:t>
      </w:r>
    </w:p>
    <w:p>
      <w:pPr>
        <w:pStyle w:val="ListBullet"/>
      </w:pPr>
      <w:r>
        <w:t>L'unicité du code, contrôlée sans égard à la casse et doublée d'une contrainte de base.</w:t>
      </w:r>
    </w:p>
    <w:p>
      <w:pPr>
        <w:pStyle w:val="ListBullet"/>
      </w:pPr>
      <w:r>
        <w:t>L'existence réelle de l'espace de travail et, le cas échéant, du plan d'indexation désignés : un identifiant inconnu est refusé, et non enregistré tel quel.</w:t>
      </w:r>
    </w:p>
    <w:p>
      <w:pPr>
        <w:pStyle w:val="ListBullet"/>
      </w:pPr>
      <w:r>
        <w:t>Une description toujours présente. C'est le seul écran de l'application où la description est obligatoire, et ce n'est pas une inadvertance.</w:t>
      </w:r>
    </w:p>
    <w:p>
      <w:pPr>
        <w:pStyle w:val="ListBullet"/>
      </w:pPr>
      <w:r>
        <w:t>Au moins un format de fichier accepté, et une taille maximale d'au moins cinq mégaoctets.</w:t>
      </w:r>
    </w:p>
    <w:p>
      <w:pPr>
        <w:pStyle w:val="ListBullet"/>
      </w:pPr>
      <w:r>
        <w:t>Que les formats soient toujours comparés en minuscules, à l'enregistrement comme au dépôt : un fichier « FACTURE.PDF » est accepté par un type qui déclare « pdf ».</w:t>
      </w:r>
    </w:p>
    <w:p>
      <w:pPr>
        <w:pStyle w:val="ListBullet"/>
      </w:pPr>
      <w:r>
        <w:t>Qu'un type mis à la corbeille ne puisse plus recevoir de dépôt, même si son identifiant reste connu de l'appelant.</w:t>
      </w:r>
    </w:p>
    <w:p>
      <w:pPr>
        <w:pStyle w:val="Heading2"/>
      </w:pPr>
      <w:r>
        <w:t>1.3 Ce que le serveur laisse ouvert</w:t>
      </w:r>
    </w:p>
    <w:p>
      <w:r>
        <w:t>Le serveur ne vérifie pas que les formats déclarés appartiennent à la liste fermée proposée par l'écran, ne plafonne pas la taille maximale, et ne s'assure pas que l'espace de travail désigné n'est pas lui-même en corbeille. Il ne revérifie pas davantage, après coup, la validité des rattachements qu'il a contrôlés au moment de l'enregistrement. Ces points sont développés en sections 8.3 et 10.</w:t>
      </w:r>
    </w:p>
    <w:p>
      <w:pPr>
        <w:pStyle w:val="Heading1"/>
      </w:pPr>
      <w:r>
        <w:t>2. Les données conservées</w:t>
      </w:r>
    </w:p>
    <w:tbl>
      <w:tblPr>
        <w:tblStyle w:val="LightGrid-Accent1"/>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474"/>
          </w:tcPr>
          <w:p>
            <w:r/>
            <w:r>
              <w:rPr>
                <w:b/>
                <w:sz w:val="19"/>
              </w:rPr>
              <w:t>Information</w:t>
            </w:r>
          </w:p>
        </w:tc>
        <w:tc>
          <w:tcPr>
            <w:tcW w:type="dxa" w:w="1928"/>
          </w:tcPr>
          <w:p>
            <w:r/>
            <w:r>
              <w:rPr>
                <w:b/>
                <w:sz w:val="19"/>
              </w:rPr>
              <w:t>Nature</w:t>
            </w:r>
          </w:p>
        </w:tc>
        <w:tc>
          <w:tcPr>
            <w:tcW w:type="dxa" w:w="850"/>
          </w:tcPr>
          <w:p>
            <w:r/>
            <w:r>
              <w:rPr>
                <w:b/>
                <w:sz w:val="19"/>
              </w:rPr>
              <w:t>Oblig.</w:t>
            </w:r>
          </w:p>
        </w:tc>
        <w:tc>
          <w:tcPr>
            <w:tcW w:type="dxa" w:w="1247"/>
          </w:tcPr>
          <w:p>
            <w:r/>
            <w:r>
              <w:rPr>
                <w:b/>
                <w:sz w:val="19"/>
              </w:rPr>
              <w:t>Défaut</w:t>
            </w:r>
          </w:p>
        </w:tc>
        <w:tc>
          <w:tcPr>
            <w:tcW w:type="dxa" w:w="1701"/>
          </w:tcPr>
          <w:p>
            <w:r/>
            <w:r>
              <w:rPr>
                <w:b/>
                <w:sz w:val="19"/>
              </w:rPr>
              <w:t>Unicité</w:t>
            </w:r>
          </w:p>
        </w:tc>
        <w:tc>
          <w:tcPr>
            <w:tcW w:type="dxa" w:w="2438"/>
          </w:tcPr>
          <w:p>
            <w:r/>
            <w:r>
              <w:rPr>
                <w:b/>
                <w:sz w:val="19"/>
              </w:rPr>
              <w:t>Relation</w:t>
            </w:r>
          </w:p>
        </w:tc>
      </w:tr>
      <w:tr>
        <w:tc>
          <w:tcPr>
            <w:tcW w:type="dxa" w:w="1474"/>
          </w:tcPr>
          <w:p>
            <w:r/>
            <w:r>
              <w:rPr>
                <w:sz w:val="18"/>
              </w:rPr>
              <w:t>Identifiant</w:t>
            </w:r>
          </w:p>
        </w:tc>
        <w:tc>
          <w:tcPr>
            <w:tcW w:type="dxa" w:w="1928"/>
          </w:tcPr>
          <w:p>
            <w:r/>
            <w:r>
              <w:rPr>
                <w:sz w:val="18"/>
              </w:rPr>
              <w:t>Entier long, attribué par la base</w:t>
            </w:r>
          </w:p>
        </w:tc>
        <w:tc>
          <w:tcPr>
            <w:tcW w:type="dxa" w:w="850"/>
          </w:tcPr>
          <w:p>
            <w:r/>
            <w:r>
              <w:rPr>
                <w:sz w:val="18"/>
              </w:rPr>
              <w:t>Oui</w:t>
            </w:r>
          </w:p>
        </w:tc>
        <w:tc>
          <w:tcPr>
            <w:tcW w:type="dxa" w:w="1247"/>
          </w:tcPr>
          <w:p>
            <w:r/>
            <w:r>
              <w:rPr>
                <w:sz w:val="18"/>
              </w:rPr>
              <w:t>Auto-incrément</w:t>
            </w:r>
          </w:p>
        </w:tc>
        <w:tc>
          <w:tcPr>
            <w:tcW w:type="dxa" w:w="1701"/>
          </w:tcPr>
          <w:p>
            <w:r/>
            <w:r>
              <w:rPr>
                <w:sz w:val="18"/>
              </w:rPr>
              <w:t>Clé primaire</w:t>
            </w:r>
          </w:p>
        </w:tc>
        <w:tc>
          <w:tcPr>
            <w:tcW w:type="dxa" w:w="2438"/>
          </w:tcPr>
          <w:p>
            <w:r/>
            <w:r>
              <w:rPr>
                <w:sz w:val="18"/>
              </w:rPr>
              <w:t>Référencé par les documents</w:t>
            </w:r>
          </w:p>
        </w:tc>
      </w:tr>
      <w:tr>
        <w:tc>
          <w:tcPr>
            <w:tcW w:type="dxa" w:w="1474"/>
          </w:tcPr>
          <w:p>
            <w:r/>
            <w:r>
              <w:rPr>
                <w:sz w:val="18"/>
              </w:rPr>
              <w:t>Code</w:t>
            </w:r>
          </w:p>
        </w:tc>
        <w:tc>
          <w:tcPr>
            <w:tcW w:type="dxa" w:w="1928"/>
          </w:tcPr>
          <w:p>
            <w:r/>
            <w:r>
              <w:rPr>
                <w:sz w:val="18"/>
              </w:rPr>
              <w:t>Texte, 255 caractères</w:t>
            </w:r>
          </w:p>
        </w:tc>
        <w:tc>
          <w:tcPr>
            <w:tcW w:type="dxa" w:w="850"/>
          </w:tcPr>
          <w:p>
            <w:r/>
            <w:r>
              <w:rPr>
                <w:sz w:val="18"/>
              </w:rPr>
              <w:t>Oui</w:t>
            </w:r>
          </w:p>
        </w:tc>
        <w:tc>
          <w:tcPr>
            <w:tcW w:type="dxa" w:w="1247"/>
          </w:tcPr>
          <w:p>
            <w:r/>
            <w:r>
              <w:rPr>
                <w:sz w:val="18"/>
              </w:rPr>
              <w:t>Aucun</w:t>
            </w:r>
          </w:p>
        </w:tc>
        <w:tc>
          <w:tcPr>
            <w:tcW w:type="dxa" w:w="1701"/>
          </w:tcPr>
          <w:p>
            <w:r/>
            <w:r>
              <w:rPr>
                <w:sz w:val="18"/>
              </w:rPr>
              <w:t>Unique (contrainte de base + contrôle applicatif insensible à la casse)</w:t>
            </w:r>
          </w:p>
        </w:tc>
        <w:tc>
          <w:tcPr>
            <w:tcW w:type="dxa" w:w="2438"/>
          </w:tcPr>
          <w:p>
            <w:r/>
            <w:r>
              <w:rPr>
                <w:sz w:val="18"/>
              </w:rPr>
              <w:t>Aucune</w:t>
            </w:r>
          </w:p>
        </w:tc>
      </w:tr>
      <w:tr>
        <w:tc>
          <w:tcPr>
            <w:tcW w:type="dxa" w:w="1474"/>
          </w:tcPr>
          <w:p>
            <w:r/>
            <w:r>
              <w:rPr>
                <w:sz w:val="18"/>
              </w:rPr>
              <w:t>Type de document</w:t>
            </w:r>
          </w:p>
        </w:tc>
        <w:tc>
          <w:tcPr>
            <w:tcW w:type="dxa" w:w="1928"/>
          </w:tcPr>
          <w:p>
            <w:r/>
            <w:r>
              <w:rPr>
                <w:sz w:val="18"/>
              </w:rPr>
              <w:t>Texte, 255 caractères</w:t>
            </w:r>
          </w:p>
        </w:tc>
        <w:tc>
          <w:tcPr>
            <w:tcW w:type="dxa" w:w="850"/>
          </w:tcPr>
          <w:p>
            <w:r/>
            <w:r>
              <w:rPr>
                <w:sz w:val="18"/>
              </w:rPr>
              <w:t>Oui</w:t>
            </w:r>
          </w:p>
        </w:tc>
        <w:tc>
          <w:tcPr>
            <w:tcW w:type="dxa" w:w="1247"/>
          </w:tcPr>
          <w:p>
            <w:r/>
            <w:r>
              <w:rPr>
                <w:sz w:val="18"/>
              </w:rPr>
              <w:t>Aucun</w:t>
            </w:r>
          </w:p>
        </w:tc>
        <w:tc>
          <w:tcPr>
            <w:tcW w:type="dxa" w:w="1701"/>
          </w:tcPr>
          <w:p>
            <w:r/>
            <w:r>
              <w:rPr>
                <w:sz w:val="18"/>
              </w:rPr>
              <w:t>Non</w:t>
            </w:r>
          </w:p>
        </w:tc>
        <w:tc>
          <w:tcPr>
            <w:tcW w:type="dxa" w:w="2438"/>
          </w:tcPr>
          <w:p>
            <w:r/>
            <w:r>
              <w:rPr>
                <w:sz w:val="18"/>
              </w:rPr>
              <w:t>Libellé affiché dans le sélecteur du dépôt ; seule colonne interrogée par la recherche</w:t>
            </w:r>
          </w:p>
        </w:tc>
      </w:tr>
      <w:tr>
        <w:tc>
          <w:tcPr>
            <w:tcW w:type="dxa" w:w="1474"/>
          </w:tcPr>
          <w:p>
            <w:r/>
            <w:r>
              <w:rPr>
                <w:sz w:val="18"/>
              </w:rPr>
              <w:t>Description</w:t>
            </w:r>
          </w:p>
        </w:tc>
        <w:tc>
          <w:tcPr>
            <w:tcW w:type="dxa" w:w="1928"/>
          </w:tcPr>
          <w:p>
            <w:r/>
            <w:r>
              <w:rPr>
                <w:sz w:val="18"/>
              </w:rPr>
              <w:t>Texte long</w:t>
            </w:r>
          </w:p>
        </w:tc>
        <w:tc>
          <w:tcPr>
            <w:tcW w:type="dxa" w:w="850"/>
          </w:tcPr>
          <w:p>
            <w:r/>
            <w:r>
              <w:rPr>
                <w:sz w:val="18"/>
              </w:rPr>
              <w:t>Oui</w:t>
            </w:r>
          </w:p>
        </w:tc>
        <w:tc>
          <w:tcPr>
            <w:tcW w:type="dxa" w:w="1247"/>
          </w:tcPr>
          <w:p>
            <w:r/>
            <w:r>
              <w:rPr>
                <w:sz w:val="18"/>
              </w:rPr>
              <w:t>Aucun</w:t>
            </w:r>
          </w:p>
        </w:tc>
        <w:tc>
          <w:tcPr>
            <w:tcW w:type="dxa" w:w="1701"/>
          </w:tcPr>
          <w:p>
            <w:r/>
            <w:r>
              <w:rPr>
                <w:sz w:val="18"/>
              </w:rPr>
              <w:t>Non</w:t>
            </w:r>
          </w:p>
        </w:tc>
        <w:tc>
          <w:tcPr>
            <w:tcW w:type="dxa" w:w="2438"/>
          </w:tcPr>
          <w:p>
            <w:r/>
            <w:r>
              <w:rPr>
                <w:sz w:val="18"/>
              </w:rPr>
              <w:t>Aucune</w:t>
            </w:r>
          </w:p>
        </w:tc>
      </w:tr>
      <w:tr>
        <w:tc>
          <w:tcPr>
            <w:tcW w:type="dxa" w:w="1474"/>
          </w:tcPr>
          <w:p>
            <w:r/>
            <w:r>
              <w:rPr>
                <w:sz w:val="18"/>
              </w:rPr>
              <w:t>Espace de travail</w:t>
            </w:r>
          </w:p>
        </w:tc>
        <w:tc>
          <w:tcPr>
            <w:tcW w:type="dxa" w:w="1928"/>
          </w:tcPr>
          <w:p>
            <w:r/>
            <w:r>
              <w:rPr>
                <w:sz w:val="18"/>
              </w:rPr>
              <w:t>Clé étrangère obligatoire</w:t>
            </w:r>
          </w:p>
        </w:tc>
        <w:tc>
          <w:tcPr>
            <w:tcW w:type="dxa" w:w="850"/>
          </w:tcPr>
          <w:p>
            <w:r/>
            <w:r>
              <w:rPr>
                <w:sz w:val="18"/>
              </w:rPr>
              <w:t>Oui</w:t>
            </w:r>
          </w:p>
        </w:tc>
        <w:tc>
          <w:tcPr>
            <w:tcW w:type="dxa" w:w="1247"/>
          </w:tcPr>
          <w:p>
            <w:r/>
            <w:r>
              <w:rPr>
                <w:sz w:val="18"/>
              </w:rPr>
              <w:t>Aucun</w:t>
            </w:r>
          </w:p>
        </w:tc>
        <w:tc>
          <w:tcPr>
            <w:tcW w:type="dxa" w:w="1701"/>
          </w:tcPr>
          <w:p>
            <w:r/>
            <w:r>
              <w:rPr>
                <w:sz w:val="18"/>
              </w:rPr>
              <w:t>Non</w:t>
            </w:r>
          </w:p>
        </w:tc>
        <w:tc>
          <w:tcPr>
            <w:tcW w:type="dxa" w:w="2438"/>
          </w:tcPr>
          <w:p>
            <w:r/>
            <w:r>
              <w:rPr>
                <w:sz w:val="18"/>
              </w:rPr>
              <w:t>Vers un espace de travail ; détermine le dossier et le circuit de validation</w:t>
            </w:r>
          </w:p>
        </w:tc>
      </w:tr>
      <w:tr>
        <w:tc>
          <w:tcPr>
            <w:tcW w:type="dxa" w:w="1474"/>
          </w:tcPr>
          <w:p>
            <w:r/>
            <w:r>
              <w:rPr>
                <w:sz w:val="18"/>
              </w:rPr>
              <w:t>Plan d'indexation</w:t>
            </w:r>
          </w:p>
        </w:tc>
        <w:tc>
          <w:tcPr>
            <w:tcW w:type="dxa" w:w="1928"/>
          </w:tcPr>
          <w:p>
            <w:r/>
            <w:r>
              <w:rPr>
                <w:sz w:val="18"/>
              </w:rPr>
              <w:t>Clé étrangère facultative</w:t>
            </w:r>
          </w:p>
        </w:tc>
        <w:tc>
          <w:tcPr>
            <w:tcW w:type="dxa" w:w="850"/>
          </w:tcPr>
          <w:p>
            <w:r/>
            <w:r>
              <w:rPr>
                <w:sz w:val="18"/>
              </w:rPr>
              <w:t>Non</w:t>
            </w:r>
          </w:p>
        </w:tc>
        <w:tc>
          <w:tcPr>
            <w:tcW w:type="dxa" w:w="1247"/>
          </w:tcPr>
          <w:p>
            <w:r/>
            <w:r>
              <w:rPr>
                <w:sz w:val="18"/>
              </w:rPr>
              <w:t>Absent</w:t>
            </w:r>
          </w:p>
        </w:tc>
        <w:tc>
          <w:tcPr>
            <w:tcW w:type="dxa" w:w="1701"/>
          </w:tcPr>
          <w:p>
            <w:r/>
            <w:r>
              <w:rPr>
                <w:sz w:val="18"/>
              </w:rPr>
              <w:t>Non</w:t>
            </w:r>
          </w:p>
        </w:tc>
        <w:tc>
          <w:tcPr>
            <w:tcW w:type="dxa" w:w="2438"/>
          </w:tcPr>
          <w:p>
            <w:r/>
            <w:r>
              <w:rPr>
                <w:sz w:val="18"/>
              </w:rPr>
              <w:t>Vers un plan ; détermine les champs à saisir et le nom composé</w:t>
            </w:r>
          </w:p>
        </w:tc>
      </w:tr>
      <w:tr>
        <w:tc>
          <w:tcPr>
            <w:tcW w:type="dxa" w:w="1474"/>
          </w:tcPr>
          <w:p>
            <w:r/>
            <w:r>
              <w:rPr>
                <w:sz w:val="18"/>
              </w:rPr>
              <w:t>Formats autorisés</w:t>
            </w:r>
          </w:p>
        </w:tc>
        <w:tc>
          <w:tcPr>
            <w:tcW w:type="dxa" w:w="1928"/>
          </w:tcPr>
          <w:p>
            <w:r/>
            <w:r>
              <w:rPr>
                <w:sz w:val="18"/>
              </w:rPr>
              <w:t>Texte, 255 caractères, extensions séparées par des virgules</w:t>
            </w:r>
          </w:p>
        </w:tc>
        <w:tc>
          <w:tcPr>
            <w:tcW w:type="dxa" w:w="850"/>
          </w:tcPr>
          <w:p>
            <w:r/>
            <w:r>
              <w:rPr>
                <w:sz w:val="18"/>
              </w:rPr>
              <w:t>Non</w:t>
            </w:r>
          </w:p>
        </w:tc>
        <w:tc>
          <w:tcPr>
            <w:tcW w:type="dxa" w:w="1247"/>
          </w:tcPr>
          <w:p>
            <w:r/>
            <w:r>
              <w:rPr>
                <w:sz w:val="18"/>
              </w:rPr>
              <w:t>Vide</w:t>
            </w:r>
          </w:p>
        </w:tc>
        <w:tc>
          <w:tcPr>
            <w:tcW w:type="dxa" w:w="1701"/>
          </w:tcPr>
          <w:p>
            <w:r/>
            <w:r>
              <w:rPr>
                <w:sz w:val="18"/>
              </w:rPr>
              <w:t>Non</w:t>
            </w:r>
          </w:p>
        </w:tc>
        <w:tc>
          <w:tcPr>
            <w:tcW w:type="dxa" w:w="2438"/>
          </w:tcPr>
          <w:p>
            <w:r/>
            <w:r>
              <w:rPr>
                <w:sz w:val="18"/>
              </w:rPr>
              <w:t>Aucune</w:t>
            </w:r>
          </w:p>
        </w:tc>
      </w:tr>
      <w:tr>
        <w:tc>
          <w:tcPr>
            <w:tcW w:type="dxa" w:w="1474"/>
          </w:tcPr>
          <w:p>
            <w:r/>
            <w:r>
              <w:rPr>
                <w:sz w:val="18"/>
              </w:rPr>
              <w:t>Taille maximale</w:t>
            </w:r>
          </w:p>
        </w:tc>
        <w:tc>
          <w:tcPr>
            <w:tcW w:type="dxa" w:w="1928"/>
          </w:tcPr>
          <w:p>
            <w:r/>
            <w:r>
              <w:rPr>
                <w:sz w:val="18"/>
              </w:rPr>
              <w:t>Entier, en mégaoctets</w:t>
            </w:r>
          </w:p>
        </w:tc>
        <w:tc>
          <w:tcPr>
            <w:tcW w:type="dxa" w:w="850"/>
          </w:tcPr>
          <w:p>
            <w:r/>
            <w:r>
              <w:rPr>
                <w:sz w:val="18"/>
              </w:rPr>
              <w:t>Oui</w:t>
            </w:r>
          </w:p>
        </w:tc>
        <w:tc>
          <w:tcPr>
            <w:tcW w:type="dxa" w:w="1247"/>
          </w:tcPr>
          <w:p>
            <w:r/>
            <w:r>
              <w:rPr>
                <w:sz w:val="18"/>
              </w:rPr>
              <w:t>Aucun (l'écran propose 10)</w:t>
            </w:r>
          </w:p>
        </w:tc>
        <w:tc>
          <w:tcPr>
            <w:tcW w:type="dxa" w:w="1701"/>
          </w:tcPr>
          <w:p>
            <w:r/>
            <w:r>
              <w:rPr>
                <w:sz w:val="18"/>
              </w:rPr>
              <w:t>Non</w:t>
            </w:r>
          </w:p>
        </w:tc>
        <w:tc>
          <w:tcPr>
            <w:tcW w:type="dxa" w:w="2438"/>
          </w:tcPr>
          <w:p>
            <w:r/>
            <w:r>
              <w:rPr>
                <w:sz w:val="18"/>
              </w:rPr>
              <w:t>Aucune</w:t>
            </w:r>
          </w:p>
        </w:tc>
      </w:tr>
      <w:tr>
        <w:tc>
          <w:tcPr>
            <w:tcW w:type="dxa" w:w="1474"/>
          </w:tcPr>
          <w:p>
            <w:r/>
            <w:r>
              <w:rPr>
                <w:sz w:val="18"/>
              </w:rPr>
              <w:t>Corbeille</w:t>
            </w:r>
          </w:p>
        </w:tc>
        <w:tc>
          <w:tcPr>
            <w:tcW w:type="dxa" w:w="1928"/>
          </w:tcPr>
          <w:p>
            <w:r/>
            <w:r>
              <w:rPr>
                <w:sz w:val="18"/>
              </w:rPr>
              <w:t>Booléen</w:t>
            </w:r>
          </w:p>
        </w:tc>
        <w:tc>
          <w:tcPr>
            <w:tcW w:type="dxa" w:w="850"/>
          </w:tcPr>
          <w:p>
            <w:r/>
            <w:r>
              <w:rPr>
                <w:sz w:val="18"/>
              </w:rPr>
              <w:t>Oui</w:t>
            </w:r>
          </w:p>
        </w:tc>
        <w:tc>
          <w:tcPr>
            <w:tcW w:type="dxa" w:w="1247"/>
          </w:tcPr>
          <w:p>
            <w:r/>
            <w:r>
              <w:rPr>
                <w:sz w:val="18"/>
              </w:rPr>
              <w:t>Faux</w:t>
            </w:r>
          </w:p>
        </w:tc>
        <w:tc>
          <w:tcPr>
            <w:tcW w:type="dxa" w:w="1701"/>
          </w:tcPr>
          <w:p>
            <w:r/>
            <w:r>
              <w:rPr>
                <w:sz w:val="18"/>
              </w:rPr>
              <w:t>Non</w:t>
            </w:r>
          </w:p>
        </w:tc>
        <w:tc>
          <w:tcPr>
            <w:tcW w:type="dxa" w:w="2438"/>
          </w:tcPr>
          <w:p>
            <w:r/>
            <w:r>
              <w:rPr>
                <w:sz w:val="18"/>
              </w:rPr>
              <w:t>Filtre de toutes les listes</w:t>
            </w:r>
          </w:p>
        </w:tc>
      </w:tr>
      <w:tr>
        <w:tc>
          <w:tcPr>
            <w:tcW w:type="dxa" w:w="1474"/>
          </w:tcPr>
          <w:p>
            <w:r/>
            <w:r>
              <w:rPr>
                <w:sz w:val="18"/>
              </w:rPr>
              <w:t>Dates de création et de mise à jour</w:t>
            </w:r>
          </w:p>
        </w:tc>
        <w:tc>
          <w:tcPr>
            <w:tcW w:type="dxa" w:w="1928"/>
          </w:tcPr>
          <w:p>
            <w:r/>
            <w:r>
              <w:rPr>
                <w:sz w:val="18"/>
              </w:rPr>
              <w:t>Horodatages</w:t>
            </w:r>
          </w:p>
        </w:tc>
        <w:tc>
          <w:tcPr>
            <w:tcW w:type="dxa" w:w="850"/>
          </w:tcPr>
          <w:p>
            <w:r/>
            <w:r>
              <w:rPr>
                <w:sz w:val="18"/>
              </w:rPr>
              <w:t>Renseignées automatiquement</w:t>
            </w:r>
          </w:p>
        </w:tc>
        <w:tc>
          <w:tcPr>
            <w:tcW w:type="dxa" w:w="1247"/>
          </w:tcPr>
          <w:p>
            <w:r/>
            <w:r>
              <w:rPr>
                <w:sz w:val="18"/>
              </w:rPr>
              <w:t>Instant de l'écriture</w:t>
            </w:r>
          </w:p>
        </w:tc>
        <w:tc>
          <w:tcPr>
            <w:tcW w:type="dxa" w:w="1701"/>
          </w:tcPr>
          <w:p>
            <w:r/>
            <w:r>
              <w:rPr>
                <w:sz w:val="18"/>
              </w:rPr>
              <w:t>Non</w:t>
            </w:r>
          </w:p>
        </w:tc>
        <w:tc>
          <w:tcPr>
            <w:tcW w:type="dxa" w:w="2438"/>
          </w:tcPr>
          <w:p>
            <w:r/>
            <w:r>
              <w:rPr>
                <w:sz w:val="18"/>
              </w:rPr>
              <w:t>Aucune</w:t>
            </w:r>
          </w:p>
        </w:tc>
      </w:tr>
    </w:tbl>
    <w:p>
      <w:pPr>
        <w:spacing w:after="160"/>
      </w:pPr>
    </w:p>
    <w:p>
      <w:pPr>
        <w:pStyle w:val="Heading2"/>
      </w:pPr>
      <w:r>
        <w:t>2.1 Une divergence à connaître entre la requête et la colonne</w:t>
      </w:r>
    </w:p>
    <w:p>
      <w:r>
        <w:t>La liste des formats voyage sous forme de tableau dans la requête et dans la réponse, mais elle est stockée sous forme de chaîne unique, les extensions étant jointes par des virgules. Deux conséquences en découlent. D'abord, le tableau reçu est obligatoire et doit contenir au moins un élément, alors que la colonne, elle, accepte d'être vide — un type dont la colonne serait vide n'imposerait aucun format et accepterait tous les fichiers. Ensuite, la colonne est bornée à 255 caractères, ce qui est très largement suffisant pour cinq extensions mais constitue une borne qu'aucun contrôle applicatif ne rappelle.</w:t>
      </w:r>
    </w:p>
    <w:p>
      <w:r>
        <w:t>L'éclatement de la chaîne appartient à l'entité elle-même, et non aux services qui la lisent. Ce n'était pas le cas à l'origine : le découpage vivait en double, en méthode privée, dans deux services distincts — deux endroits à corriger le jour où la séparation changerait. L'entité est la seule à savoir comment sa colonne est écrite ; c'est donc à elle de savoir la relire.</w:t>
      </w:r>
    </w:p>
    <w:p>
      <w:pPr>
        <w:pStyle w:val="Heading2"/>
      </w:pPr>
      <w:r>
        <w:t>2.2 Pourquoi la description est obligatoire ici, et nulle part ailleurs</w:t>
      </w:r>
    </w:p>
    <w:p>
      <w:r>
        <w:t>Sur les espaces de travail, la description est facultative. Sur les types de document, elle est exigée par le serveur comme par l'écran. La raison est fonctionnelle et mérite d'être rappelée dans un document technique, parce qu'elle explique une contrainte qui, sans elle, passerait pour une incohérence : le type est la seule chose que l'opérateur choisit au dépôt. Un intitulé ambigu — « Divers », « Document 2 » — produit un classement faux à chaque dépôt, et l'erreur se répète indéfiniment. La description est le seul endroit où lever l'ambiguïté.</w:t>
      </w:r>
    </w:p>
    <w:p>
      <w:pPr>
        <w:pStyle w:val="Heading2"/>
      </w:pPr>
      <w:r>
        <w:t>2.3 La taille maximale et son plancher</w:t>
      </w:r>
    </w:p>
    <w:p>
      <w:r>
        <w:t>La taille est exprimée en mégaoctets, en nombre entier, et ne peut pas descendre en dessous de cinq. Le plancher est fonctionnel : en dessous, la plupart des PDF scannés seraient refusés et le paramétrage deviendrait une gêne quotidienne. Au moment du dépôt, la valeur est convertie en octets par multiplication successive par 1 024, puis comparée à la taille réelle du fichier reçu ; le refus nomme la limite en mégaoctets, pas en octets.</w:t>
      </w:r>
    </w:p>
    <w:p>
      <w:r>
        <w:t>Il faut retenir dès maintenant, parce que c'est le trait le plus important de ce champ, qu'il n'existe aucune taille maximale universelle dans l'application. La borne n'est pas une constante du serveur : elle appartient au type et à lui seul. Deux types du même espace de travail peuvent en porter deux valeurs différentes, et le même serveur acceptera donc un fichier de 18 mégaoctets sous « Contrat » et le refusera sous « Facture ». La règle 12 en tire les conséquences.</w:t>
      </w:r>
    </w:p>
    <w:p>
      <w:pPr>
        <w:pStyle w:val="Heading1"/>
      </w:pPr>
      <w:r>
        <w:t>3. Les relations</w:t>
      </w:r>
    </w:p>
    <w:p>
      <w:pPr>
        <w:pStyle w:val="Heading2"/>
      </w:pPr>
      <w:r>
        <w:t>3.1 Vers l'espace de travail — obligatoire</w:t>
      </w:r>
    </w:p>
    <w:p>
      <w:r>
        <w:t>Chaque type appartient à un espace de travail et à un seul. La colonne n'accepte pas l'absence de valeur, et la relation est chargée systématiquement avec le type : la fiche d'un type affiche toujours le nom de son espace, et la liste sait trier dessus. C'est par cette relation que le dépôt connaît le dossier de rangement et, indirectement, le circuit de validation — le circuit étant porté par l'espace de travail, pas par le type.</w:t>
      </w:r>
    </w:p>
    <w:p>
      <w:pPr>
        <w:pStyle w:val="Heading2"/>
      </w:pPr>
      <w:r>
        <w:t>3.2 Vers le plan d'indexation — facultative</w:t>
      </w:r>
    </w:p>
    <w:p>
      <w:r>
        <w:t>Un type désigne au plus un plan. L'absence de plan est un cas valide et fréquent : un compte rendu de réunion n'a aucune information structurée à porter. Le serveur traduit cette absence de trois façons cohérentes : la fiche du type ne comporte pas de plan, la liste allégée du dépôt renvoie une valeur nulle pour le nom du plan, et le module d'indexation répond qu'aucune analyse n'est possible, en nommant le type dans son message.</w:t>
      </w:r>
    </w:p>
    <w:p>
      <w:pPr>
        <w:pStyle w:val="Heading2"/>
      </w:pPr>
      <w:r>
        <w:t>3.3 Vers les documents — un-à-plusieurs</w:t>
      </w:r>
    </w:p>
    <w:p>
      <w:r>
        <w:t>Chaque document déposé référence obligatoirement un type. La relation est portée par le document ; le type ne sait pas combien de documents s'appuient sur lui, et aucune opération de ce module ne permet de le demander.</w:t>
      </w:r>
    </w:p>
    <w:p>
      <w:pPr>
        <w:pStyle w:val="Heading2"/>
      </w:pPr>
      <w:r>
        <w:t>3.4 Ce qui se passe quand le type disparaît</w:t>
      </w:r>
    </w:p>
    <w:p>
      <w:r>
        <w:t>La suppression est logique, comme partout. Elle produit ici l'effet le plus abouti de l'application, parce qu'il a été traité explicitement.</w:t>
      </w:r>
    </w:p>
    <w:p>
      <w:pPr>
        <w:pStyle w:val="ListBullet"/>
      </w:pPr>
      <w:r>
        <w:t>Le type disparaît du sélecteur du dépôt : la liste allégée exclut la corbeille.</w:t>
      </w:r>
    </w:p>
    <w:p>
      <w:pPr>
        <w:pStyle w:val="ListBullet"/>
      </w:pPr>
      <w:r>
        <w:t>Un dépôt tenté malgré tout, en réutilisant l'identifiant, est refusé avec un message dédié qui nomme le type : un type supprimé disparaît des sélecteurs mais son identifiant reste valide, et déposer dessus créerait un document rangé sous une catégorie que plus personne ne peut voir ni administrer.</w:t>
      </w:r>
    </w:p>
    <w:p>
      <w:pPr>
        <w:pStyle w:val="ListBullet"/>
      </w:pPr>
      <w:r>
        <w:t>Ce refus vaut aussi pour l'aperçu d'indexation qui précède le dépôt, puisque les deux partagent le même utilitaire de contrôle, ainsi que pour le changement de type d'un document existant.</w:t>
      </w:r>
    </w:p>
    <w:p>
      <w:pPr>
        <w:pStyle w:val="ListBullet"/>
      </w:pPr>
      <w:r>
        <w:t>Les documents déjà déposés sous ce type conservent leur lien : la clé étrangère reste valide, la liste des documents continue d'afficher le nom du type.</w:t>
      </w:r>
    </w:p>
    <w:p>
      <w:r>
        <w:t>Une suppression physique serait refusée par la base tant qu'un document référence le type. Aucune opération de ce genre n'est exposée.</w:t>
      </w:r>
    </w:p>
    <w:p>
      <w:pPr>
        <w:pStyle w:val="Heading2"/>
      </w:pPr>
      <w:r>
        <w:t>3.5 Schéma des relations</w:t>
      </w:r>
    </w:p>
    <w:p>
      <w:pPr>
        <w:keepLines/>
        <w:spacing w:before="0" w:after="0" w:line="240" w:lineRule="auto"/>
        <w:ind w:left="227"/>
        <w:shd w:val="clear" w:color="auto" w:fill="F4F5F7"/>
      </w:pPr>
      <w:r>
        <w:rPr>
          <w:rFonts w:ascii="Consolas" w:hAnsi="Consolas" w:cs="Consolas" w:eastAsia="Consolas"/>
          <w:sz w:val="18"/>
        </w:rPr>
        <w:t xml:space="preserve">     ESPACE DE TRAVAIL                    PLAN D'INDEXATION</w:t>
      </w:r>
    </w:p>
    <w:p>
      <w:pPr>
        <w:keepLines/>
        <w:spacing w:before="0" w:after="0" w:line="240" w:lineRule="auto"/>
        <w:ind w:left="227"/>
        <w:shd w:val="clear" w:color="auto" w:fill="F4F5F7"/>
      </w:pPr>
      <w:r>
        <w:rPr>
          <w:rFonts w:ascii="Consolas" w:hAnsi="Consolas" w:cs="Consolas" w:eastAsia="Consolas"/>
          <w:sz w:val="18"/>
        </w:rPr>
        <w:t xml:space="preserve">     (espaces de travail)                 (plans d'indexation)</w:t>
      </w:r>
    </w:p>
    <w:p>
      <w:pPr>
        <w:keepLines/>
        <w:spacing w:before="0" w:after="0" w:line="240" w:lineRule="auto"/>
        <w:ind w:left="227"/>
        <w:shd w:val="clear" w:color="auto" w:fill="F4F5F7"/>
      </w:pPr>
      <w:r>
        <w:rPr>
          <w:rFonts w:ascii="Consolas" w:hAnsi="Consolas" w:cs="Consolas" w:eastAsia="Consolas"/>
          <w:sz w:val="18"/>
        </w:rPr>
        <w:t xml:space="preserve">     porte le propriétaire                porte les index, la charte,</w:t>
      </w:r>
    </w:p>
    <w:p>
      <w:pPr>
        <w:keepLines/>
        <w:spacing w:before="0" w:after="0" w:line="240" w:lineRule="auto"/>
        <w:ind w:left="227"/>
        <w:shd w:val="clear" w:color="auto" w:fill="F4F5F7"/>
      </w:pPr>
      <w:r>
        <w:rPr>
          <w:rFonts w:ascii="Consolas" w:hAnsi="Consolas" w:cs="Consolas" w:eastAsia="Consolas"/>
          <w:sz w:val="18"/>
        </w:rPr>
        <w:t xml:space="preserve">     et le circuit de validation          le séparateur et la casse</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 espace de travail                     | plan d'indexation</w:t>
      </w:r>
    </w:p>
    <w:p>
      <w:pPr>
        <w:keepLines/>
        <w:spacing w:before="0" w:after="0" w:line="240" w:lineRule="auto"/>
        <w:ind w:left="227"/>
        <w:shd w:val="clear" w:color="auto" w:fill="F4F5F7"/>
      </w:pPr>
      <w:r>
        <w:rPr>
          <w:rFonts w:ascii="Consolas" w:hAnsi="Consolas" w:cs="Consolas" w:eastAsia="Consolas"/>
          <w:sz w:val="18"/>
        </w:rPr>
        <w:t xml:space="preserve">            | OBLIGATOIRE                           | FACULTATIF</w:t>
      </w:r>
    </w:p>
    <w:p>
      <w:pPr>
        <w:keepLines/>
        <w:spacing w:before="0" w:after="0" w:line="240" w:lineRule="auto"/>
        <w:ind w:left="227"/>
        <w:shd w:val="clear" w:color="auto" w:fill="F4F5F7"/>
      </w:pPr>
      <w:r>
        <w:rPr>
          <w:rFonts w:ascii="Consolas" w:hAnsi="Consolas" w:cs="Consolas" w:eastAsia="Consolas"/>
          <w:sz w:val="18"/>
        </w:rPr>
        <w:t xml:space="preserve">            |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TYPE DE DOCUMENT                       |</w:t>
      </w:r>
    </w:p>
    <w:p>
      <w:pPr>
        <w:keepLines/>
        <w:spacing w:before="0" w:after="0" w:line="240" w:lineRule="auto"/>
        <w:ind w:left="227"/>
        <w:shd w:val="clear" w:color="auto" w:fill="F4F5F7"/>
      </w:pPr>
      <w:r>
        <w:rPr>
          <w:rFonts w:ascii="Consolas" w:hAnsi="Consolas" w:cs="Consolas" w:eastAsia="Consolas"/>
          <w:sz w:val="18"/>
        </w:rPr>
        <w:t xml:space="preserve">      |            table : type_de_documents              |</w:t>
      </w:r>
    </w:p>
    <w:p>
      <w:pPr>
        <w:keepLines/>
        <w:spacing w:before="0" w:after="0" w:line="240" w:lineRule="auto"/>
        <w:ind w:left="227"/>
        <w:shd w:val="clear" w:color="auto" w:fill="F4F5F7"/>
      </w:pPr>
      <w:r>
        <w:rPr>
          <w:rFonts w:ascii="Consolas" w:hAnsi="Consolas" w:cs="Consolas" w:eastAsia="Consolas"/>
          <w:sz w:val="18"/>
        </w:rPr>
        <w:t xml:space="preserve">      |   code (unique) . libellé du type . description   |</w:t>
      </w:r>
    </w:p>
    <w:p>
      <w:pPr>
        <w:keepLines/>
        <w:spacing w:before="0" w:after="0" w:line="240" w:lineRule="auto"/>
        <w:ind w:left="227"/>
        <w:shd w:val="clear" w:color="auto" w:fill="F4F5F7"/>
      </w:pPr>
      <w:r>
        <w:rPr>
          <w:rFonts w:ascii="Consolas" w:hAnsi="Consolas" w:cs="Consolas" w:eastAsia="Consolas"/>
          <w:sz w:val="18"/>
        </w:rPr>
        <w:t xml:space="preserve">      |   formats autorisés . taille maximale . corbeille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type de document, OBLIGATOIRE</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     DOCUMENT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Un opérateur qui choisit « Facture » a choisi, sans le savoir :</w:t>
      </w:r>
    </w:p>
    <w:p>
      <w:pPr>
        <w:keepLines/>
        <w:spacing w:before="0" w:after="0" w:line="240" w:lineRule="auto"/>
        <w:ind w:left="227"/>
        <w:shd w:val="clear" w:color="auto" w:fill="F4F5F7"/>
      </w:pPr>
      <w:r>
        <w:rPr>
          <w:rFonts w:ascii="Consolas" w:hAnsi="Consolas" w:cs="Consolas" w:eastAsia="Consolas"/>
          <w:sz w:val="18"/>
        </w:rPr>
        <w:t xml:space="preserve">     où ranger  +  quel circuit  +  quelles infos  +  quel nom</w:t>
      </w:r>
    </w:p>
    <w:p>
      <w:pPr>
        <w:keepLines/>
        <w:spacing w:before="0" w:after="0" w:line="240" w:lineRule="auto"/>
        <w:ind w:left="227"/>
        <w:shd w:val="clear" w:color="auto" w:fill="F4F5F7"/>
      </w:pPr>
      <w:r>
        <w:rPr>
          <w:rFonts w:ascii="Consolas" w:hAnsi="Consolas" w:cs="Consolas" w:eastAsia="Consolas"/>
          <w:sz w:val="18"/>
        </w:rPr>
        <w:t xml:space="preserve">     +  ce qui est accepté  +  ce qui est refusé</w:t>
      </w:r>
    </w:p>
    <w:p>
      <w:pPr>
        <w:spacing w:after="120"/>
      </w:pPr>
    </w:p>
    <w:p>
      <w:pPr>
        <w:pStyle w:val="Heading1"/>
      </w:pPr>
      <w:r>
        <w:t>4. Les opérations disponibles</w:t>
      </w:r>
    </w:p>
    <w:p>
      <w:r>
        <w:t>Toutes les adresses sont préfixées par « /api/v1/type-documents ».</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rPr>
          <w:tblHeader w:val="true"/>
        </w:trPr>
        <w:tc>
          <w:tcPr>
            <w:tcW w:type="dxa" w:w="2154"/>
          </w:tcPr>
          <w:p>
            <w:r/>
            <w:r>
              <w:rPr>
                <w:b/>
                <w:sz w:val="19"/>
              </w:rPr>
              <w:t>Opération</w:t>
            </w:r>
          </w:p>
        </w:tc>
        <w:tc>
          <w:tcPr>
            <w:tcW w:type="dxa" w:w="2154"/>
          </w:tcPr>
          <w:p>
            <w:r/>
            <w:r>
              <w:rPr>
                <w:b/>
                <w:sz w:val="19"/>
              </w:rPr>
              <w:t>Ce qu'elle fait</w:t>
            </w:r>
          </w:p>
        </w:tc>
        <w:tc>
          <w:tcPr>
            <w:tcW w:type="dxa" w:w="1701"/>
          </w:tcPr>
          <w:p>
            <w:r/>
            <w:r>
              <w:rPr>
                <w:b/>
                <w:sz w:val="19"/>
              </w:rPr>
              <w:t>Ce qu'elle exige</w:t>
            </w:r>
          </w:p>
        </w:tc>
        <w:tc>
          <w:tcPr>
            <w:tcW w:type="dxa" w:w="1361"/>
          </w:tcPr>
          <w:p>
            <w:r/>
            <w:r>
              <w:rPr>
                <w:b/>
                <w:sz w:val="19"/>
              </w:rPr>
              <w:t>Ce qu'elle renvoie</w:t>
            </w:r>
          </w:p>
        </w:tc>
        <w:tc>
          <w:tcPr>
            <w:tcW w:type="dxa" w:w="2268"/>
          </w:tcPr>
          <w:p>
            <w:r/>
            <w:r>
              <w:rPr>
                <w:b/>
                <w:sz w:val="19"/>
              </w:rPr>
              <w:t>Ce qu'elle refuse</w:t>
            </w:r>
          </w:p>
        </w:tc>
      </w:tr>
      <w:tr>
        <w:tc>
          <w:tcPr>
            <w:tcW w:type="dxa" w:w="2154"/>
          </w:tcPr>
          <w:p>
            <w:r/>
            <w:r>
              <w:rPr>
                <w:sz w:val="18"/>
              </w:rPr>
              <w:t>GET /api/v1/type-documents</w:t>
            </w:r>
          </w:p>
        </w:tc>
        <w:tc>
          <w:tcPr>
            <w:tcW w:type="dxa" w:w="2154"/>
          </w:tcPr>
          <w:p>
            <w:r/>
            <w:r>
              <w:rPr>
                <w:sz w:val="18"/>
              </w:rPr>
              <w:t>Liste paginée des types actifs, chacun accompagné de son espace de travail et, s'il y en a un, de son plan.</w:t>
            </w:r>
          </w:p>
        </w:tc>
        <w:tc>
          <w:tcPr>
            <w:tcW w:type="dxa" w:w="1701"/>
          </w:tcPr>
          <w:p>
            <w:r/>
            <w:r>
              <w:rPr>
                <w:sz w:val="18"/>
              </w:rPr>
              <w:t>Rien ; les paramètres de pagination, de recherche et de tri sont facultatifs.</w:t>
            </w:r>
          </w:p>
        </w:tc>
        <w:tc>
          <w:tcPr>
            <w:tcW w:type="dxa" w:w="1361"/>
          </w:tcPr>
          <w:p>
            <w:r/>
            <w:r>
              <w:rPr>
                <w:sz w:val="18"/>
              </w:rPr>
              <w:t>200 : enveloppe de pagination.</w:t>
            </w:r>
          </w:p>
        </w:tc>
        <w:tc>
          <w:tcPr>
            <w:tcW w:type="dxa" w:w="2268"/>
          </w:tcPr>
          <w:p>
            <w:r/>
            <w:r>
              <w:rPr>
                <w:sz w:val="18"/>
              </w:rPr>
              <w:t>400 si le numéro de page est négatif ou hors limites.</w:t>
            </w:r>
          </w:p>
        </w:tc>
      </w:tr>
      <w:tr>
        <w:tc>
          <w:tcPr>
            <w:tcW w:type="dxa" w:w="2154"/>
          </w:tcPr>
          <w:p>
            <w:r/>
            <w:r>
              <w:rPr>
                <w:sz w:val="18"/>
              </w:rPr>
              <w:t>GET /api/v1/type-documents/trashed</w:t>
            </w:r>
          </w:p>
        </w:tc>
        <w:tc>
          <w:tcPr>
            <w:tcW w:type="dxa" w:w="2154"/>
          </w:tcPr>
          <w:p>
            <w:r/>
            <w:r>
              <w:rPr>
                <w:sz w:val="18"/>
              </w:rPr>
              <w:t>Même liste, restreinte à la corbeille.</w:t>
            </w:r>
          </w:p>
        </w:tc>
        <w:tc>
          <w:tcPr>
            <w:tcW w:type="dxa" w:w="1701"/>
          </w:tcPr>
          <w:p>
            <w:r/>
            <w:r>
              <w:rPr>
                <w:sz w:val="18"/>
              </w:rPr>
              <w:t>Mêmes paramètres.</w:t>
            </w:r>
          </w:p>
        </w:tc>
        <w:tc>
          <w:tcPr>
            <w:tcW w:type="dxa" w:w="1361"/>
          </w:tcPr>
          <w:p>
            <w:r/>
            <w:r>
              <w:rPr>
                <w:sz w:val="18"/>
              </w:rPr>
              <w:t>200.</w:t>
            </w:r>
          </w:p>
        </w:tc>
        <w:tc>
          <w:tcPr>
            <w:tcW w:type="dxa" w:w="2268"/>
          </w:tcPr>
          <w:p>
            <w:r/>
            <w:r>
              <w:rPr>
                <w:sz w:val="18"/>
              </w:rPr>
              <w:t>Idem.</w:t>
            </w:r>
          </w:p>
        </w:tc>
      </w:tr>
      <w:tr>
        <w:tc>
          <w:tcPr>
            <w:tcW w:type="dxa" w:w="2154"/>
          </w:tcPr>
          <w:p>
            <w:r/>
            <w:r>
              <w:rPr>
                <w:sz w:val="18"/>
              </w:rPr>
              <w:t>GET /api/v1/type-documents/for-select</w:t>
            </w:r>
          </w:p>
        </w:tc>
        <w:tc>
          <w:tcPr>
            <w:tcW w:type="dxa" w:w="2154"/>
          </w:tcPr>
          <w:p>
            <w:r/>
            <w:r>
              <w:rPr>
                <w:sz w:val="18"/>
              </w:rPr>
              <w:t>Liste destinée au formulaire de dépôt : identifiant, nom, nom du plan, indicateur de charte automatique, formats acceptés et taille maximale.</w:t>
            </w:r>
          </w:p>
        </w:tc>
        <w:tc>
          <w:tcPr>
            <w:tcW w:type="dxa" w:w="1701"/>
          </w:tcPr>
          <w:p>
            <w:r/>
            <w:r>
              <w:rPr>
                <w:sz w:val="18"/>
              </w:rPr>
              <w:t>Rien.</w:t>
            </w:r>
          </w:p>
        </w:tc>
        <w:tc>
          <w:tcPr>
            <w:tcW w:type="dxa" w:w="1361"/>
          </w:tcPr>
          <w:p>
            <w:r/>
            <w:r>
              <w:rPr>
                <w:sz w:val="18"/>
              </w:rPr>
              <w:t>200 : tableau d'objets à six clés.</w:t>
            </w:r>
          </w:p>
        </w:tc>
        <w:tc>
          <w:tcPr>
            <w:tcW w:type="dxa" w:w="2268"/>
          </w:tcPr>
          <w:p>
            <w:r/>
            <w:r>
              <w:rPr>
                <w:sz w:val="18"/>
              </w:rPr>
              <w:t>Rien. La corbeille est exclue.</w:t>
            </w:r>
          </w:p>
        </w:tc>
      </w:tr>
      <w:tr>
        <w:tc>
          <w:tcPr>
            <w:tcW w:type="dxa" w:w="2154"/>
          </w:tcPr>
          <w:p>
            <w:r/>
            <w:r>
              <w:rPr>
                <w:sz w:val="18"/>
              </w:rPr>
              <w:t>GET /api/v1/type-documents/{id}</w:t>
            </w:r>
          </w:p>
        </w:tc>
        <w:tc>
          <w:tcPr>
            <w:tcW w:type="dxa" w:w="2154"/>
          </w:tcPr>
          <w:p>
            <w:r/>
            <w:r>
              <w:rPr>
                <w:sz w:val="18"/>
              </w:rPr>
              <w:t>Fiche complète.</w:t>
            </w:r>
          </w:p>
        </w:tc>
        <w:tc>
          <w:tcPr>
            <w:tcW w:type="dxa" w:w="1701"/>
          </w:tcPr>
          <w:p>
            <w:r/>
            <w:r>
              <w:rPr>
                <w:sz w:val="18"/>
              </w:rPr>
              <w:t>Un identifiant.</w:t>
            </w:r>
          </w:p>
        </w:tc>
        <w:tc>
          <w:tcPr>
            <w:tcW w:type="dxa" w:w="1361"/>
          </w:tcPr>
          <w:p>
            <w:r/>
            <w:r>
              <w:rPr>
                <w:sz w:val="18"/>
              </w:rPr>
              <w:t>200.</w:t>
            </w:r>
          </w:p>
        </w:tc>
        <w:tc>
          <w:tcPr>
            <w:tcW w:type="dxa" w:w="2268"/>
          </w:tcPr>
          <w:p>
            <w:r/>
            <w:r>
              <w:rPr>
                <w:sz w:val="18"/>
              </w:rPr>
              <w:t>404 si le type n'existe pas. Un type en corbeille est renvoyé normalement.</w:t>
            </w:r>
          </w:p>
        </w:tc>
      </w:tr>
      <w:tr>
        <w:tc>
          <w:tcPr>
            <w:tcW w:type="dxa" w:w="2154"/>
          </w:tcPr>
          <w:p>
            <w:r/>
            <w:r>
              <w:rPr>
                <w:sz w:val="18"/>
              </w:rPr>
              <w:t>POST /api/v1/type-documents</w:t>
            </w:r>
          </w:p>
        </w:tc>
        <w:tc>
          <w:tcPr>
            <w:tcW w:type="dxa" w:w="2154"/>
          </w:tcPr>
          <w:p>
            <w:r/>
            <w:r>
              <w:rPr>
                <w:sz w:val="18"/>
              </w:rPr>
              <w:t>Crée un type.</w:t>
            </w:r>
          </w:p>
        </w:tc>
        <w:tc>
          <w:tcPr>
            <w:tcW w:type="dxa" w:w="1701"/>
          </w:tcPr>
          <w:p>
            <w:r/>
            <w:r>
              <w:rPr>
                <w:sz w:val="18"/>
              </w:rPr>
              <w:t>Code, libellé, description, identifiant d'espace de travail, au moins un format et une taille d'au moins 5. Le plan est facultatif.</w:t>
            </w:r>
          </w:p>
        </w:tc>
        <w:tc>
          <w:tcPr>
            <w:tcW w:type="dxa" w:w="1361"/>
          </w:tcPr>
          <w:p>
            <w:r/>
            <w:r>
              <w:rPr>
                <w:sz w:val="18"/>
              </w:rPr>
              <w:t>201 : la fiche créée.</w:t>
            </w:r>
          </w:p>
        </w:tc>
        <w:tc>
          <w:tcPr>
            <w:tcW w:type="dxa" w:w="2268"/>
          </w:tcPr>
          <w:p>
            <w:r/>
            <w:r>
              <w:rPr>
                <w:sz w:val="18"/>
              </w:rPr>
              <w:t>400 sur un champ manquant, un code déjà pris, une taille inférieure à 5 ou une liste de formats vide ; 404 si l'espace ou le plan désigné n'existe pas.</w:t>
            </w:r>
          </w:p>
        </w:tc>
      </w:tr>
      <w:tr>
        <w:tc>
          <w:tcPr>
            <w:tcW w:type="dxa" w:w="2154"/>
          </w:tcPr>
          <w:p>
            <w:r/>
            <w:r>
              <w:rPr>
                <w:sz w:val="18"/>
              </w:rPr>
              <w:t>PUT /api/v1/type-documents/{id}</w:t>
            </w:r>
          </w:p>
        </w:tc>
        <w:tc>
          <w:tcPr>
            <w:tcW w:type="dxa" w:w="2154"/>
          </w:tcPr>
          <w:p>
            <w:r/>
            <w:r>
              <w:rPr>
                <w:sz w:val="18"/>
              </w:rPr>
              <w:t>Remplace intégralement la définition.</w:t>
            </w:r>
          </w:p>
        </w:tc>
        <w:tc>
          <w:tcPr>
            <w:tcW w:type="dxa" w:w="1701"/>
          </w:tcPr>
          <w:p>
            <w:r/>
            <w:r>
              <w:rPr>
                <w:sz w:val="18"/>
              </w:rPr>
              <w:t>Un identifiant et le même corps qu'à la création.</w:t>
            </w:r>
          </w:p>
        </w:tc>
        <w:tc>
          <w:tcPr>
            <w:tcW w:type="dxa" w:w="1361"/>
          </w:tcPr>
          <w:p>
            <w:r/>
            <w:r>
              <w:rPr>
                <w:sz w:val="18"/>
              </w:rPr>
              <w:t>200.</w:t>
            </w:r>
          </w:p>
        </w:tc>
        <w:tc>
          <w:tcPr>
            <w:tcW w:type="dxa" w:w="2268"/>
          </w:tcPr>
          <w:p>
            <w:r/>
            <w:r>
              <w:rPr>
                <w:sz w:val="18"/>
              </w:rPr>
              <w:t>404 si le type, l'espace ou le plan n'existe pas ; 400 dans les mêmes cas qu'à la création.</w:t>
            </w:r>
          </w:p>
        </w:tc>
      </w:tr>
      <w:tr>
        <w:tc>
          <w:tcPr>
            <w:tcW w:type="dxa" w:w="2154"/>
          </w:tcPr>
          <w:p>
            <w:r/>
            <w:r>
              <w:rPr>
                <w:sz w:val="18"/>
              </w:rPr>
              <w:t>DELETE /api/v1/type-documents/{id}</w:t>
            </w:r>
          </w:p>
        </w:tc>
        <w:tc>
          <w:tcPr>
            <w:tcW w:type="dxa" w:w="2154"/>
          </w:tcPr>
          <w:p>
            <w:r/>
            <w:r>
              <w:rPr>
                <w:sz w:val="18"/>
              </w:rPr>
              <w:t>Met le type à la corbeille.</w:t>
            </w:r>
          </w:p>
        </w:tc>
        <w:tc>
          <w:tcPr>
            <w:tcW w:type="dxa" w:w="1701"/>
          </w:tcPr>
          <w:p>
            <w:r/>
            <w:r>
              <w:rPr>
                <w:sz w:val="18"/>
              </w:rPr>
              <w:t>Un identifiant.</w:t>
            </w:r>
          </w:p>
        </w:tc>
        <w:tc>
          <w:tcPr>
            <w:tcW w:type="dxa" w:w="1361"/>
          </w:tcPr>
          <w:p>
            <w:r/>
            <w:r>
              <w:rPr>
                <w:sz w:val="18"/>
              </w:rPr>
              <w:t>204.</w:t>
            </w:r>
          </w:p>
        </w:tc>
        <w:tc>
          <w:tcPr>
            <w:tcW w:type="dxa" w:w="2268"/>
          </w:tcPr>
          <w:p>
            <w:r/>
            <w:r>
              <w:rPr>
                <w:sz w:val="18"/>
              </w:rPr>
              <w:t>404 si le type n'existe pas. Aucune vérification du nombre de documents concernés.</w:t>
            </w:r>
          </w:p>
        </w:tc>
      </w:tr>
      <w:tr>
        <w:tc>
          <w:tcPr>
            <w:tcW w:type="dxa" w:w="2154"/>
          </w:tcPr>
          <w:p>
            <w:r/>
            <w:r>
              <w:rPr>
                <w:sz w:val="18"/>
              </w:rPr>
              <w:t>PATCH /api/v1/type-documents/{id}/restore</w:t>
            </w:r>
          </w:p>
        </w:tc>
        <w:tc>
          <w:tcPr>
            <w:tcW w:type="dxa" w:w="2154"/>
          </w:tcPr>
          <w:p>
            <w:r/>
            <w:r>
              <w:rPr>
                <w:sz w:val="18"/>
              </w:rPr>
              <w:t>Sort le type de la corbeille.</w:t>
            </w:r>
          </w:p>
        </w:tc>
        <w:tc>
          <w:tcPr>
            <w:tcW w:type="dxa" w:w="1701"/>
          </w:tcPr>
          <w:p>
            <w:r/>
            <w:r>
              <w:rPr>
                <w:sz w:val="18"/>
              </w:rPr>
              <w:t>Un identifiant.</w:t>
            </w:r>
          </w:p>
        </w:tc>
        <w:tc>
          <w:tcPr>
            <w:tcW w:type="dxa" w:w="1361"/>
          </w:tcPr>
          <w:p>
            <w:r/>
            <w:r>
              <w:rPr>
                <w:sz w:val="18"/>
              </w:rPr>
              <w:t>204.</w:t>
            </w:r>
          </w:p>
        </w:tc>
        <w:tc>
          <w:tcPr>
            <w:tcW w:type="dxa" w:w="2268"/>
          </w:tcPr>
          <w:p>
            <w:r/>
            <w:r>
              <w:rPr>
                <w:sz w:val="18"/>
              </w:rPr>
              <w:t>404 si le type n'existe pas.</w:t>
            </w:r>
          </w:p>
        </w:tc>
      </w:tr>
      <w:tr>
        <w:tc>
          <w:tcPr>
            <w:tcW w:type="dxa" w:w="2154"/>
          </w:tcPr>
          <w:p>
            <w:r/>
            <w:r>
              <w:rPr>
                <w:sz w:val="18"/>
              </w:rPr>
              <w:t>DELETE /api/v1/type-documents/multiple-delete</w:t>
            </w:r>
          </w:p>
        </w:tc>
        <w:tc>
          <w:tcPr>
            <w:tcW w:type="dxa" w:w="2154"/>
          </w:tcPr>
          <w:p>
            <w:r/>
            <w:r>
              <w:rPr>
                <w:sz w:val="18"/>
              </w:rPr>
              <w:t>Met à la corbeille tous les types désignés.</w:t>
            </w:r>
          </w:p>
        </w:tc>
        <w:tc>
          <w:tcPr>
            <w:tcW w:type="dxa" w:w="1701"/>
          </w:tcPr>
          <w:p>
            <w:r/>
            <w:r>
              <w:rPr>
                <w:sz w:val="18"/>
              </w:rPr>
              <w:t>Une liste d'identifiants sous la clé « ids ».</w:t>
            </w:r>
          </w:p>
        </w:tc>
        <w:tc>
          <w:tcPr>
            <w:tcW w:type="dxa" w:w="1361"/>
          </w:tcPr>
          <w:p>
            <w:r/>
            <w:r>
              <w:rPr>
                <w:sz w:val="18"/>
              </w:rPr>
              <w:t>204.</w:t>
            </w:r>
          </w:p>
        </w:tc>
        <w:tc>
          <w:tcPr>
            <w:tcW w:type="dxa" w:w="2268"/>
          </w:tcPr>
          <w:p>
            <w:r/>
            <w:r>
              <w:rPr>
                <w:sz w:val="18"/>
              </w:rPr>
              <w:t>Rien : les identifiants inconnus sont ignorés.</w:t>
            </w:r>
          </w:p>
        </w:tc>
      </w:tr>
      <w:tr>
        <w:tc>
          <w:tcPr>
            <w:tcW w:type="dxa" w:w="2154"/>
          </w:tcPr>
          <w:p>
            <w:r/>
            <w:r>
              <w:rPr>
                <w:sz w:val="18"/>
              </w:rPr>
              <w:t>PATCH /api/v1/type-documents/multiple-restore</w:t>
            </w:r>
          </w:p>
        </w:tc>
        <w:tc>
          <w:tcPr>
            <w:tcW w:type="dxa" w:w="2154"/>
          </w:tcPr>
          <w:p>
            <w:r/>
            <w:r>
              <w:rPr>
                <w:sz w:val="18"/>
              </w:rPr>
              <w:t>Restaure tous les types désignés.</w:t>
            </w:r>
          </w:p>
        </w:tc>
        <w:tc>
          <w:tcPr>
            <w:tcW w:type="dxa" w:w="1701"/>
          </w:tcPr>
          <w:p>
            <w:r/>
            <w:r>
              <w:rPr>
                <w:sz w:val="18"/>
              </w:rPr>
              <w:t>Même corps.</w:t>
            </w:r>
          </w:p>
        </w:tc>
        <w:tc>
          <w:tcPr>
            <w:tcW w:type="dxa" w:w="1361"/>
          </w:tcPr>
          <w:p>
            <w:r/>
            <w:r>
              <w:rPr>
                <w:sz w:val="18"/>
              </w:rPr>
              <w:t>204.</w:t>
            </w:r>
          </w:p>
        </w:tc>
        <w:tc>
          <w:tcPr>
            <w:tcW w:type="dxa" w:w="2268"/>
          </w:tcPr>
          <w:p>
            <w:r/>
            <w:r>
              <w:rPr>
                <w:sz w:val="18"/>
              </w:rPr>
              <w:t>Rien, pour la même raison.</w:t>
            </w:r>
          </w:p>
        </w:tc>
      </w:tr>
    </w:tbl>
    <w:p>
      <w:pPr>
        <w:spacing w:after="160"/>
      </w:pPr>
    </w:p>
    <w:p>
      <w:pPr>
        <w:pStyle w:val="Heading2"/>
      </w:pPr>
      <w:r>
        <w:t>4.1 La liste allégée, ou pourquoi le sélecteur transporte des contraintes</w:t>
      </w:r>
    </w:p>
    <w:p>
      <w:r>
        <w:t>L'adresse de liste allégée est la plus intéressante du module, parce qu'elle ne se contente pas d'un identifiant et d'un libellé. Elle transporte quatre informations supplémentaires, et chacune répond à un problème constaté.</w:t>
      </w:r>
    </w:p>
    <w:tbl>
      <w:tblPr>
        <w:tblStyle w:val="LightGrid-Accent1"/>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1587"/>
          </w:tcPr>
          <w:p>
            <w:r/>
            <w:r>
              <w:rPr>
                <w:b/>
                <w:sz w:val="19"/>
              </w:rPr>
              <w:t>Clé renvoyée</w:t>
            </w:r>
          </w:p>
        </w:tc>
        <w:tc>
          <w:tcPr>
            <w:tcW w:type="dxa" w:w="3402"/>
          </w:tcPr>
          <w:p>
            <w:r/>
            <w:r>
              <w:rPr>
                <w:b/>
                <w:sz w:val="19"/>
              </w:rPr>
              <w:t>Contenu</w:t>
            </w:r>
          </w:p>
        </w:tc>
        <w:tc>
          <w:tcPr>
            <w:tcW w:type="dxa" w:w="4649"/>
          </w:tcPr>
          <w:p>
            <w:r/>
            <w:r>
              <w:rPr>
                <w:b/>
                <w:sz w:val="19"/>
              </w:rPr>
              <w:t>À quoi elle sert dans le formulaire de dépôt</w:t>
            </w:r>
          </w:p>
        </w:tc>
      </w:tr>
      <w:tr>
        <w:tc>
          <w:tcPr>
            <w:tcW w:type="dxa" w:w="1587"/>
          </w:tcPr>
          <w:p>
            <w:r/>
            <w:r>
              <w:rPr>
                <w:sz w:val="18"/>
              </w:rPr>
              <w:t>plan</w:t>
            </w:r>
          </w:p>
        </w:tc>
        <w:tc>
          <w:tcPr>
            <w:tcW w:type="dxa" w:w="3402"/>
          </w:tcPr>
          <w:p>
            <w:r/>
            <w:r>
              <w:rPr>
                <w:sz w:val="18"/>
              </w:rPr>
              <w:t>Nom du plan d'indexation, ou valeur nulle</w:t>
            </w:r>
          </w:p>
        </w:tc>
        <w:tc>
          <w:tcPr>
            <w:tcW w:type="dxa" w:w="4649"/>
          </w:tcPr>
          <w:p>
            <w:r/>
            <w:r>
              <w:rPr>
                <w:sz w:val="18"/>
              </w:rPr>
              <w:t>Prévenir l'opérateur qu'un type sans plan ne demandera aucun index, plutôt que de le laisser chercher des champs qui n'existent pas.</w:t>
            </w:r>
          </w:p>
        </w:tc>
      </w:tr>
      <w:tr>
        <w:tc>
          <w:tcPr>
            <w:tcW w:type="dxa" w:w="1587"/>
          </w:tcPr>
          <w:p>
            <w:r/>
            <w:r>
              <w:rPr>
                <w:sz w:val="18"/>
              </w:rPr>
              <w:t>charteAuto</w:t>
            </w:r>
          </w:p>
        </w:tc>
        <w:tc>
          <w:tcPr>
            <w:tcW w:type="dxa" w:w="3402"/>
          </w:tcPr>
          <w:p>
            <w:r/>
            <w:r>
              <w:rPr>
                <w:sz w:val="18"/>
              </w:rPr>
              <w:t>Vrai si le type a un plan et que ce plan n'est pas en nommage manuel</w:t>
            </w:r>
          </w:p>
        </w:tc>
        <w:tc>
          <w:tcPr>
            <w:tcW w:type="dxa" w:w="4649"/>
          </w:tcPr>
          <w:p>
            <w:r/>
            <w:r>
              <w:rPr>
                <w:sz w:val="18"/>
              </w:rPr>
              <w:t>Ne pas faire saisir un nom que la confirmation de l'indexation remplacera juste après.</w:t>
            </w:r>
          </w:p>
        </w:tc>
      </w:tr>
      <w:tr>
        <w:tc>
          <w:tcPr>
            <w:tcW w:type="dxa" w:w="1587"/>
          </w:tcPr>
          <w:p>
            <w:r/>
            <w:r>
              <w:rPr>
                <w:sz w:val="18"/>
              </w:rPr>
              <w:t>formats</w:t>
            </w:r>
          </w:p>
        </w:tc>
        <w:tc>
          <w:tcPr>
            <w:tcW w:type="dxa" w:w="3402"/>
          </w:tcPr>
          <w:p>
            <w:r/>
            <w:r>
              <w:rPr>
                <w:sz w:val="18"/>
              </w:rPr>
              <w:t>Extensions acceptées, en minuscules ; liste vide si le type n'impose rien</w:t>
            </w:r>
          </w:p>
        </w:tc>
        <w:tc>
          <w:tcPr>
            <w:tcW w:type="dxa" w:w="4649"/>
          </w:tcPr>
          <w:p>
            <w:r/>
            <w:r>
              <w:rPr>
                <w:sz w:val="18"/>
              </w:rPr>
              <w:t>Refuser un fichier au mauvais format avant de l'envoyer.</w:t>
            </w:r>
          </w:p>
        </w:tc>
      </w:tr>
      <w:tr>
        <w:tc>
          <w:tcPr>
            <w:tcW w:type="dxa" w:w="1587"/>
          </w:tcPr>
          <w:p>
            <w:r/>
            <w:r>
              <w:rPr>
                <w:sz w:val="18"/>
              </w:rPr>
              <w:t>tailleMaxMo</w:t>
            </w:r>
          </w:p>
        </w:tc>
        <w:tc>
          <w:tcPr>
            <w:tcW w:type="dxa" w:w="3402"/>
          </w:tcPr>
          <w:p>
            <w:r/>
            <w:r>
              <w:rPr>
                <w:sz w:val="18"/>
              </w:rPr>
              <w:t>Taille maximale en mégaoctets</w:t>
            </w:r>
          </w:p>
        </w:tc>
        <w:tc>
          <w:tcPr>
            <w:tcW w:type="dxa" w:w="4649"/>
          </w:tcPr>
          <w:p>
            <w:r/>
            <w:r>
              <w:rPr>
                <w:sz w:val="18"/>
              </w:rPr>
              <w:t>Refuser un fichier trop volumineux avant de l'envoyer.</w:t>
            </w:r>
          </w:p>
        </w:tc>
      </w:tr>
    </w:tbl>
    <w:p>
      <w:pPr>
        <w:spacing w:after="160"/>
      </w:pPr>
    </w:p>
    <w:p>
      <w:r>
        <w:t>Le motif de ce transport est explicite dans le code : sans ces informations, un fichier de 2,6 gigaoctets partait sur le réseau pour n'être rejeté qu'à l'arrivée — et la connexion étant coupée en cours d'envoi, le navigateur n'affichait même pas le motif du refus. La contrainte est donc servie avec le choix, de sorte que le contrôle se fasse localement. Elle reste évidemment réappliquée côté serveur : le contrôle local est un service rendu à l'utilisateur, jamais une délégation de responsabilité.</w:t>
      </w:r>
    </w:p>
    <w:p>
      <w:pPr>
        <w:pStyle w:val="Heading1"/>
      </w:pPr>
      <w:r>
        <w:t>5. Les règles vérifiées côté serveur</w:t>
      </w:r>
    </w:p>
    <w:p>
      <w:r>
        <w:t>Les treize règles ci-dessous se répartissent en quatre familles : la validité du formulaire, la cohérence des rattachements, les contrôles appliqués plus tard au moment du dépôt, et la lecture des listes. Chacune indique si elle est également vérifiée côté écran — le contrôle local n'étant alors qu'un service rendu — ou si elle n'existe que côté serveur.</w:t>
      </w:r>
    </w:p>
    <w:p>
      <w:pPr>
        <w:pStyle w:val="Heading2"/>
      </w:pPr>
      <w:r>
        <w:t>5.1 Règles de validité du formulaire</w:t>
      </w:r>
    </w:p>
    <w:p>
      <w:pPr>
        <w:pStyle w:val="Heading3"/>
      </w:pPr>
      <w:r>
        <w:t>Règle 1 — Le code est obligatoire</w:t>
      </w:r>
    </w:p>
    <w:p>
      <w:r>
        <w:t>Message : « Le code est obligatoire », rattaché au champ « code ». Vérifiée aussi côté écran, avec le même message.</w:t>
      </w:r>
    </w:p>
    <w:p>
      <w:r>
        <w:t>Pourquoi : le code est la seule colonne du type qui porte une contrainte d'unicité, et il est donc le seul repère qui désigne un type et un seul sans passer par son identifiant interne — lequel n'est affiché nulle part dans le produit. Le libellé, lui, n'est pas unique : deux types peuvent s'appeler « Facture » dans deux espaces de travail différents, ce qui est même un usage légitime. Un code vide ferait donc disparaître le seul discriminant du type, et la règle 7 qui s'appuie sur lui n'aurait plus de support : la contrainte d'unicité ne porterait plus sur rien.</w:t>
      </w:r>
    </w:p>
    <w:p>
      <w:r>
        <w:t>Deuxième raison, plus prosaïque mais décisive à l'usage : la colonne est déclarée non nulle en base. Sans contrôle applicatif, l'absence serait de toute façon refusée, mais par la base, et le client recevrait un message générique annonçant qu'un champ obligatoire n'a pas été renseigné, sans dire lequel. Le contrôle applicatif existe pour que le refus soit rattaché au champ « code » et affichable directement sous lui, ce qui est précisément ce que l'écran attend pour placer le curseur au bon endroit.</w:t>
      </w:r>
    </w:p>
    <w:p>
      <w:pPr>
        <w:pStyle w:val="Heading3"/>
      </w:pPr>
      <w:r>
        <w:t>Règle 2 — Le libellé du type est obligatoire</w:t>
      </w:r>
    </w:p>
    <w:p>
      <w:r>
        <w:t>Message serveur : « Le type de document est obligatoire », rattaché au champ « typeDeDocument ». Vérifiée aussi côté écran, où le message est plus court : « Le type est obligatoire ».</w:t>
      </w:r>
    </w:p>
    <w:p>
      <w:r>
        <w:t>Pourquoi : le libellé est ce que l'opérateur choisit au dépôt et ce que la liste des documents affiche en colonne. C'est aussi la seule colonne interrogée par la recherche de la liste des types. Un type sans libellé serait donc introuvable et impossible à choisir.</w:t>
      </w:r>
    </w:p>
    <w:p>
      <w:pPr>
        <w:pStyle w:val="Heading3"/>
      </w:pPr>
      <w:r>
        <w:t>Règle 3 — La description est obligatoire</w:t>
      </w:r>
    </w:p>
    <w:p>
      <w:r>
        <w:t>Message : « La description est obligatoire ». Vérifiée aussi côté écran, avec le même message.</w:t>
      </w:r>
    </w:p>
    <w:p>
      <w:r>
        <w:t>Pourquoi : voir la section 2.2 — c'est le seul endroit où lever l'ambiguïté d'un intitulé, et une ambiguïté ici se paie à chaque dépôt.</w:t>
      </w:r>
    </w:p>
    <w:p>
      <w:pPr>
        <w:pStyle w:val="Heading3"/>
      </w:pPr>
      <w:r>
        <w:t>Règle 4 — L'espace de travail est obligatoire</w:t>
      </w:r>
    </w:p>
    <w:p>
      <w:r>
        <w:t>L'identifiant doit être présent ; son absence produit le message « L'espace de travail est obligatoire ». Vérifiée aussi côté écran, avec le même message.</w:t>
      </w:r>
    </w:p>
    <w:p>
      <w:r>
        <w:t>Pourquoi : sans espace de travail, le dépôt ne saurait ni où ranger le document ni quel circuit de validation lui appliquer, ces deux informations étant portées par l'espace.</w:t>
      </w:r>
    </w:p>
    <w:p>
      <w:pPr>
        <w:pStyle w:val="Heading3"/>
      </w:pPr>
      <w:r>
        <w:t>Règle 5 — Au moins un format doit être déclaré</w:t>
      </w:r>
    </w:p>
    <w:p>
      <w:r>
        <w:t>La liste des formats ne peut pas être vide ; le message serveur est « Au moins un format de fichier est requis ». Vérifiée aussi côté écran, où le message est « Au moins un format est requis ».</w:t>
      </w:r>
    </w:p>
    <w:p>
      <w:r>
        <w:t>Pourquoi : un type qui n'accepte aucun fichier ne sert à rien. Il faut noter que la contrainte porte sur la requête et non sur la colonne : un type dont la colonne serait vide n'imposerait aucun format et accepterait tout, ce que le contrôle de dépôt traduit littéralement — il ne s'applique que si la liste des formats autorisés n'est pas vide.</w:t>
      </w:r>
    </w:p>
    <w:p>
      <w:pPr>
        <w:pStyle w:val="Heading3"/>
      </w:pPr>
      <w:r>
        <w:t>Règle 6 — La taille maximale est d'au moins cinq mégaoctets</w:t>
      </w:r>
    </w:p>
    <w:p>
      <w:r>
        <w:t>Message serveur : « La taille maximale est de 5 Mo minimum ». Vérifiée aussi côté écran, où le message est « 5 Mo minimum » et où le champ est pré-rempli à 10.</w:t>
      </w:r>
    </w:p>
    <w:p>
      <w:r>
        <w:t>Pourquoi : en dessous de cinq mégaoctets, la plupart des PDF scannés seraient refusés et le paramétrage deviendrait une gêne quotidienne. Le plancher protège donc l'utilisateur contre une valeur qu'il pourrait saisir sans mesurer ce qu'elle exclut.</w:t>
      </w:r>
    </w:p>
    <w:p>
      <w:pPr>
        <w:pStyle w:val="Heading2"/>
      </w:pPr>
      <w:r>
        <w:t>5.2 Règles de cohérence des rattachements</w:t>
      </w:r>
    </w:p>
    <w:p>
      <w:pPr>
        <w:pStyle w:val="Heading3"/>
      </w:pPr>
      <w:r>
        <w:t>Règle 7 — Le code doit être unique, sans égard à la casse</w:t>
      </w:r>
    </w:p>
    <w:p>
      <w:r>
        <w:t>Contrôlée à la création sur toute la table, à la modification en excluant le type courant. Message construit : « Le code « TD-FACT » est déjà utilisé ». Règle serveur uniquement : l'écran ne connaît pas la liste des codes et se contente d'afficher le refus.</w:t>
      </w:r>
    </w:p>
    <w:p>
      <w:r>
        <w:t>Pourquoi : deux types partageant un même code ne seraient pas deux libellés voisins, mais deux paramétrages de dépôt entièrement différents — espace de rangement, plan de nommage, formats acceptés, taille maximale — désignés par un même repère. Or le type est la seule chose que l'opérateur choisit au dépôt, et c'est par lui que passent toutes les autres décisions. Une désignation ambiguë ici ne produit pas une gêne ponctuelle : elle produit un document rangé dans le mauvais dossier, soumis au mauvais circuit de validation et nommé selon la mauvaise charte, et elle le reproduit à chaque dépôt tant que personne ne remarque la confusion.</w:t>
      </w:r>
    </w:p>
    <w:p>
      <w:r>
        <w:t>L'homonymie casserait aussi tout ce qui désigne un type autrement que par son identifiant interne. Le sélecteur du dépôt affiche le libellé du type, jamais son code, et le libellé n'est pas unique : si le code cessait de l'être à son tour, plus aucune colonne du type ne permettrait de le distinguer d'un homonyme. Une reprise de données, un rapprochement entre un paramétrage documenté et un paramétrage en base, ou un export vers l'application d'origine ne disposeraient d'aucun repère fiable.</w:t>
      </w:r>
    </w:p>
    <w:p>
      <w:r>
        <w:t>Pourquoi sans égard à la casse : « TD-FACT » et « td-fact » se lisent comme un seul et même code. Sans cette précaution, la liste afficherait deux lignes que l'œil tient pour la même, et l'administrateur qui ressaisit son code en minuscules croirait modifier le type existant alors qu'il en créerait un second, avec des formats et une taille maximale qui pourraient différer.</w:t>
      </w:r>
    </w:p>
    <w:p>
      <w:r>
        <w:t>Limite connue : comme ailleurs, la vérification ne distingue pas les types en corbeille. Un code n'est donc jamais libéré, même après suppression.</w:t>
      </w:r>
    </w:p>
    <w:p>
      <w:pPr>
        <w:pStyle w:val="Heading3"/>
      </w:pPr>
      <w:r>
        <w:t>Règle 8 — L'espace de travail désigné doit exister</w:t>
      </w:r>
    </w:p>
    <w:p>
      <w:r>
        <w:t>L'identifiant reçu est résolu par une lecture ; s'il ne correspond à rien, l'opération est interrompue avec le message « Espace de travail introuvable : 42 » et un code 404. Règle serveur uniquement — l'écran alimente son sélecteur depuis la liste des espaces et ne peut normalement pas produire un identifiant fantaisiste.</w:t>
      </w:r>
    </w:p>
    <w:p>
      <w:r>
        <w:t>Pourquoi : enregistrer une clé étrangère vers rien créerait un type dont le dépôt ne saurait que faire. L'espace de travail n'est pas une information d'affichage : c'est lui qui fournit le dossier de rangement du fichier et le circuit de validation déclenché après le dépôt. Une référence vide ferait échouer le dépôt bien plus tard, une fois le fichier choisi.</w:t>
      </w:r>
    </w:p>
    <w:p>
      <w:pPr>
        <w:pStyle w:val="Heading3"/>
      </w:pPr>
      <w:r>
        <w:t>Règle 9 — Le plan désigné, s'il y en a un, doit exister</w:t>
      </w:r>
    </w:p>
    <w:p>
      <w:r>
        <w:t>Même traitement que la règle précédente, avec le message « Plan d'indexation introuvable : 42 » et un code 404. L'absence d'identifiant, elle, est parfaitement valide : elle efface le plan du type. Règle serveur uniquement.</w:t>
      </w:r>
    </w:p>
    <w:p>
      <w:r>
        <w:t>Pourquoi : le plan décide des champs présentés à l'indexation et de la façon dont le nom du document est composé. Une clé étrangère vers un plan inexistant produirait un type dont le dépôt ne saurait que faire — et, plus grave, il ne s'en apercevrait pas franchement, parce que l'absence de plan a déjà un sens précis dans ce produit : elle signifie « ce type ne demande aucun index ». Une référence cassée risquerait donc d'être lue comme un cas valide, et un document serait déposé sans aucune métadonnée alors que le paramétrage prétend en exiger. Le contrôle a lieu au plus tôt, au moment où l'on enregistre le type, plutôt qu'au moment où un opérateur a déjà choisi son fichier.</w:t>
      </w:r>
    </w:p>
    <w:p>
      <w:r>
        <w:t>Ce que cette règle ne garantit pas, et qu'il faut lire avec la section 8.3 : le contrôle est fait une fois, à l'enregistrement, et il n'est jamais rejoué. Rien ne revérifie ensuite que le plan désigné existe toujours, ni qu'il est toujours actif. Comme la suppression est logique dans toute l'application, la ligne du plan ne disparaît jamais : la clé étrangère reste donc valide indéfiniment, et la fiche du type continue d'afficher le nom de son plan même après que celui-ci a été mis à la corbeille. Le sélecteur du formulaire, lui, exclut les plans en corbeille — de sorte qu'un type déjà rattaché à un plan supprimé affiche, à la réouverture de son formulaire, un plan qui ne figure plus dans la liste des choix.</w:t>
      </w:r>
    </w:p>
    <w:p>
      <w:r>
        <w:t>La conséquence est l'asymétrie décrite en 10.3 : le serveur refuse explicitement un dépôt sur un type en corbeille, mais il n'a aucun contrôle équivalent pour un plan en corbeille. Un plan supprimé continue donc de présenter ses champs, d'imposer ses index obligatoires et de composer les noms des documents déposés sous un type qui le désignait déjà. La règle 9 ne protège que l'instant de l'enregistrement ; elle ne dit rien de ce qui se passe ensuite.</w:t>
      </w:r>
    </w:p>
    <w:p>
      <w:pPr>
        <w:pStyle w:val="Heading2"/>
      </w:pPr>
      <w:r>
        <w:t>5.3 Règles appliquées au moment du dépôt</w:t>
      </w:r>
    </w:p>
    <w:p>
      <w:r>
        <w:t>Ces règles n'appartiennent pas au module « Type de document », mais elles découlent entièrement de son paramétrage et c'est ici qu'elles prennent leur sens. Elles sont réunies dans un utilitaire partagé, ce qui n'a pas toujours été le cas : elles vivaient en double dans le service des documents — dépôt initial et ajout d'une version — et nulle part dans l'aperçu d'indexation, qui reçoit pourtant le même fichier juste avant.</w:t>
      </w:r>
    </w:p>
    <w:p>
      <w:pPr>
        <w:pStyle w:val="Heading3"/>
      </w:pPr>
      <w:r>
        <w:t>Règle 10 — Un type en corbeille refuse tout dépôt</w:t>
      </w:r>
    </w:p>
    <w:p>
      <w:r>
        <w:t>Message : « Le type de document « Facture » est en corbeille : dépôt impossible. » Règle serveur uniquement, l'écran se contentant de ne plus proposer le type.</w:t>
      </w:r>
    </w:p>
    <w:p>
      <w:r>
        <w:t>Pourquoi : un type supprimé disparaît des sélecteurs mais son identifiant reste valide ; déposer dessus créerait un document rangé sous une catégorie que plus personne ne peut voir ni administrer.</w:t>
      </w:r>
    </w:p>
    <w:p>
      <w:pPr>
        <w:pStyle w:val="Heading3"/>
      </w:pPr>
      <w:r>
        <w:t>Règle 11 — Le format du fichier doit figurer parmi les formats déclarés</w:t>
      </w:r>
    </w:p>
    <w:p>
      <w:r>
        <w:t>L'extension est extraite du nom de fichier, ramenée en minuscules, et confrontée à la liste elle aussi ramenée en minuscules. Le refus nomme le format reçu et énumère les formats acceptés : « Format « .exe » non autorisé (autorisés : pdf, docx) ». La règle ne s'applique pas si la liste est vide. Vérifiée aussi côté écran, à partir des formats transportés par la liste allégée.</w:t>
      </w:r>
    </w:p>
    <w:p>
      <w:r>
        <w:t>Pourquoi : le contrôle local évite un envoi inutile, le contrôle serveur reste seul faisant foi. La comparaison en minuscules des deux côtés évite qu'un fichier « FACTURE.PDF » soit refusé par un type qui déclare « pdf » — l'extension écrite en capitales par le système d'exploitation est fréquente et n'a aucune signification.</w:t>
      </w:r>
    </w:p>
    <w:p>
      <w:pPr>
        <w:pStyle w:val="Heading3"/>
      </w:pPr>
      <w:r>
        <w:t>Règle 12 — La taille du fichier ne doit pas dépasser la taille maximale</w:t>
      </w:r>
    </w:p>
    <w:p>
      <w:r>
        <w:t>Le refus nomme la limite : « Fichier trop volumineux (max 10 Mo) ». Vérifiée aussi côté écran, à partir de la taille transportée par la liste allégée.</w:t>
      </w:r>
    </w:p>
    <w:p>
      <w:r>
        <w:t>Pourquoi la borne vient du type et non du serveur : c'est le point à retenir de cette règle, et c'est aussi celui qui surprend le plus. Il n'existe aucune taille maximale universelle dans l'application. Aucune constante de service, aucun réglage global ne fixe ce que pèse au plus un document : chaque type porte sa propre valeur, en mégaoctets entiers, avec un plancher de cinq et aucun plafond applicatif. Le même serveur acceptera donc un fichier de 18 mégaoctets sous « Contrat », qui déclare 20, et le refusera sous « Facture », qui déclare 10 — le message étant identique dans les deux cas à la valeur près. Un utilisateur qui rencontre ce refus ne doit pas chercher une limite technique du serveur : il doit ouvrir la fiche du type et lire la sienne. C'est aussi ce qui rend le message utile, puisqu'il annonce la borne en mégaoctets, dans l'unité même qui a été saisie au paramétrage, et non en octets.</w:t>
      </w:r>
    </w:p>
    <w:p>
      <w:r>
        <w:t>Pourquoi le contrôle est refait côté serveur alors que l'écran l'a déjà fait : parce que le contrôle local repose sur une donnée que le serveur a lui-même servie avec le sélecteur, et qu'un appelant peut parfaitement l'ignorer. Le contrôle local supprime un envoi inutile — il évite le cas, réellement constaté, du fichier de plusieurs gigaoctets qui part sur le réseau pour n'être rejeté qu'à l'arrivée, avec une connexion coupée en cours de route et un navigateur incapable d'afficher le motif du refus. Il ne remplace jamais le contrôle serveur, qui reste seul faisant foi et qui s'applique de la même façon au dépôt initial, à l'ajout d'une nouvelle version et à l'aperçu d'indexation.</w:t>
      </w:r>
    </w:p>
    <w:p>
      <w:r>
        <w:t>Ce qui se passe pour les documents déjà déposés lorsqu'on abaisse la borne : rien. Aucune reprise, aucune purge, aucun signalement, aucun marquage. Un document de 18 mégaoctets déposé sous un type qui autorisait alors 20 mégaoctets reste en place, reste consultable, reste téléchargeable et continue de figurer dans les listes après que la borne a été ramenée à 5. La nouvelle valeur ne gouverne que ce qui arrive après elle ; elle n'est jamais appliquée rétroactivement, et le serveur ne sait d'ailleurs pas dire combien de documents existants la dépasseraient.</w:t>
      </w:r>
    </w:p>
    <w:p>
      <w:r>
        <w:t>Une conséquence indirecte mérite néanmoins d'être connue, car elle se manifeste plus tard et sans explication : la borne du type s'applique aussi à l'ajout d'une nouvelle version d'un document existant, par le même utilitaire de contrôle. Abaisser la taille maximale interdit donc toute nouvelle version des documents déjà déposés au-delà de la nouvelle borne. Remplacer un fichier de 18 mégaoctets par une version de taille comparable est refusé avec « Fichier trop volumineux (max 5 Mo) », alors même que le fichier en place, lui, pèse davantage et reste servi au téléchargement. Le message ne dit rien de cette histoire, et l'opérateur n'a aucun moyen de comprendre pourquoi un document qu'il consulte normalement ne peut plus être mis à jour.</w:t>
      </w:r>
    </w:p>
    <w:p>
      <w:pPr>
        <w:pStyle w:val="Heading3"/>
      </w:pPr>
      <w:r>
        <w:t>Règle 13 — Le format est vérifié même sans contenu</w:t>
      </w:r>
    </w:p>
    <w:p>
      <w:r>
        <w:t>L'aperçu d'indexation peut être appelé avec un nom de fichier seul, sans le fichier lui-même. Le contrôle de format s'applique quand même, puisque c'est le nom qui décide et qu'il est toujours là ; le contrôle de taille, lui, ne s'applique que si un contenu accompagne le nom. Règle serveur uniquement.</w:t>
      </w:r>
    </w:p>
    <w:p>
      <w:r>
        <w:t>Pourquoi : l'écran appelle cette route à chaque sélection de fichier ; sans ce contrôle, le serveur acceptait de recopier puis de tenter de lire, en boucle, des contenus qu'il n'accepterait jamais au dépôt qui suit immédiatement.</w:t>
      </w:r>
    </w:p>
    <w:p>
      <w:pPr>
        <w:pStyle w:val="Heading2"/>
      </w:pPr>
      <w:r>
        <w:t>5.4 Règles de lecture des listes</w:t>
      </w:r>
    </w:p>
    <w:p>
      <w:r>
        <w:t>Le tri est accepté sur cinq colonnes : identifiant, code, libellé du type, nom de l'espace de travail et taille maximale. Les deux dernières méritent un mot. Le tri sur le nom de l'espace traverse la relation et se traduit par une jointure ; il est déclaré explicitement dans la liste blanche, faute de quoi il serait ignoré. Le tri sur la taille et sur l'identifiant est déclaré comme numérique, ce qui l'exclut du traitement insensible à la casse appliqué par défaut : appliquer une insensibilité à la casse sur un nombre force une conversion en texte, et « 9 » passerait alors après « 10 ». La recherche, elle, porte sur le seul libellé du type — le code, pourtant affiché en première colonne, n'est pas interrogé.</w:t>
      </w:r>
    </w:p>
    <w:p>
      <w:pPr>
        <w:pStyle w:val="Heading1"/>
      </w:pPr>
      <w:r>
        <w:t>6. Les erreurs et les réponses</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rPr>
          <w:tblHeader w:val="true"/>
        </w:trPr>
        <w:tc>
          <w:tcPr>
            <w:tcW w:type="dxa" w:w="2154"/>
          </w:tcPr>
          <w:p>
            <w:r/>
            <w:r>
              <w:rPr>
                <w:b/>
                <w:sz w:val="19"/>
              </w:rPr>
              <w:t>Situation</w:t>
            </w:r>
          </w:p>
        </w:tc>
        <w:tc>
          <w:tcPr>
            <w:tcW w:type="dxa" w:w="794"/>
          </w:tcPr>
          <w:p>
            <w:r/>
            <w:r>
              <w:rPr>
                <w:b/>
                <w:sz w:val="19"/>
              </w:rPr>
              <w:t>Code</w:t>
            </w:r>
          </w:p>
        </w:tc>
        <w:tc>
          <w:tcPr>
            <w:tcW w:type="dxa" w:w="3402"/>
          </w:tcPr>
          <w:p>
            <w:r/>
            <w:r>
              <w:rPr>
                <w:b/>
                <w:sz w:val="19"/>
              </w:rPr>
              <w:t>Message renvoyé</w:t>
            </w:r>
          </w:p>
        </w:tc>
        <w:tc>
          <w:tcPr>
            <w:tcW w:type="dxa" w:w="3288"/>
          </w:tcPr>
          <w:p>
            <w:r/>
            <w:r>
              <w:rPr>
                <w:b/>
                <w:sz w:val="19"/>
              </w:rPr>
              <w:t>Ce que l'écran en fait</w:t>
            </w:r>
          </w:p>
        </w:tc>
      </w:tr>
      <w:tr>
        <w:tc>
          <w:tcPr>
            <w:tcW w:type="dxa" w:w="2154"/>
          </w:tcPr>
          <w:p>
            <w:r/>
            <w:r>
              <w:rPr>
                <w:sz w:val="18"/>
              </w:rPr>
              <w:t>Appel sans jeton valide</w:t>
            </w:r>
          </w:p>
        </w:tc>
        <w:tc>
          <w:tcPr>
            <w:tcW w:type="dxa" w:w="794"/>
          </w:tcPr>
          <w:p>
            <w:r/>
            <w:r>
              <w:rPr>
                <w:sz w:val="18"/>
              </w:rPr>
              <w:t>401</w:t>
            </w:r>
          </w:p>
        </w:tc>
        <w:tc>
          <w:tcPr>
            <w:tcW w:type="dxa" w:w="3402"/>
          </w:tcPr>
          <w:p>
            <w:r/>
            <w:r>
              <w:rPr>
                <w:sz w:val="18"/>
              </w:rPr>
              <w:t>Aucun corps.</w:t>
            </w:r>
          </w:p>
        </w:tc>
        <w:tc>
          <w:tcPr>
            <w:tcW w:type="dxa" w:w="3288"/>
          </w:tcPr>
          <w:p>
            <w:r/>
            <w:r>
              <w:rPr>
                <w:sz w:val="18"/>
              </w:rPr>
              <w:t>Retour à l'écran de connexion.</w:t>
            </w:r>
          </w:p>
        </w:tc>
      </w:tr>
      <w:tr>
        <w:tc>
          <w:tcPr>
            <w:tcW w:type="dxa" w:w="2154"/>
          </w:tcPr>
          <w:p>
            <w:r/>
            <w:r>
              <w:rPr>
                <w:sz w:val="18"/>
              </w:rPr>
              <w:t>Un ou plusieurs champs obligatoires manquants</w:t>
            </w:r>
          </w:p>
        </w:tc>
        <w:tc>
          <w:tcPr>
            <w:tcW w:type="dxa" w:w="794"/>
          </w:tcPr>
          <w:p>
            <w:r/>
            <w:r>
              <w:rPr>
                <w:sz w:val="18"/>
              </w:rPr>
              <w:t>400</w:t>
            </w:r>
          </w:p>
        </w:tc>
        <w:tc>
          <w:tcPr>
            <w:tcW w:type="dxa" w:w="3402"/>
          </w:tcPr>
          <w:p>
            <w:r/>
            <w:r>
              <w:rPr>
                <w:sz w:val="18"/>
              </w:rPr>
              <w:t>« Données invalides » et un dictionnaire « errors » nommant chaque champ : code, typeDeDocument, description, workspaceId, typeAutorise, tailleMaxMo.</w:t>
            </w:r>
          </w:p>
        </w:tc>
        <w:tc>
          <w:tcPr>
            <w:tcW w:type="dxa" w:w="3288"/>
          </w:tcPr>
          <w:p>
            <w:r/>
            <w:r>
              <w:rPr>
                <w:sz w:val="18"/>
              </w:rPr>
              <w:t>Ne se produit pas en usage normal, le formulaire bloquant en amont.</w:t>
            </w:r>
          </w:p>
        </w:tc>
      </w:tr>
      <w:tr>
        <w:tc>
          <w:tcPr>
            <w:tcW w:type="dxa" w:w="2154"/>
          </w:tcPr>
          <w:p>
            <w:r/>
            <w:r>
              <w:rPr>
                <w:sz w:val="18"/>
              </w:rPr>
              <w:t>Taille inférieure à cinq mégaoctets</w:t>
            </w:r>
          </w:p>
        </w:tc>
        <w:tc>
          <w:tcPr>
            <w:tcW w:type="dxa" w:w="794"/>
          </w:tcPr>
          <w:p>
            <w:r/>
            <w:r>
              <w:rPr>
                <w:sz w:val="18"/>
              </w:rPr>
              <w:t>400</w:t>
            </w:r>
          </w:p>
        </w:tc>
        <w:tc>
          <w:tcPr>
            <w:tcW w:type="dxa" w:w="3402"/>
          </w:tcPr>
          <w:p>
            <w:r/>
            <w:r>
              <w:rPr>
                <w:sz w:val="18"/>
              </w:rPr>
              <w:t>« La taille maximale est de 5 Mo minimum », rattaché au champ « tailleMaxMo ».</w:t>
            </w:r>
          </w:p>
        </w:tc>
        <w:tc>
          <w:tcPr>
            <w:tcW w:type="dxa" w:w="3288"/>
          </w:tcPr>
          <w:p>
            <w:r/>
            <w:r>
              <w:rPr>
                <w:sz w:val="18"/>
              </w:rPr>
              <w:t>Le formulaire affiche son propre message, « 5 Mo minimum », sous le champ.</w:t>
            </w:r>
          </w:p>
        </w:tc>
      </w:tr>
      <w:tr>
        <w:tc>
          <w:tcPr>
            <w:tcW w:type="dxa" w:w="2154"/>
          </w:tcPr>
          <w:p>
            <w:r/>
            <w:r>
              <w:rPr>
                <w:sz w:val="18"/>
              </w:rPr>
              <w:t>Liste de formats vide</w:t>
            </w:r>
          </w:p>
        </w:tc>
        <w:tc>
          <w:tcPr>
            <w:tcW w:type="dxa" w:w="794"/>
          </w:tcPr>
          <w:p>
            <w:r/>
            <w:r>
              <w:rPr>
                <w:sz w:val="18"/>
              </w:rPr>
              <w:t>400</w:t>
            </w:r>
          </w:p>
        </w:tc>
        <w:tc>
          <w:tcPr>
            <w:tcW w:type="dxa" w:w="3402"/>
          </w:tcPr>
          <w:p>
            <w:r/>
            <w:r>
              <w:rPr>
                <w:sz w:val="18"/>
              </w:rPr>
              <w:t>« Au moins un format de fichier est requis », rattaché au champ « typeAutorise ».</w:t>
            </w:r>
          </w:p>
        </w:tc>
        <w:tc>
          <w:tcPr>
            <w:tcW w:type="dxa" w:w="3288"/>
          </w:tcPr>
          <w:p>
            <w:r/>
            <w:r>
              <w:rPr>
                <w:sz w:val="18"/>
              </w:rPr>
              <w:t>Le formulaire affiche « Au moins un format est requis ».</w:t>
            </w:r>
          </w:p>
        </w:tc>
      </w:tr>
      <w:tr>
        <w:tc>
          <w:tcPr>
            <w:tcW w:type="dxa" w:w="2154"/>
          </w:tcPr>
          <w:p>
            <w:r/>
            <w:r>
              <w:rPr>
                <w:sz w:val="18"/>
              </w:rPr>
              <w:t>Code déjà utilisé</w:t>
            </w:r>
          </w:p>
        </w:tc>
        <w:tc>
          <w:tcPr>
            <w:tcW w:type="dxa" w:w="794"/>
          </w:tcPr>
          <w:p>
            <w:r/>
            <w:r>
              <w:rPr>
                <w:sz w:val="18"/>
              </w:rPr>
              <w:t>400</w:t>
            </w:r>
          </w:p>
        </w:tc>
        <w:tc>
          <w:tcPr>
            <w:tcW w:type="dxa" w:w="3402"/>
          </w:tcPr>
          <w:p>
            <w:r/>
            <w:r>
              <w:rPr>
                <w:sz w:val="18"/>
              </w:rPr>
              <w:t>« Le code « X » est déjà utilisé »</w:t>
            </w:r>
          </w:p>
        </w:tc>
        <w:tc>
          <w:tcPr>
            <w:tcW w:type="dxa" w:w="3288"/>
          </w:tcPr>
          <w:p>
            <w:r/>
            <w:r>
              <w:rPr>
                <w:sz w:val="18"/>
              </w:rPr>
              <w:t>Affiché tel quel en pied de formulaire, qui reste ouvert.</w:t>
            </w:r>
          </w:p>
        </w:tc>
      </w:tr>
      <w:tr>
        <w:tc>
          <w:tcPr>
            <w:tcW w:type="dxa" w:w="2154"/>
          </w:tcPr>
          <w:p>
            <w:r/>
            <w:r>
              <w:rPr>
                <w:sz w:val="18"/>
              </w:rPr>
              <w:t>Espace de travail inconnu</w:t>
            </w:r>
          </w:p>
        </w:tc>
        <w:tc>
          <w:tcPr>
            <w:tcW w:type="dxa" w:w="794"/>
          </w:tcPr>
          <w:p>
            <w:r/>
            <w:r>
              <w:rPr>
                <w:sz w:val="18"/>
              </w:rPr>
              <w:t>404</w:t>
            </w:r>
          </w:p>
        </w:tc>
        <w:tc>
          <w:tcPr>
            <w:tcW w:type="dxa" w:w="3402"/>
          </w:tcPr>
          <w:p>
            <w:r/>
            <w:r>
              <w:rPr>
                <w:sz w:val="18"/>
              </w:rPr>
              <w:t>« Espace de travail introuvable : 42 »</w:t>
            </w:r>
          </w:p>
        </w:tc>
        <w:tc>
          <w:tcPr>
            <w:tcW w:type="dxa" w:w="3288"/>
          </w:tcPr>
          <w:p>
            <w:r/>
            <w:r>
              <w:rPr>
                <w:sz w:val="18"/>
              </w:rPr>
              <w:t>Affiché tel quel en pied de formulaire.</w:t>
            </w:r>
          </w:p>
        </w:tc>
      </w:tr>
      <w:tr>
        <w:tc>
          <w:tcPr>
            <w:tcW w:type="dxa" w:w="2154"/>
          </w:tcPr>
          <w:p>
            <w:r/>
            <w:r>
              <w:rPr>
                <w:sz w:val="18"/>
              </w:rPr>
              <w:t>Plan d'indexation inconnu</w:t>
            </w:r>
          </w:p>
        </w:tc>
        <w:tc>
          <w:tcPr>
            <w:tcW w:type="dxa" w:w="794"/>
          </w:tcPr>
          <w:p>
            <w:r/>
            <w:r>
              <w:rPr>
                <w:sz w:val="18"/>
              </w:rPr>
              <w:t>404</w:t>
            </w:r>
          </w:p>
        </w:tc>
        <w:tc>
          <w:tcPr>
            <w:tcW w:type="dxa" w:w="3402"/>
          </w:tcPr>
          <w:p>
            <w:r/>
            <w:r>
              <w:rPr>
                <w:sz w:val="18"/>
              </w:rPr>
              <w:t>« Plan d'indexation introuvable : 42 »</w:t>
            </w:r>
          </w:p>
        </w:tc>
        <w:tc>
          <w:tcPr>
            <w:tcW w:type="dxa" w:w="3288"/>
          </w:tcPr>
          <w:p>
            <w:r/>
            <w:r>
              <w:rPr>
                <w:sz w:val="18"/>
              </w:rPr>
              <w:t>Affiché tel quel en pied de formulaire.</w:t>
            </w:r>
          </w:p>
        </w:tc>
      </w:tr>
      <w:tr>
        <w:tc>
          <w:tcPr>
            <w:tcW w:type="dxa" w:w="2154"/>
          </w:tcPr>
          <w:p>
            <w:r/>
            <w:r>
              <w:rPr>
                <w:sz w:val="18"/>
              </w:rPr>
              <w:t>Type inconnu, en lecture ou en écriture</w:t>
            </w:r>
          </w:p>
        </w:tc>
        <w:tc>
          <w:tcPr>
            <w:tcW w:type="dxa" w:w="794"/>
          </w:tcPr>
          <w:p>
            <w:r/>
            <w:r>
              <w:rPr>
                <w:sz w:val="18"/>
              </w:rPr>
              <w:t>404</w:t>
            </w:r>
          </w:p>
        </w:tc>
        <w:tc>
          <w:tcPr>
            <w:tcW w:type="dxa" w:w="3402"/>
          </w:tcPr>
          <w:p>
            <w:r/>
            <w:r>
              <w:rPr>
                <w:sz w:val="18"/>
              </w:rPr>
              <w:t>« Type de document introuvable : 42 »</w:t>
            </w:r>
          </w:p>
        </w:tc>
        <w:tc>
          <w:tcPr>
            <w:tcW w:type="dxa" w:w="3288"/>
          </w:tcPr>
          <w:p>
            <w:r/>
            <w:r>
              <w:rPr>
                <w:sz w:val="18"/>
              </w:rPr>
              <w:t>Le formulaire affiche le message ; la liste se recharge.</w:t>
            </w:r>
          </w:p>
        </w:tc>
      </w:tr>
      <w:tr>
        <w:tc>
          <w:tcPr>
            <w:tcW w:type="dxa" w:w="2154"/>
          </w:tcPr>
          <w:p>
            <w:r/>
            <w:r>
              <w:rPr>
                <w:sz w:val="18"/>
              </w:rPr>
              <w:t>Dépôt sur un type en corbeille</w:t>
            </w:r>
          </w:p>
        </w:tc>
        <w:tc>
          <w:tcPr>
            <w:tcW w:type="dxa" w:w="794"/>
          </w:tcPr>
          <w:p>
            <w:r/>
            <w:r>
              <w:rPr>
                <w:sz w:val="18"/>
              </w:rPr>
              <w:t>400</w:t>
            </w:r>
          </w:p>
        </w:tc>
        <w:tc>
          <w:tcPr>
            <w:tcW w:type="dxa" w:w="3402"/>
          </w:tcPr>
          <w:p>
            <w:r/>
            <w:r>
              <w:rPr>
                <w:sz w:val="18"/>
              </w:rPr>
              <w:t>« Le type de document « Facture » est en corbeille : dépôt impossible. »</w:t>
            </w:r>
          </w:p>
        </w:tc>
        <w:tc>
          <w:tcPr>
            <w:tcW w:type="dxa" w:w="3288"/>
          </w:tcPr>
          <w:p>
            <w:r/>
            <w:r>
              <w:rPr>
                <w:sz w:val="18"/>
              </w:rPr>
              <w:t>Affiché sur l'écran de dépôt.</w:t>
            </w:r>
          </w:p>
        </w:tc>
      </w:tr>
      <w:tr>
        <w:tc>
          <w:tcPr>
            <w:tcW w:type="dxa" w:w="2154"/>
          </w:tcPr>
          <w:p>
            <w:r/>
            <w:r>
              <w:rPr>
                <w:sz w:val="18"/>
              </w:rPr>
              <w:t>Format de fichier refusé au dépôt</w:t>
            </w:r>
          </w:p>
        </w:tc>
        <w:tc>
          <w:tcPr>
            <w:tcW w:type="dxa" w:w="794"/>
          </w:tcPr>
          <w:p>
            <w:r/>
            <w:r>
              <w:rPr>
                <w:sz w:val="18"/>
              </w:rPr>
              <w:t>400</w:t>
            </w:r>
          </w:p>
        </w:tc>
        <w:tc>
          <w:tcPr>
            <w:tcW w:type="dxa" w:w="3402"/>
          </w:tcPr>
          <w:p>
            <w:r/>
            <w:r>
              <w:rPr>
                <w:sz w:val="18"/>
              </w:rPr>
              <w:t>« Format « .exe » non autorisé (autorisés : pdf, docx) »</w:t>
            </w:r>
          </w:p>
        </w:tc>
        <w:tc>
          <w:tcPr>
            <w:tcW w:type="dxa" w:w="3288"/>
          </w:tcPr>
          <w:p>
            <w:r/>
            <w:r>
              <w:rPr>
                <w:sz w:val="18"/>
              </w:rPr>
              <w:t>Affiché sur l'écran de dépôt. Le cas est normalement intercepté localement.</w:t>
            </w:r>
          </w:p>
        </w:tc>
      </w:tr>
      <w:tr>
        <w:tc>
          <w:tcPr>
            <w:tcW w:type="dxa" w:w="2154"/>
          </w:tcPr>
          <w:p>
            <w:r/>
            <w:r>
              <w:rPr>
                <w:sz w:val="18"/>
              </w:rPr>
              <w:t>Fichier trop volumineux au dépôt</w:t>
            </w:r>
          </w:p>
        </w:tc>
        <w:tc>
          <w:tcPr>
            <w:tcW w:type="dxa" w:w="794"/>
          </w:tcPr>
          <w:p>
            <w:r/>
            <w:r>
              <w:rPr>
                <w:sz w:val="18"/>
              </w:rPr>
              <w:t>400</w:t>
            </w:r>
          </w:p>
        </w:tc>
        <w:tc>
          <w:tcPr>
            <w:tcW w:type="dxa" w:w="3402"/>
          </w:tcPr>
          <w:p>
            <w:r/>
            <w:r>
              <w:rPr>
                <w:sz w:val="18"/>
              </w:rPr>
              <w:t>« Fichier trop volumineux (max 10 Mo) »</w:t>
            </w:r>
          </w:p>
        </w:tc>
        <w:tc>
          <w:tcPr>
            <w:tcW w:type="dxa" w:w="3288"/>
          </w:tcPr>
          <w:p>
            <w:r/>
            <w:r>
              <w:rPr>
                <w:sz w:val="18"/>
              </w:rPr>
              <w:t>Idem. La valeur annoncée est celle du type, pas une limite du serveur.</w:t>
            </w:r>
          </w:p>
        </w:tc>
      </w:tr>
      <w:tr>
        <w:tc>
          <w:tcPr>
            <w:tcW w:type="dxa" w:w="2154"/>
          </w:tcPr>
          <w:p>
            <w:r/>
            <w:r>
              <w:rPr>
                <w:sz w:val="18"/>
              </w:rPr>
              <w:t>Panne non prévue</w:t>
            </w:r>
          </w:p>
        </w:tc>
        <w:tc>
          <w:tcPr>
            <w:tcW w:type="dxa" w:w="794"/>
          </w:tcPr>
          <w:p>
            <w:r/>
            <w:r>
              <w:rPr>
                <w:sz w:val="18"/>
              </w:rPr>
              <w:t>500</w:t>
            </w:r>
          </w:p>
        </w:tc>
        <w:tc>
          <w:tcPr>
            <w:tcW w:type="dxa" w:w="3402"/>
          </w:tcPr>
          <w:p>
            <w:r/>
            <w:r>
              <w:rPr>
                <w:sz w:val="18"/>
              </w:rPr>
              <w:t>Réponse d'erreur par défaut du socle.</w:t>
            </w:r>
          </w:p>
        </w:tc>
        <w:tc>
          <w:tcPr>
            <w:tcW w:type="dxa" w:w="3288"/>
          </w:tcPr>
          <w:p>
            <w:r/>
            <w:r>
              <w:rPr>
                <w:sz w:val="18"/>
              </w:rPr>
              <w:t>« Une erreur est survenue. »</w:t>
            </w:r>
          </w:p>
        </w:tc>
      </w:tr>
    </w:tbl>
    <w:p>
      <w:pPr>
        <w:spacing w:after="160"/>
      </w:pPr>
    </w:p>
    <w:p>
      <w:r>
        <w:t>Un point de forme mérite d'être relevé : la désignation d'un espace de travail ou d'un plan inexistant produit un 404, alors qu'il s'agit d'une donnée invalide dans le corps d'une requête, et non d'une ressource absente à l'adresse appelée. Un 400 serait plus exact ; le choix actuel découle de l'emploi du même mécanisme de chargement que pour les fiches. La conséquence pratique est faible, l'écran affichant le message dans les deux cas.</w:t>
      </w:r>
    </w:p>
    <w:p>
      <w:pPr>
        <w:pStyle w:val="Heading1"/>
      </w:pPr>
      <w:r>
        <w:t>7. Ce qui est écrit, et dans quel ordre</w:t>
      </w:r>
    </w:p>
    <w:p>
      <w:r>
        <w:t>La création d'un type n'écrit qu'une table, mais elle lit deux autres tables pour résoudre ses rattachements. L'ordre des contrôles décide donc du message que reçoit l'appelant lorsque plusieurs choses sont fausses en même temps.</w:t>
      </w:r>
    </w:p>
    <w:p>
      <w:pPr>
        <w:pStyle w:val="Heading2"/>
      </w:pPr>
      <w:r>
        <w:t>7.1 Création</w:t>
      </w:r>
    </w:p>
    <w:p>
      <w:pPr>
        <w:keepLines/>
        <w:spacing w:before="0" w:after="0" w:line="240" w:lineRule="auto"/>
        <w:ind w:left="227"/>
        <w:shd w:val="clear" w:color="auto" w:fill="F4F5F7"/>
      </w:pPr>
      <w:r>
        <w:rPr>
          <w:rFonts w:ascii="Consolas" w:hAnsi="Consolas" w:cs="Consolas" w:eastAsia="Consolas"/>
          <w:sz w:val="18"/>
        </w:rPr>
        <w:t xml:space="preserve">  POST /api/v1/type-documents</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1. Lecture du corps et validation déclarative</w:t>
      </w:r>
    </w:p>
    <w:p>
      <w:pPr>
        <w:keepLines/>
        <w:spacing w:before="0" w:after="0" w:line="240" w:lineRule="auto"/>
        <w:ind w:left="227"/>
        <w:shd w:val="clear" w:color="auto" w:fill="F4F5F7"/>
      </w:pPr>
      <w:r>
        <w:rPr>
          <w:rFonts w:ascii="Consolas" w:hAnsi="Consolas" w:cs="Consolas" w:eastAsia="Consolas"/>
          <w:sz w:val="18"/>
        </w:rPr>
        <w:t xml:space="preserve">         code, libellé, description, espace de travail,</w:t>
      </w:r>
    </w:p>
    <w:p>
      <w:pPr>
        <w:keepLines/>
        <w:spacing w:before="0" w:after="0" w:line="240" w:lineRule="auto"/>
        <w:ind w:left="227"/>
        <w:shd w:val="clear" w:color="auto" w:fill="F4F5F7"/>
      </w:pPr>
      <w:r>
        <w:rPr>
          <w:rFonts w:ascii="Consolas" w:hAnsi="Consolas" w:cs="Consolas" w:eastAsia="Consolas"/>
          <w:sz w:val="18"/>
        </w:rPr>
        <w:t xml:space="preserve">         au moins un format, taille &gt;= 5</w:t>
      </w:r>
    </w:p>
    <w:p>
      <w:pPr>
        <w:keepLines/>
        <w:spacing w:before="0" w:after="0" w:line="240" w:lineRule="auto"/>
        <w:ind w:left="227"/>
        <w:shd w:val="clear" w:color="auto" w:fill="F4F5F7"/>
      </w:pPr>
      <w:r>
        <w:rPr>
          <w:rFonts w:ascii="Consolas" w:hAnsi="Consolas" w:cs="Consolas" w:eastAsia="Consolas"/>
          <w:sz w:val="18"/>
        </w:rPr>
        <w:t xml:space="preserve">         échec -&gt; 400 avec le détail par champ, rien n'est ouvert</w:t>
      </w:r>
    </w:p>
    <w:p>
      <w:pPr>
        <w:keepLines/>
        <w:spacing w:before="0" w:after="0" w:line="240" w:lineRule="auto"/>
        <w:ind w:left="227"/>
        <w:shd w:val="clear" w:color="auto" w:fill="F4F5F7"/>
      </w:pPr>
      <w:r>
        <w:rPr>
          <w:rFonts w:ascii="Consolas" w:hAnsi="Consolas" w:cs="Consolas" w:eastAsia="Consolas"/>
          <w:sz w:val="18"/>
        </w:rPr>
        <w:t xml:space="preserve">    2. Ouverture de la transaction</w:t>
      </w:r>
    </w:p>
    <w:p>
      <w:pPr>
        <w:keepLines/>
        <w:spacing w:before="0" w:after="0" w:line="240" w:lineRule="auto"/>
        <w:ind w:left="227"/>
        <w:shd w:val="clear" w:color="auto" w:fill="F4F5F7"/>
      </w:pPr>
      <w:r>
        <w:rPr>
          <w:rFonts w:ascii="Consolas" w:hAnsi="Consolas" w:cs="Consolas" w:eastAsia="Consolas"/>
          <w:sz w:val="18"/>
        </w:rPr>
        <w:t xml:space="preserve">    3. Vérification d'unicité du code</w:t>
      </w:r>
    </w:p>
    <w:p>
      <w:pPr>
        <w:keepLines/>
        <w:spacing w:before="0" w:after="0" w:line="240" w:lineRule="auto"/>
        <w:ind w:left="227"/>
        <w:shd w:val="clear" w:color="auto" w:fill="F4F5F7"/>
      </w:pPr>
      <w:r>
        <w:rPr>
          <w:rFonts w:ascii="Consolas" w:hAnsi="Consolas" w:cs="Consolas" w:eastAsia="Consolas"/>
          <w:sz w:val="18"/>
        </w:rPr>
        <w:t xml:space="preserve">         échec -&gt; 400 « Le code ... est déjà utilisé »</w:t>
      </w:r>
    </w:p>
    <w:p>
      <w:pPr>
        <w:keepLines/>
        <w:spacing w:before="0" w:after="0" w:line="240" w:lineRule="auto"/>
        <w:ind w:left="227"/>
        <w:shd w:val="clear" w:color="auto" w:fill="F4F5F7"/>
      </w:pPr>
      <w:r>
        <w:rPr>
          <w:rFonts w:ascii="Consolas" w:hAnsi="Consolas" w:cs="Consolas" w:eastAsia="Consolas"/>
          <w:sz w:val="18"/>
        </w:rPr>
        <w:t xml:space="preserve">    4. Construction de l'entité : code + libellé</w:t>
      </w:r>
    </w:p>
    <w:p>
      <w:pPr>
        <w:keepLines/>
        <w:spacing w:before="0" w:after="0" w:line="240" w:lineRule="auto"/>
        <w:ind w:left="227"/>
        <w:shd w:val="clear" w:color="auto" w:fill="F4F5F7"/>
      </w:pPr>
      <w:r>
        <w:rPr>
          <w:rFonts w:ascii="Consolas" w:hAnsi="Consolas" w:cs="Consolas" w:eastAsia="Consolas"/>
          <w:sz w:val="18"/>
        </w:rPr>
        <w:t xml:space="preserve">    5. Description</w:t>
      </w:r>
    </w:p>
    <w:p>
      <w:pPr>
        <w:keepLines/>
        <w:spacing w:before="0" w:after="0" w:line="240" w:lineRule="auto"/>
        <w:ind w:left="227"/>
        <w:shd w:val="clear" w:color="auto" w:fill="F4F5F7"/>
      </w:pPr>
      <w:r>
        <w:rPr>
          <w:rFonts w:ascii="Consolas" w:hAnsi="Consolas" w:cs="Consolas" w:eastAsia="Consolas"/>
          <w:sz w:val="18"/>
        </w:rPr>
        <w:t xml:space="preserve">    6. Résolution de l'espace de travail (lecture)</w:t>
      </w:r>
    </w:p>
    <w:p>
      <w:pPr>
        <w:keepLines/>
        <w:spacing w:before="0" w:after="0" w:line="240" w:lineRule="auto"/>
        <w:ind w:left="227"/>
        <w:shd w:val="clear" w:color="auto" w:fill="F4F5F7"/>
      </w:pPr>
      <w:r>
        <w:rPr>
          <w:rFonts w:ascii="Consolas" w:hAnsi="Consolas" w:cs="Consolas" w:eastAsia="Consolas"/>
          <w:sz w:val="18"/>
        </w:rPr>
        <w:t xml:space="preserve">         introuvable -&gt; 404, transaction annulée</w:t>
      </w:r>
    </w:p>
    <w:p>
      <w:pPr>
        <w:keepLines/>
        <w:spacing w:before="0" w:after="0" w:line="240" w:lineRule="auto"/>
        <w:ind w:left="227"/>
        <w:shd w:val="clear" w:color="auto" w:fill="F4F5F7"/>
      </w:pPr>
      <w:r>
        <w:rPr>
          <w:rFonts w:ascii="Consolas" w:hAnsi="Consolas" w:cs="Consolas" w:eastAsia="Consolas"/>
          <w:sz w:val="18"/>
        </w:rPr>
        <w:t xml:space="preserve">    7. Résolution du plan d'indexation (lecture), si un identifiant</w:t>
      </w:r>
    </w:p>
    <w:p>
      <w:pPr>
        <w:keepLines/>
        <w:spacing w:before="0" w:after="0" w:line="240" w:lineRule="auto"/>
        <w:ind w:left="227"/>
        <w:shd w:val="clear" w:color="auto" w:fill="F4F5F7"/>
      </w:pPr>
      <w:r>
        <w:rPr>
          <w:rFonts w:ascii="Consolas" w:hAnsi="Consolas" w:cs="Consolas" w:eastAsia="Consolas"/>
          <w:sz w:val="18"/>
        </w:rPr>
        <w:t xml:space="preserve">       a été fourni ; sinon le plan est mis à vide</w:t>
      </w:r>
    </w:p>
    <w:p>
      <w:pPr>
        <w:keepLines/>
        <w:spacing w:before="0" w:after="0" w:line="240" w:lineRule="auto"/>
        <w:ind w:left="227"/>
        <w:shd w:val="clear" w:color="auto" w:fill="F4F5F7"/>
      </w:pPr>
      <w:r>
        <w:rPr>
          <w:rFonts w:ascii="Consolas" w:hAnsi="Consolas" w:cs="Consolas" w:eastAsia="Consolas"/>
          <w:sz w:val="18"/>
        </w:rPr>
        <w:t xml:space="preserve">         introuvable -&gt; 404, transaction annulée</w:t>
      </w:r>
    </w:p>
    <w:p>
      <w:pPr>
        <w:keepLines/>
        <w:spacing w:before="0" w:after="0" w:line="240" w:lineRule="auto"/>
        <w:ind w:left="227"/>
        <w:shd w:val="clear" w:color="auto" w:fill="F4F5F7"/>
      </w:pPr>
      <w:r>
        <w:rPr>
          <w:rFonts w:ascii="Consolas" w:hAnsi="Consolas" w:cs="Consolas" w:eastAsia="Consolas"/>
          <w:sz w:val="18"/>
        </w:rPr>
        <w:t xml:space="preserve">    8. Formats : le tableau reçu est joint par des virgules</w:t>
      </w:r>
    </w:p>
    <w:p>
      <w:pPr>
        <w:keepLines/>
        <w:spacing w:before="0" w:after="0" w:line="240" w:lineRule="auto"/>
        <w:ind w:left="227"/>
        <w:shd w:val="clear" w:color="auto" w:fill="F4F5F7"/>
      </w:pPr>
      <w:r>
        <w:rPr>
          <w:rFonts w:ascii="Consolas" w:hAnsi="Consolas" w:cs="Consolas" w:eastAsia="Consolas"/>
          <w:sz w:val="18"/>
        </w:rPr>
        <w:t xml:space="preserve">    9. Taille maximale</w:t>
      </w:r>
    </w:p>
    <w:p>
      <w:pPr>
        <w:keepLines/>
        <w:spacing w:before="0" w:after="0" w:line="240" w:lineRule="auto"/>
        <w:ind w:left="227"/>
        <w:shd w:val="clear" w:color="auto" w:fill="F4F5F7"/>
      </w:pPr>
      <w:r>
        <w:rPr>
          <w:rFonts w:ascii="Consolas" w:hAnsi="Consolas" w:cs="Consolas" w:eastAsia="Consolas"/>
          <w:sz w:val="18"/>
        </w:rPr>
        <w:t xml:space="preserve">   10. Enregistrement -&gt; insertion</w:t>
      </w:r>
    </w:p>
    <w:p>
      <w:pPr>
        <w:keepLines/>
        <w:spacing w:before="0" w:after="0" w:line="240" w:lineRule="auto"/>
        <w:ind w:left="227"/>
        <w:shd w:val="clear" w:color="auto" w:fill="F4F5F7"/>
      </w:pPr>
      <w:r>
        <w:rPr>
          <w:rFonts w:ascii="Consolas" w:hAnsi="Consolas" w:cs="Consolas" w:eastAsia="Consolas"/>
          <w:sz w:val="18"/>
        </w:rPr>
        <w:t xml:space="preserve">   11. Fermeture de la transaction</w:t>
      </w:r>
    </w:p>
    <w:p>
      <w:pPr>
        <w:keepLines/>
        <w:spacing w:before="0" w:after="0" w:line="240" w:lineRule="auto"/>
        <w:ind w:left="227"/>
        <w:shd w:val="clear" w:color="auto" w:fill="F4F5F7"/>
      </w:pPr>
      <w:r>
        <w:rPr>
          <w:rFonts w:ascii="Consolas" w:hAnsi="Consolas" w:cs="Consolas" w:eastAsia="Consolas"/>
          <w:sz w:val="18"/>
        </w:rPr>
        <w:t xml:space="preserve">   12. Réponse 201 avec la fiche, espace et plan résolus</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Conséquence de l'ordre : un code déjà pris est signalé AVANT un</w:t>
      </w:r>
    </w:p>
    <w:p>
      <w:pPr>
        <w:keepLines/>
        <w:spacing w:before="0" w:after="0" w:line="240" w:lineRule="auto"/>
        <w:ind w:left="227"/>
        <w:shd w:val="clear" w:color="auto" w:fill="F4F5F7"/>
      </w:pPr>
      <w:r>
        <w:rPr>
          <w:rFonts w:ascii="Consolas" w:hAnsi="Consolas" w:cs="Consolas" w:eastAsia="Consolas"/>
          <w:sz w:val="18"/>
        </w:rPr>
        <w:t xml:space="preserve">  espace de travail inexistant. Une requête cumulant les deux fautes</w:t>
      </w:r>
    </w:p>
    <w:p>
      <w:pPr>
        <w:keepLines/>
        <w:spacing w:before="0" w:after="0" w:line="240" w:lineRule="auto"/>
        <w:ind w:left="227"/>
        <w:shd w:val="clear" w:color="auto" w:fill="F4F5F7"/>
      </w:pPr>
      <w:r>
        <w:rPr>
          <w:rFonts w:ascii="Consolas" w:hAnsi="Consolas" w:cs="Consolas" w:eastAsia="Consolas"/>
          <w:sz w:val="18"/>
        </w:rPr>
        <w:t xml:space="preserve">  ne révèle que la première.</w:t>
      </w:r>
    </w:p>
    <w:p>
      <w:pPr>
        <w:spacing w:after="120"/>
      </w:pPr>
    </w:p>
    <w:p>
      <w:pPr>
        <w:pStyle w:val="Heading2"/>
      </w:pPr>
      <w:r>
        <w:t>7.2 Modification</w:t>
      </w:r>
    </w:p>
    <w:p>
      <w:r>
        <w:t>La séquence est identique, précédée du chargement du type — inconnu, il produit un 404 avant toute écriture. Le libellé et le code sont réécrits explicitement, puis le reste suit le même chemin qu'à la création. Comme partout dans l'application, la modification est un remplacement complet : omettre le plan dans le corps de la requête ne le conserve pas, il l'efface. C'est d'ailleurs le mécanisme par lequel l'écran retire un plan d'un type — en choisissant « — Aucun — », il n'envoie tout simplement pas d'identifiant.</w:t>
      </w:r>
    </w:p>
    <w:p>
      <w:pPr>
        <w:pStyle w:val="Heading2"/>
      </w:pPr>
      <w:r>
        <w:t>7.3 Échec en cours de route</w:t>
      </w:r>
    </w:p>
    <w:p>
      <w:r>
        <w:t>Toutes les écritures d'une opération sont couvertes par une transaction unique. Un échec survenu à l'étape 6 ou 7 — espace ou plan introuvable — annule tout ce qui précède, y compris la construction de l'entité. Aucun type partiel ne peut subsister. Le même raisonnement vaut pour les opérations groupées : le lot entier est traité, ou rien ne l'est.</w:t>
      </w:r>
    </w:p>
    <w:p>
      <w:pPr>
        <w:pStyle w:val="Heading2"/>
      </w:pPr>
      <w:r>
        <w:t>7.4 Ce qui est écrit plus tard, au dépôt</w:t>
      </w:r>
    </w:p>
    <w:p>
      <w:pPr>
        <w:keepLines/>
        <w:spacing w:before="0" w:after="0" w:line="240" w:lineRule="auto"/>
        <w:ind w:left="227"/>
        <w:shd w:val="clear" w:color="auto" w:fill="F4F5F7"/>
      </w:pPr>
      <w:r>
        <w:rPr>
          <w:rFonts w:ascii="Consolas" w:hAnsi="Consolas" w:cs="Consolas" w:eastAsia="Consolas"/>
          <w:sz w:val="18"/>
        </w:rPr>
        <w:t xml:space="preserve">  Dépôt d'un fichier sous un type</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1. Le type est chargé</w:t>
      </w:r>
    </w:p>
    <w:p>
      <w:pPr>
        <w:keepLines/>
        <w:spacing w:before="0" w:after="0" w:line="240" w:lineRule="auto"/>
        <w:ind w:left="227"/>
        <w:shd w:val="clear" w:color="auto" w:fill="F4F5F7"/>
      </w:pPr>
      <w:r>
        <w:rPr>
          <w:rFonts w:ascii="Consolas" w:hAnsi="Consolas" w:cs="Consolas" w:eastAsia="Consolas"/>
          <w:sz w:val="18"/>
        </w:rPr>
        <w:t xml:space="preserve">    2. Contrôle : type en corbeille ?      -&gt; refus</w:t>
      </w:r>
    </w:p>
    <w:p>
      <w:pPr>
        <w:keepLines/>
        <w:spacing w:before="0" w:after="0" w:line="240" w:lineRule="auto"/>
        <w:ind w:left="227"/>
        <w:shd w:val="clear" w:color="auto" w:fill="F4F5F7"/>
      </w:pPr>
      <w:r>
        <w:rPr>
          <w:rFonts w:ascii="Consolas" w:hAnsi="Consolas" w:cs="Consolas" w:eastAsia="Consolas"/>
          <w:sz w:val="18"/>
        </w:rPr>
        <w:t xml:space="preserve">    3. Contrôle : format autorisé ?        -&gt; refus</w:t>
      </w:r>
    </w:p>
    <w:p>
      <w:pPr>
        <w:keepLines/>
        <w:spacing w:before="0" w:after="0" w:line="240" w:lineRule="auto"/>
        <w:ind w:left="227"/>
        <w:shd w:val="clear" w:color="auto" w:fill="F4F5F7"/>
      </w:pPr>
      <w:r>
        <w:rPr>
          <w:rFonts w:ascii="Consolas" w:hAnsi="Consolas" w:cs="Consolas" w:eastAsia="Consolas"/>
          <w:sz w:val="18"/>
        </w:rPr>
        <w:t xml:space="preserve">    4. Contrôle : taille sous le plafond ? -&gt; refus</w:t>
      </w:r>
    </w:p>
    <w:p>
      <w:pPr>
        <w:keepLines/>
        <w:spacing w:before="0" w:after="0" w:line="240" w:lineRule="auto"/>
        <w:ind w:left="227"/>
        <w:shd w:val="clear" w:color="auto" w:fill="F4F5F7"/>
      </w:pPr>
      <w:r>
        <w:rPr>
          <w:rFonts w:ascii="Consolas" w:hAnsi="Consolas" w:cs="Consolas" w:eastAsia="Consolas"/>
          <w:sz w:val="18"/>
        </w:rPr>
        <w:t xml:space="preserve">       (le plafond est celui du TYPE, pas une limite du serveur)</w:t>
      </w:r>
    </w:p>
    <w:p>
      <w:pPr>
        <w:keepLines/>
        <w:spacing w:before="0" w:after="0" w:line="240" w:lineRule="auto"/>
        <w:ind w:left="227"/>
        <w:shd w:val="clear" w:color="auto" w:fill="F4F5F7"/>
      </w:pPr>
      <w:r>
        <w:rPr>
          <w:rFonts w:ascii="Consolas" w:hAnsi="Consolas" w:cs="Consolas" w:eastAsia="Consolas"/>
          <w:sz w:val="18"/>
        </w:rPr>
        <w:t xml:space="preserve">    5. Ce n'est qu'ensuite que le fichier est écrit sur disque</w:t>
      </w:r>
    </w:p>
    <w:p>
      <w:pPr>
        <w:keepLines/>
        <w:spacing w:before="0" w:after="0" w:line="240" w:lineRule="auto"/>
        <w:ind w:left="227"/>
        <w:shd w:val="clear" w:color="auto" w:fill="F4F5F7"/>
      </w:pPr>
      <w:r>
        <w:rPr>
          <w:rFonts w:ascii="Consolas" w:hAnsi="Consolas" w:cs="Consolas" w:eastAsia="Consolas"/>
          <w:sz w:val="18"/>
        </w:rPr>
        <w:t xml:space="preserve">       et que la fiche du document est enregistrée</w:t>
      </w:r>
    </w:p>
    <w:p>
      <w:pPr>
        <w:keepLines/>
        <w:spacing w:before="0" w:after="0" w:line="240" w:lineRule="auto"/>
        <w:ind w:left="227"/>
        <w:shd w:val="clear" w:color="auto" w:fill="F4F5F7"/>
      </w:pPr>
      <w:r>
        <w:rPr>
          <w:rFonts w:ascii="Consolas" w:hAnsi="Consolas" w:cs="Consolas" w:eastAsia="Consolas"/>
          <w:sz w:val="18"/>
        </w:rPr>
        <w:t xml:space="preserve"> </w:t>
      </w:r>
    </w:p>
    <w:p>
      <w:pPr>
        <w:keepLines/>
        <w:spacing w:before="0" w:after="0" w:line="240" w:lineRule="auto"/>
        <w:ind w:left="227"/>
        <w:shd w:val="clear" w:color="auto" w:fill="F4F5F7"/>
      </w:pPr>
      <w:r>
        <w:rPr>
          <w:rFonts w:ascii="Consolas" w:hAnsi="Consolas" w:cs="Consolas" w:eastAsia="Consolas"/>
          <w:sz w:val="18"/>
        </w:rPr>
        <w:t xml:space="preserve">  L'ordre compte : les trois contrôles précèdent toute écriture,</w:t>
      </w:r>
    </w:p>
    <w:p>
      <w:pPr>
        <w:keepLines/>
        <w:spacing w:before="0" w:after="0" w:line="240" w:lineRule="auto"/>
        <w:ind w:left="227"/>
        <w:shd w:val="clear" w:color="auto" w:fill="F4F5F7"/>
      </w:pPr>
      <w:r>
        <w:rPr>
          <w:rFonts w:ascii="Consolas" w:hAnsi="Consolas" w:cs="Consolas" w:eastAsia="Consolas"/>
          <w:sz w:val="18"/>
        </w:rPr>
        <w:t xml:space="preserve">  de sorte qu'un refus ne laisse aucun fichier orphelin sur le disque.</w:t>
      </w:r>
    </w:p>
    <w:p>
      <w:pPr>
        <w:spacing w:after="120"/>
      </w:pPr>
    </w:p>
    <w:p>
      <w:pPr>
        <w:pStyle w:val="Heading1"/>
      </w:pPr>
      <w:r>
        <w:t>8. Les effets de bord</w:t>
      </w:r>
    </w:p>
    <w:p>
      <w:pPr>
        <w:pStyle w:val="Heading2"/>
      </w:pPr>
      <w:r>
        <w:t>8.1 Dans ce module</w:t>
      </w:r>
    </w:p>
    <w:p>
      <w:r>
        <w:t>L'enregistrement d'un type écrit une seule table. Aucun fichier n'est produit, aucun calcul de fond n'est déclenché, aucun compteur n'est tenu. Les deux lectures effectuées pour résoudre l'espace de travail et le plan ne modifient rien.</w:t>
      </w:r>
    </w:p>
    <w:p>
      <w:pPr>
        <w:pStyle w:val="Heading2"/>
      </w:pPr>
      <w:r>
        <w:t>8.2 Ailleurs, sans écriture</w:t>
      </w:r>
    </w:p>
    <w:p>
      <w:pPr>
        <w:pStyle w:val="ListBullet"/>
      </w:pPr>
      <w:r>
        <w:t>Modifier les formats autorisés change immédiatement ce que le formulaire de dépôt accepte, dès le rechargement suivant de la liste allégée. Les documents déjà déposés dans un format qui n'est plus autorisé ne sont pas touchés : ils restent en place et restent téléchargeables.</w:t>
      </w:r>
    </w:p>
    <w:p>
      <w:pPr>
        <w:pStyle w:val="ListBullet"/>
      </w:pPr>
      <w:r>
        <w:t>Réduire la taille maximale ne supprime aucun document déjà déposé au-delà de la nouvelle limite, et n'en signale aucun. Elle s'applique aux dépôts suivants, y compris à l'ajout d'une nouvelle version d'un document existant — ce qui interdit toute nouvelle version des documents déjà en place qui la dépassent (voir la règle 12).</w:t>
      </w:r>
    </w:p>
    <w:p>
      <w:pPr>
        <w:pStyle w:val="ListBullet"/>
      </w:pPr>
      <w:r>
        <w:t>Changer le plan d'indexation d'un type change les champs demandés et le nom composé pour les dépôts suivants. Les documents déjà indexés conservent leurs valeurs et leur nom. Un document réindexé après le changement, en revanche, est confronté au nouveau plan : les valeurs attachées à des index qui n'appartiennent plus au plan cessent d'être modifiables, tout en restant en base et en continuant d'apparaître dans les résultats de recherche.</w:t>
      </w:r>
    </w:p>
    <w:p>
      <w:pPr>
        <w:pStyle w:val="ListBullet"/>
      </w:pPr>
      <w:r>
        <w:t>Retirer le plan d'un type fait basculer le dépôt dans le cas « sans aucun index » : aucune table de champs n'est présentée, aucun nom n'est composé, et le module d'indexation répond explicitement que le type n'a pas de plan.</w:t>
      </w:r>
    </w:p>
    <w:p>
      <w:pPr>
        <w:pStyle w:val="ListBullet"/>
      </w:pPr>
      <w:r>
        <w:t>Changer l'espace de travail d'un type ne déplace aucun document déjà déposé : le document porte sa propre référence à un espace, posée au dépôt.</w:t>
      </w:r>
    </w:p>
    <w:p>
      <w:pPr>
        <w:pStyle w:val="Heading2"/>
      </w:pPr>
      <w:r>
        <w:t>8.3 Ce qui n'est jamais revérifié</w:t>
      </w:r>
    </w:p>
    <w:p>
      <w:r>
        <w:t>Les contrôles de cohérence des règles 8 et 9 sont ponctuels : ils s'appliquent au moment où le type est enregistré, et à ce moment-là seulement. Aucun mécanisme ne les rejoue ensuite, ni à la lecture de la fiche, ni au dépôt, ni périodiquement.</w:t>
      </w:r>
    </w:p>
    <w:p>
      <w:pPr>
        <w:pStyle w:val="ListBullet"/>
      </w:pPr>
      <w:r>
        <w:t>La référence vers le plan d'indexation n'est jamais revalidée. Comme la suppression est logique, la ligne du plan subsiste toujours et la clé étrangère reste techniquement valide, y compris après mise à la corbeille du plan.</w:t>
      </w:r>
    </w:p>
    <w:p>
      <w:pPr>
        <w:pStyle w:val="ListBullet"/>
      </w:pPr>
      <w:r>
        <w:t>Il en va de même pour l'espace de travail : le serveur a vérifié qu'il existait, jamais qu'il était actif, et il ne le revérifie pas davantage par la suite.</w:t>
      </w:r>
    </w:p>
    <w:p>
      <w:pPr>
        <w:pStyle w:val="ListBullet"/>
      </w:pPr>
      <w:r>
        <w:t>Aucun contrôle ne rapproche la taille maximale déclarée par le type de la capacité réelle de la couche de réception des fichiers. Le rapprochement n'est fait ni à l'enregistrement, ni au démarrage de l'application.</w:t>
      </w:r>
    </w:p>
    <w:p>
      <w:r>
        <w:t>La conséquence pratique est qu'un type peut devenir incohérent sans qu'aucune opération ne le signale : sa fiche continue d'afficher un plan que plus personne ne voit dans les sélecteurs, et le dépôt continue d'appliquer ce plan. Un contrôle symétrique de celui qui existe déjà pour le type lui-même — refuser le dépôt sur un plan en corbeille — réglerait le cas.</w:t>
      </w:r>
    </w:p>
    <w:p>
      <w:pPr>
        <w:pStyle w:val="Heading2"/>
      </w:pPr>
      <w:r>
        <w:t>8.4 Ce qui n'est jamais supprimé</w:t>
      </w:r>
    </w:p>
    <w:p>
      <w:pPr>
        <w:pStyle w:val="ListBullet"/>
      </w:pPr>
      <w:r>
        <w:t>Aucune ligne de la table des types : la suppression est une bascule d'indicateur, il n'existe aucune purge.</w:t>
      </w:r>
    </w:p>
    <w:p>
      <w:pPr>
        <w:pStyle w:val="ListBullet"/>
      </w:pPr>
      <w:r>
        <w:t>Aucun code : un code utilisé par un type en corbeille reste réservé indéfiniment.</w:t>
      </w:r>
    </w:p>
    <w:p>
      <w:pPr>
        <w:pStyle w:val="ListBullet"/>
      </w:pPr>
      <w:r>
        <w:t>Aucun document, aucun fichier sur disque. La suppression d'un type n'a strictement aucun effet sur les documents qui le référencent.</w:t>
      </w:r>
    </w:p>
    <w:p>
      <w:pPr>
        <w:pStyle w:val="Heading1"/>
      </w:pPr>
      <w:r>
        <w:t>9. Sécurité et contrôle d'accès</w:t>
      </w:r>
    </w:p>
    <w:p>
      <w:r>
        <w:t>L'application n'a qu'un compte, celui de l'administrateur ; les autres personnes visibles dans le produit sont des employés, c'est-à-dire des données, et ne se connectent pas. Il n'existe ni rôle, ni permission, ni profil, et ce module ne fait pas exception : aucune annotation d'autorisation n'y figure.</w:t>
      </w:r>
    </w:p>
    <w:p>
      <w:pPr>
        <w:pStyle w:val="Heading2"/>
      </w:pPr>
      <w:r>
        <w:t>9.1 Ce qui est contrôlé</w:t>
      </w:r>
    </w:p>
    <w:p>
      <w:pPr>
        <w:pStyle w:val="ListBullet"/>
      </w:pPr>
      <w:r>
        <w:t>L'authentification, et elle seule. L'API est fermée par défaut : les dix adresses de ce module exigent un jeton valide, lectures comprises.</w:t>
      </w:r>
    </w:p>
    <w:p>
      <w:pPr>
        <w:pStyle w:val="ListBullet"/>
      </w:pPr>
      <w:r>
        <w:t>Le jeton est signé, de durée de vie bornée, et vérifié à chaque appel par un filtre placé avant le traitement de la requête.</w:t>
      </w:r>
    </w:p>
    <w:p>
      <w:pPr>
        <w:pStyle w:val="ListBullet"/>
      </w:pPr>
      <w:r>
        <w:t>L'API est sans état, donc sans cookie de session et sans surface d'attaque par requête forgée entre sites.</w:t>
      </w:r>
    </w:p>
    <w:p>
      <w:pPr>
        <w:pStyle w:val="ListBullet"/>
      </w:pPr>
      <w:r>
        <w:t>Les origines autorisées sont déclarées par configuration.</w:t>
      </w:r>
    </w:p>
    <w:p>
      <w:pPr>
        <w:pStyle w:val="Heading2"/>
      </w:pPr>
      <w:r>
        <w:t>9.2 Une précision utile sur le vocabulaire</w:t>
      </w:r>
    </w:p>
    <w:p>
      <w:r>
        <w:t>Le type de document est rattaché à un espace de travail, lequel peut être couvert par des « groupes d'accès ». Ce nom prête à confusion et il faut le dire ici sans ambiguïté : ces groupes n'accordent aucun droit. Ils ne sont consultés par aucun contrôle, ni dans ce module ni ailleurs ; le serveur ne leur pose jamais de question avant d'autoriser une opération. Ce sont des regroupements d'employés, c'est-à-dire des données, au même titre que les employés eux-mêmes. Un lecteur pressé pourrait croire que le rattachement d'un type à un espace le place sous un régime d'autorisation : ce n'est pas le cas.</w:t>
      </w:r>
    </w:p>
    <w:p>
      <w:pPr>
        <w:pStyle w:val="Heading2"/>
      </w:pPr>
      <w:r>
        <w:t>9.3 Ce que cela implique concrètement</w:t>
      </w:r>
    </w:p>
    <w:p>
      <w:r>
        <w:t>Quiconque détient un jeton valide peut créer, modifier ou supprimer n'importe quel type, donc modifier les formats acceptés, la taille maximale, le dossier de rangement et le plan de nommage de tous les dépôts à venir. Aucune trace nominative n'est conservée : les deux colonnes d'horodatage disent quand un type a changé, jamais qui l'a changé.</w:t>
      </w:r>
    </w:p>
    <w:p>
      <w:pPr>
        <w:pStyle w:val="Heading1"/>
      </w:pPr>
      <w:r>
        <w:t>10. Points de vigilance et limites connues</w:t>
      </w:r>
    </w:p>
    <w:p>
      <w:pPr>
        <w:pStyle w:val="Heading2"/>
      </w:pPr>
      <w:r>
        <w:t>10.1 Les formats déclarés ne sont pas confrontés à une liste fermée</w:t>
      </w:r>
    </w:p>
    <w:p>
      <w:r>
        <w:t>L'écran propose cinq cases à cocher : pdf, docx, doc, xlsx, xls. Le serveur, lui, accepte n'importe quelle chaîne dans la liste des formats. Un appel direct peut donc déclarer un type acceptant « exe », « sh » ou « html », et le contrôle de dépôt appliquera fidèlement cette déclaration. Le risque n'est pas théorique : l'application écrit les fichiers reçus sur disque et les ressert au téléchargement. La liste fermée existe à l'écran, elle devrait exister aussi côté serveur — c'est le seul endroit où elle constitue une garantie.</w:t>
      </w:r>
    </w:p>
    <w:p>
      <w:pPr>
        <w:pStyle w:val="Heading2"/>
      </w:pPr>
      <w:r>
        <w:t>10.2 La taille maximale n'a pas de plafond applicatif, mais en a un de fait</w:t>
      </w:r>
    </w:p>
    <w:p>
      <w:r>
        <w:t>Le contrôle impose un plancher de cinq mégaoctets et aucun plafond. Un type peut donc déclarer accepter 500 mégaoctets. Or la couche de réception des fichiers du socle est configurée pour refuser au-delà de 100 mégaoctets par fichier et 120 mégaoctets par requête. Un type déclarant davantage promet donc quelque chose que l'application ne tiendra pas, et le refus proviendra d'une couche plus basse, avec un message qui ne ressemble à aucun des messages métier décrits en section 6. Deux corrections sont possibles : plafonner la taille à l'enregistrement du type, ou dériver le plafond de la configuration de réception.</w:t>
      </w:r>
    </w:p>
    <w:p>
      <w:pPr>
        <w:pStyle w:val="Heading2"/>
      </w:pPr>
      <w:r>
        <w:t>10.3 L'espace de travail et le plan désignés peuvent être en corbeille</w:t>
      </w:r>
    </w:p>
    <w:p>
      <w:r>
        <w:t>Le serveur vérifie que l'espace existe, jamais qu'il est actif. Un type peut donc être rattaché à un espace supprimé, avec pour conséquence des documents rangés dans un dossier invisible. Le même raisonnement vaut pour le plan d'indexation, avec une conséquence plus visible encore, décrite à la règle 9 : le plan supprimé continue de piloter les dépôts du type. La correction est symétrique de celle déjà appliquée au type lui-même au moment du dépôt.</w:t>
      </w:r>
    </w:p>
    <w:p>
      <w:pPr>
        <w:pStyle w:val="Heading2"/>
      </w:pPr>
      <w:r>
        <w:t>10.4 Un type sans format déclaré accepte tout</w:t>
      </w:r>
    </w:p>
    <w:p>
      <w:r>
        <w:t>La validation impose au moins un format dans la requête, mais le contrôle de dépôt ne s'applique que si la liste stockée n'est pas vide. Un type dont la colonne serait vide — situation qu'aucun chemin actuel de l'API ne produit, mais qu'une reprise de données ou une migration pourrait produire — accepterait n'importe quel fichier sans le signaler. Le comportement par défaut le plus sûr serait l'inverse : une liste vide devrait tout refuser, ou au moins être impossible en base.</w:t>
      </w:r>
    </w:p>
    <w:p>
      <w:pPr>
        <w:pStyle w:val="Heading2"/>
      </w:pPr>
      <w:r>
        <w:t>10.5 La suppression d'un type ne dit pas ce qu'elle laisse derrière elle</w:t>
      </w:r>
    </w:p>
    <w:p>
      <w:r>
        <w:t>Le serveur ne compte pas les documents rattachés avant de mettre un type à la corbeille, et n'en informe pas l'écran. L'administrateur supprime donc un type sans savoir s'il concerne trois documents ou trois mille. Les documents ne sont pas perdus — ils restent en place et restent affichés avec le nom de leur type — mais plus aucun dépôt n'est possible sous ce type, et rien ne l'annonce au moment du geste.</w:t>
      </w:r>
    </w:p>
    <w:p>
      <w:pPr>
        <w:pStyle w:val="Heading2"/>
      </w:pPr>
      <w:r>
        <w:t>10.6 Aucune borne applicative sur les chaînes</w:t>
      </w:r>
    </w:p>
    <w:p>
      <w:r>
        <w:t>Le code, le libellé et la chaîne des formats sont stockés dans des colonnes de 255 caractères ; la description, elle, est en texte long et n'a pas cette contrainte. Aucune borne n'est déclarée au niveau de la requête pour les trois premières : un dépassement n'est refusé que par la base, avec un message qui nomme la limite sans nommer le champ. L'utilitaire prévu pour cela existe dans l'application et est employé ailleurs.</w:t>
      </w:r>
    </w:p>
    <w:p>
      <w:pPr>
        <w:pStyle w:val="Heading2"/>
      </w:pPr>
      <w:r>
        <w:t>10.7 Le tri sur l'espace de travail traverse une relation</w:t>
      </w:r>
    </w:p>
    <w:p>
      <w:r>
        <w:t>Le tri par nom d'espace est autorisé et fonctionne, mais il repose sur une jointure implicite et sur un chargement systématique de la relation. Sur un volume important de types, ce choix n'est pas problématique — les types se comptent en dizaines, pas en milliers. Il le deviendrait si la même approche était étendue à la liste des documents.</w:t>
      </w:r>
    </w:p>
    <w:p>
      <w:pPr>
        <w:pStyle w:val="Heading2"/>
      </w:pPr>
      <w:r>
        <w:t>10.8 Abaisser la taille maximale gèle silencieusement les documents existants</w:t>
      </w:r>
    </w:p>
    <w:p>
      <w:r>
        <w:t>Cette limite est la retombée directe de la règle 12 et mérite d'être isolée, parce qu'elle se manifeste longtemps après le geste qui l'a provoquée. Le paramétrage d'un type est modifié un jour donné ; le refus apparaît des semaines plus tard, sur un document que l'opérateur consulte normalement et dont il veut simplement déposer une version corrigée. Le message annonce une limite que le fichier en place dépasse déjà, ce qui est en soi déroutant. Deux corrections raisonnables existent : signaler à l'enregistrement du type le nombre de documents déjà déposés au-dessus de la nouvelle borne, ou exempter du contrôle les versions d'un document dont la version courante dépasse elle-même la borne.</w:t>
      </w:r>
    </w:p>
    <w:p>
      <w:pPr>
        <w:pStyle w:val="Heading2"/>
      </w:pPr>
      <w:r>
        <w:t>10.9 Ce qui n'est pas géré</w:t>
      </w:r>
    </w:p>
    <w:p>
      <w:pPr>
        <w:pStyle w:val="ListBullet"/>
      </w:pPr>
      <w:r>
        <w:t>Aucune purge définitive de la corbeille.</w:t>
      </w:r>
    </w:p>
    <w:p>
      <w:pPr>
        <w:pStyle w:val="ListBullet"/>
      </w:pPr>
      <w:r>
        <w:t>Aucune duplication de type, alors que décliner un type existant est le geste le plus fréquent après la création du premier.</w:t>
      </w:r>
    </w:p>
    <w:p>
      <w:pPr>
        <w:pStyle w:val="ListBullet"/>
      </w:pPr>
      <w:r>
        <w:t>Aucun moyen de savoir combien de documents utilisent un type.</w:t>
      </w:r>
    </w:p>
    <w:p>
      <w:pPr>
        <w:pStyle w:val="ListBullet"/>
      </w:pPr>
      <w:r>
        <w:t>Aucune recherche sur le code, pourtant affiché en première colonne de la liste.</w:t>
      </w:r>
    </w:p>
    <w:p>
      <w:pPr>
        <w:pStyle w:val="ListBullet"/>
      </w:pPr>
      <w:r>
        <w:t>Aucun contrôle de concurrence : deux enregistrements simultanés du même type se succèdent, le dernier écrase le premier.</w:t>
      </w:r>
    </w:p>
    <w:p>
      <w:pPr>
        <w:pStyle w:val="ListBullet"/>
      </w:pPr>
      <w:r>
        <w:t>Aucune restitution de compte rendu sur les opérations groupées.</w:t>
      </w:r>
    </w:p>
    <w:p>
      <w:pPr>
        <w:pStyle w:val="ListBullet"/>
      </w:pPr>
      <w:r>
        <w:t>Aucune vérification que la taille maximale du type est compatible avec la configuration de réception des fichiers.</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44A54"/>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