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32"/>
        </w:rPr>
        <w:t>GED Marchica Med</w:t>
      </w:r>
    </w:p>
    <w:p>
      <w:pPr>
        <w:jc w:val="center"/>
      </w:pPr>
      <w:r>
        <w:rPr>
          <w:b/>
          <w:sz w:val="56"/>
        </w:rPr>
        <w:t>Rapport backend</w:t>
      </w:r>
    </w:p>
    <w:p>
      <w:pPr>
        <w:jc w:val="center"/>
      </w:pPr>
      <w:r>
        <w:rPr>
          <w:color w:val="444444"/>
          <w:sz w:val="36"/>
        </w:rPr>
        <w:t>10 — Documents</w:t>
      </w:r>
    </w:p>
    <w:p/>
    <w:p>
      <w:pPr>
        <w:jc w:val="center"/>
      </w:pPr>
      <w:r>
        <w:rPr>
          <w:i/>
          <w:color w:val="444444"/>
          <w:sz w:val="24"/>
        </w:rPr>
        <w:t>Versions, verrou, téléchargement, stockage disque et corbeille</w:t>
      </w:r>
    </w:p>
    <w:p/>
    <w:p/>
    <w:p/>
    <w:p/>
    <w:p/>
    <w:p/>
    <w:p>
      <w:pPr>
        <w:jc w:val="center"/>
      </w:pPr>
      <w:r>
        <w:rPr>
          <w:b/>
          <w:color w:val="444444"/>
          <w:sz w:val="22"/>
        </w:rPr>
        <w:t>Volet backend — ce que le serveur fait derrière l'écran</w:t>
      </w:r>
    </w:p>
    <w:p>
      <w:pPr>
        <w:jc w:val="center"/>
      </w:pPr>
      <w:r>
        <w:rPr>
          <w:b w:val="0"/>
          <w:color w:val="444444"/>
          <w:sz w:val="22"/>
        </w:rPr>
        <w:t>Destinataire : responsable technique / architecte</w:t>
      </w:r>
    </w:p>
    <w:p>
      <w:pPr>
        <w:jc w:val="center"/>
      </w:pPr>
      <w:r>
        <w:rPr>
          <w:b w:val="0"/>
          <w:color w:val="444444"/>
          <w:sz w:val="22"/>
        </w:rPr>
        <w:t>Application : GED Marchica Med</w:t>
      </w:r>
    </w:p>
    <w:p>
      <w:pPr>
        <w:jc w:val="center"/>
      </w:pPr>
      <w:r>
        <w:rPr>
          <w:b w:val="0"/>
          <w:color w:val="444444"/>
          <w:sz w:val="22"/>
        </w:rPr>
        <w:t>Socle technique : Spring Boot, Java 17, JPA/Hibernate, MySQL, Flyway</w:t>
      </w:r>
    </w:p>
    <w:p>
      <w:pPr>
        <w:jc w:val="center"/>
      </w:pPr>
      <w:r>
        <w:rPr>
          <w:b w:val="0"/>
          <w:color w:val="444444"/>
          <w:sz w:val="22"/>
        </w:rPr>
        <w:t>Date d'édition : 13 août 2026</w:t>
      </w:r>
    </w:p>
    <w:p>
      <w:r>
        <w:br w:type="page"/>
      </w:r>
    </w:p>
    <w:p>
      <w:pPr>
        <w:pStyle w:val="Heading1"/>
        <w:spacing w:after="240"/>
      </w:pPr>
      <w:r>
        <w:t>Sommaire</w:t>
      </w:r>
    </w:p>
    <w:p>
      <w:pPr>
        <w:spacing w:after="40"/>
        <w:ind w:left="0"/>
      </w:pPr>
      <w:r>
        <w:rPr>
          <w:b/>
          <w:sz w:val="22"/>
        </w:rPr>
        <w:t>1. Rôle du serveur pour cette interface</w:t>
      </w:r>
    </w:p>
    <w:p>
      <w:pPr>
        <w:spacing w:after="40"/>
        <w:ind w:left="340"/>
      </w:pPr>
      <w:r>
        <w:rPr>
          <w:b w:val="0"/>
          <w:color w:val="444444"/>
          <w:sz w:val="20"/>
        </w:rPr>
        <w:t>1.1 Ce que le serveur fournit</w:t>
      </w:r>
    </w:p>
    <w:p>
      <w:pPr>
        <w:spacing w:after="40"/>
        <w:ind w:left="340"/>
      </w:pPr>
      <w:r>
        <w:rPr>
          <w:b w:val="0"/>
          <w:color w:val="444444"/>
          <w:sz w:val="20"/>
        </w:rPr>
        <w:t>1.2 Ce que le serveur garantit</w:t>
      </w:r>
    </w:p>
    <w:p>
      <w:pPr>
        <w:spacing w:after="40"/>
        <w:ind w:left="340"/>
      </w:pPr>
      <w:r>
        <w:rPr>
          <w:b w:val="0"/>
          <w:color w:val="444444"/>
          <w:sz w:val="20"/>
        </w:rPr>
        <w:t>1.3 Ce qui ne relève pas de ce module</w:t>
      </w:r>
    </w:p>
    <w:p>
      <w:pPr>
        <w:spacing w:after="40"/>
        <w:ind w:left="0"/>
      </w:pPr>
      <w:r>
        <w:rPr>
          <w:b/>
          <w:sz w:val="22"/>
        </w:rPr>
        <w:t>2. Les données conservées</w:t>
      </w:r>
    </w:p>
    <w:p>
      <w:pPr>
        <w:spacing w:after="40"/>
        <w:ind w:left="340"/>
      </w:pPr>
      <w:r>
        <w:rPr>
          <w:b w:val="0"/>
          <w:color w:val="444444"/>
          <w:sz w:val="20"/>
        </w:rPr>
        <w:t>2.1 La fiche du document</w:t>
      </w:r>
    </w:p>
    <w:p>
      <w:pPr>
        <w:spacing w:after="40"/>
        <w:ind w:left="340"/>
      </w:pPr>
      <w:r>
        <w:rPr>
          <w:b w:val="0"/>
          <w:color w:val="444444"/>
          <w:sz w:val="20"/>
        </w:rPr>
        <w:t>2.2 Les versions du fichier</w:t>
      </w:r>
    </w:p>
    <w:p>
      <w:pPr>
        <w:spacing w:after="40"/>
        <w:ind w:left="340"/>
      </w:pPr>
      <w:r>
        <w:rPr>
          <w:b w:val="0"/>
          <w:color w:val="444444"/>
          <w:sz w:val="20"/>
        </w:rPr>
        <w:t>2.3 Le rattachement aux étiquettes</w:t>
      </w:r>
    </w:p>
    <w:p>
      <w:pPr>
        <w:spacing w:after="40"/>
        <w:ind w:left="340"/>
      </w:pPr>
      <w:r>
        <w:rPr>
          <w:b w:val="0"/>
          <w:color w:val="444444"/>
          <w:sz w:val="20"/>
        </w:rPr>
        <w:t>2.4 Les colonnes d'audit</w:t>
      </w:r>
    </w:p>
    <w:p>
      <w:pPr>
        <w:spacing w:after="40"/>
        <w:ind w:left="0"/>
      </w:pPr>
      <w:r>
        <w:rPr>
          <w:b/>
          <w:sz w:val="22"/>
        </w:rPr>
        <w:t>3. Les relations</w:t>
      </w:r>
    </w:p>
    <w:p>
      <w:pPr>
        <w:spacing w:after="40"/>
        <w:ind w:left="340"/>
      </w:pPr>
      <w:r>
        <w:rPr>
          <w:b w:val="0"/>
          <w:color w:val="444444"/>
          <w:sz w:val="20"/>
        </w:rPr>
        <w:t>3.1 Schéma des relations</w:t>
      </w:r>
    </w:p>
    <w:p>
      <w:pPr>
        <w:spacing w:after="40"/>
        <w:ind w:left="340"/>
      </w:pPr>
      <w:r>
        <w:rPr>
          <w:b w:val="0"/>
          <w:color w:val="444444"/>
          <w:sz w:val="20"/>
        </w:rPr>
        <w:t>3.2 Sens des liens et disparition de l'objet lié</w:t>
      </w:r>
    </w:p>
    <w:p>
      <w:pPr>
        <w:spacing w:after="40"/>
        <w:ind w:left="0"/>
      </w:pPr>
      <w:r>
        <w:rPr>
          <w:b/>
          <w:sz w:val="22"/>
        </w:rPr>
        <w:t>4. Les opérations disponibles</w:t>
      </w:r>
    </w:p>
    <w:p>
      <w:pPr>
        <w:spacing w:after="40"/>
        <w:ind w:left="340"/>
      </w:pPr>
      <w:r>
        <w:rPr>
          <w:b w:val="0"/>
          <w:color w:val="444444"/>
          <w:sz w:val="20"/>
        </w:rPr>
        <w:t>4.1 Lecture</w:t>
      </w:r>
    </w:p>
    <w:p>
      <w:pPr>
        <w:spacing w:after="40"/>
        <w:ind w:left="340"/>
      </w:pPr>
      <w:r>
        <w:rPr>
          <w:b w:val="0"/>
          <w:color w:val="444444"/>
          <w:sz w:val="20"/>
        </w:rPr>
        <w:t>4.2 Écriture</w:t>
      </w:r>
    </w:p>
    <w:p>
      <w:pPr>
        <w:spacing w:after="40"/>
        <w:ind w:left="340"/>
      </w:pPr>
      <w:r>
        <w:rPr>
          <w:b w:val="0"/>
          <w:color w:val="444444"/>
          <w:sz w:val="20"/>
        </w:rPr>
        <w:t>4.3 Corbeille et actions groupées</w:t>
      </w:r>
    </w:p>
    <w:p>
      <w:pPr>
        <w:spacing w:after="40"/>
        <w:ind w:left="0"/>
      </w:pPr>
      <w:r>
        <w:rPr>
          <w:b/>
          <w:sz w:val="22"/>
        </w:rPr>
        <w:t>5. Les règles vérifiées côté serveur</w:t>
      </w:r>
    </w:p>
    <w:p>
      <w:pPr>
        <w:spacing w:after="40"/>
        <w:ind w:left="340"/>
      </w:pPr>
      <w:r>
        <w:rPr>
          <w:b w:val="0"/>
          <w:color w:val="444444"/>
          <w:sz w:val="20"/>
        </w:rPr>
        <w:t>5.1 Règles partagées avec l'écran</w:t>
      </w:r>
    </w:p>
    <w:p>
      <w:pPr>
        <w:spacing w:after="40"/>
        <w:ind w:left="340"/>
      </w:pPr>
      <w:r>
        <w:rPr>
          <w:b w:val="0"/>
          <w:color w:val="444444"/>
          <w:sz w:val="20"/>
        </w:rPr>
        <w:t>5.2 Règles qui n'existent que côté serveur</w:t>
      </w:r>
    </w:p>
    <w:p>
      <w:pPr>
        <w:spacing w:after="40"/>
        <w:ind w:left="0"/>
      </w:pPr>
      <w:r>
        <w:rPr>
          <w:b/>
          <w:sz w:val="22"/>
        </w:rPr>
        <w:t>6. Les erreurs et les réponses</w:t>
      </w:r>
    </w:p>
    <w:p>
      <w:pPr>
        <w:spacing w:after="40"/>
        <w:ind w:left="0"/>
      </w:pPr>
      <w:r>
        <w:rPr>
          <w:b/>
          <w:sz w:val="22"/>
        </w:rPr>
        <w:t>7. Ce qui est écrit, et dans quel ordre</w:t>
      </w:r>
    </w:p>
    <w:p>
      <w:pPr>
        <w:spacing w:after="40"/>
        <w:ind w:left="340"/>
      </w:pPr>
      <w:r>
        <w:rPr>
          <w:b w:val="0"/>
          <w:color w:val="444444"/>
          <w:sz w:val="20"/>
        </w:rPr>
        <w:t>7.1 Le dépôt d'un document</w:t>
      </w:r>
    </w:p>
    <w:p>
      <w:pPr>
        <w:spacing w:after="40"/>
        <w:ind w:left="340"/>
      </w:pPr>
      <w:r>
        <w:rPr>
          <w:b w:val="0"/>
          <w:color w:val="444444"/>
          <w:sz w:val="20"/>
        </w:rPr>
        <w:t>7.2 Le versement d'une nouvelle version</w:t>
      </w:r>
    </w:p>
    <w:p>
      <w:pPr>
        <w:spacing w:after="40"/>
        <w:ind w:left="340"/>
      </w:pPr>
      <w:r>
        <w:rPr>
          <w:b w:val="0"/>
          <w:color w:val="444444"/>
          <w:sz w:val="20"/>
        </w:rPr>
        <w:t>7.3 La désignation d'une version antérieure</w:t>
      </w:r>
    </w:p>
    <w:p>
      <w:pPr>
        <w:spacing w:after="40"/>
        <w:ind w:left="340"/>
      </w:pPr>
      <w:r>
        <w:rPr>
          <w:b w:val="0"/>
          <w:color w:val="444444"/>
          <w:sz w:val="20"/>
        </w:rPr>
        <w:t>7.4 La mise en corbeille et la restauration</w:t>
      </w:r>
    </w:p>
    <w:p>
      <w:pPr>
        <w:spacing w:after="40"/>
        <w:ind w:left="0"/>
      </w:pPr>
      <w:r>
        <w:rPr>
          <w:b/>
          <w:sz w:val="22"/>
        </w:rPr>
        <w:t>8. Les effets de bord</w:t>
      </w:r>
    </w:p>
    <w:p>
      <w:pPr>
        <w:spacing w:after="40"/>
        <w:ind w:left="0"/>
      </w:pPr>
      <w:r>
        <w:rPr>
          <w:b/>
          <w:sz w:val="22"/>
        </w:rPr>
        <w:t>9. Sécurité et contrôle d'accès</w:t>
      </w:r>
    </w:p>
    <w:p>
      <w:pPr>
        <w:spacing w:after="40"/>
        <w:ind w:left="0"/>
      </w:pPr>
      <w:r>
        <w:rPr>
          <w:b/>
          <w:sz w:val="22"/>
        </w:rPr>
        <w:t>10. Points de vigilance et limites connues</w:t>
      </w:r>
    </w:p>
    <w:p>
      <w:r>
        <w:br w:type="page"/>
      </w:r>
    </w:p>
    <w:p>
      <w:pPr>
        <w:pStyle w:val="Heading1"/>
        <w:spacing w:before="360" w:after="160"/>
      </w:pPr>
      <w:r>
        <w:t>1. Rôle du serveur pour cette interface</w:t>
      </w:r>
    </w:p>
    <w:p>
      <w:r>
        <w:rPr>
          <w:i/>
          <w:color w:val="444444"/>
        </w:rPr>
        <w:t>L'écran « Documents » est l'aboutissement du parcours : il ne crée rien, il exploite ce que le dépôt a fait entrer. Le serveur y tient trois rôles distincts — gardien du fonds, gardien des fichiers, et gardien de la cohérence entre les deux.</w:t>
      </w:r>
    </w:p>
    <w:p>
      <w:pPr>
        <w:pStyle w:val="Heading2"/>
        <w:spacing w:before="280" w:after="120"/>
      </w:pPr>
      <w:r>
        <w:t>1.1 Ce que le serveur fournit</w:t>
      </w:r>
    </w:p>
    <w:p>
      <w:r>
        <w:rPr>
          <w:i w:val="0"/>
        </w:rPr>
        <w:t>Le module documentaire expose une ressource unique, le document, sous la base d'adresse /api/v1/documents. Il en sert quatre choses : la liste paginée, triée et filtrable du fonds vivant ; la liste équivalente de la corbeille ; la fiche complète d'un document, étiquettes et versions comprises ; et le contenu binaire du fichier, servi de façon authentifiée.</w:t>
      </w:r>
    </w:p>
    <w:p>
      <w:r>
        <w:rPr>
          <w:i w:val="0"/>
        </w:rPr>
        <w:t>Il expose également les gestes qui font évoluer un document sans jamais toucher au contenu déjà déposé : la modification de la fiche, la bascule du verrou, le versement d'une nouvelle version, la désignation d'une version antérieure comme version principale, la mise en corbeille et la restauration, à l'unité comme en lot.</w:t>
      </w:r>
    </w:p>
    <w:p>
      <w:pPr>
        <w:pStyle w:val="Heading2"/>
        <w:spacing w:before="280" w:after="120"/>
      </w:pPr>
      <w:r>
        <w:t>1.2 Ce que le serveur garantit</w:t>
      </w:r>
    </w:p>
    <w:p>
      <w:pPr>
        <w:pStyle w:val="ListBullet"/>
        <w:spacing w:after="60"/>
      </w:pPr>
      <w:r>
        <w:rPr>
          <w:b/>
        </w:rPr>
        <w:t>Un document n'est pas un fichier.</w:t>
      </w:r>
      <w:r>
        <w:rPr>
          <w:b w:val="0"/>
        </w:rPr>
        <w:t xml:space="preserve"> La fiche et le fichier sont deux objets distincts : la table des documents porte la fiche, la table des versions porte les fichiers successifs. Un seul de ces fichiers est marqué comme version principale, et c'est celui-là que le téléchargement sert.</w:t>
      </w:r>
    </w:p>
    <w:p>
      <w:pPr>
        <w:pStyle w:val="ListBullet"/>
        <w:spacing w:after="60"/>
      </w:pPr>
      <w:r>
        <w:rPr>
          <w:b/>
        </w:rPr>
        <w:t>Le contenu déjà déposé n'est jamais écrasé.</w:t>
      </w:r>
      <w:r>
        <w:rPr>
          <w:b w:val="0"/>
        </w:rPr>
        <w:t xml:space="preserve"> Aucune opération d'écriture ne remplace un fichier sur le disque. Verser un nouveau contenu ajoute une ligne de version et déplace le drapeau de version principale ; le fichier précédent reste lisible à son emplacement.</w:t>
      </w:r>
    </w:p>
    <w:p>
      <w:pPr>
        <w:pStyle w:val="ListBullet"/>
        <w:spacing w:after="60"/>
      </w:pPr>
      <w:r>
        <w:rPr>
          <w:b/>
        </w:rPr>
        <w:t>Le fichier physique n'est jamais effacé</w:t>
      </w:r>
      <w:r>
        <w:rPr>
          <w:b w:val="0"/>
        </w:rPr>
        <w:t xml:space="preserve"> lors d'une suppression : la mise en corbeille n'agit que sur un indicateur de la fiche. La seule suppression de fichier prévue par le code est la compensation d'une transaction annulée, c'est-à-dire l'effacement d'un fichier qu'aucune fiche ne référence.</w:t>
      </w:r>
    </w:p>
    <w:p>
      <w:pPr>
        <w:pStyle w:val="ListBullet"/>
        <w:spacing w:after="60"/>
      </w:pPr>
      <w:r>
        <w:rPr>
          <w:b/>
        </w:rPr>
        <w:t>Un document en corbeille reste lisible mais n'accepte plus aucune écriture.</w:t>
      </w:r>
      <w:r>
        <w:rPr>
          <w:b w:val="0"/>
        </w:rPr>
        <w:t xml:space="preserve"> La lecture doit rester ouverte, sans quoi l'écran d'archive ne pourrait pas décrire ce qu'il propose de restaurer ; l'écriture est fermée, car modifier une pièce que l'utilisateur croit supprimée produit une trace que personne ne relira.</w:t>
      </w:r>
    </w:p>
    <w:p>
      <w:pPr>
        <w:pStyle w:val="ListBullet"/>
        <w:spacing w:after="60"/>
      </w:pPr>
      <w:r>
        <w:rPr>
          <w:b/>
        </w:rPr>
        <w:t>L'auteur du dépôt vient du jeton.</w:t>
      </w:r>
      <w:r>
        <w:rPr>
          <w:b w:val="0"/>
        </w:rPr>
        <w:t xml:space="preserve"> La colonne « Créateur » est renseignée à partir de l'identité authentifiée, jamais d'un paramètre de requête. Un identifiant transmis par le client est ignoré plutôt que refusé, pour ne pas casser un appel ancien portant un champ qui n'a jamais eu autorité.</w:t>
      </w:r>
    </w:p>
    <w:p>
      <w:pPr>
        <w:pStyle w:val="ListBullet"/>
        <w:spacing w:after="60"/>
      </w:pPr>
      <w:r>
        <w:rPr>
          <w:b/>
        </w:rPr>
        <w:t>Une seule version principale par document.</w:t>
      </w:r>
      <w:r>
        <w:rPr>
          <w:b w:val="0"/>
        </w:rPr>
        <w:t xml:space="preserve"> L'invariant est tenu à l'écriture par un verrou pessimiste posé sur la ligne du document, et toléré en lecture : un état abîmé hérité d'une version antérieure du produit est corrigé au lieu de faire tomber la requête.</w:t>
      </w:r>
    </w:p>
    <w:p>
      <w:pPr>
        <w:pStyle w:val="Heading2"/>
        <w:spacing w:before="280" w:after="120"/>
      </w:pPr>
      <w:r>
        <w:t>1.3 Ce qui ne relève pas de ce module</w:t>
      </w:r>
    </w:p>
    <w:p>
      <w:r>
        <w:rPr>
          <w:i w:val="0"/>
        </w:rPr>
        <w:t>Trois choses que l'écran affiche ne sont pas produites ici. Les valeurs d'index et la référence composée relèvent du module d'indexation (rapport 11) : le module documentaire se contente de porter la colonne. Le circuit de validation relève du module de signature (rapport 12) : le dépôt le déclenche, mais ne le pilote pas. Enfin, les contraintes de format et de taille appartiennent au type de document : le module documentaire les applique, il ne les définit pas.</w:t>
      </w:r>
    </w:p>
    <w:p>
      <w:r>
        <w:br w:type="page"/>
      </w:r>
    </w:p>
    <w:p>
      <w:pPr>
        <w:pStyle w:val="Heading1"/>
        <w:spacing w:before="360" w:after="160"/>
      </w:pPr>
      <w:r>
        <w:t>2. Les données conservées</w:t>
      </w:r>
    </w:p>
    <w:p>
      <w:r>
        <w:rPr>
          <w:i/>
          <w:color w:val="444444"/>
        </w:rPr>
        <w:t>Trois tables portent l'état du fonds documentaire : la fiche du document, ses versions, et la table de rattachement aux étiquettes. Toutes trois héritent des colonnes d'audit communes à l'application.</w:t>
      </w:r>
    </w:p>
    <w:p>
      <w:pPr>
        <w:pStyle w:val="Heading2"/>
        <w:spacing w:before="280" w:after="120"/>
      </w:pPr>
      <w:r>
        <w:t>2.1 La fiche du document</w:t>
      </w:r>
    </w:p>
    <w:p>
      <w:r>
        <w:rPr>
          <w:i w:val="0"/>
        </w:rPr>
        <w:t>La fiche est stockée dans la table documents_file. Elle décrit le document tel que la liste l'affiche, et pointe vers le fichier actuellement servi au téléchargement.</w:t>
      </w:r>
    </w:p>
    <w:tbl>
      <w:tblPr>
        <w:tblStyle w:val="LightGrid-Accent1"/>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474"/>
          </w:tcPr>
          <w:p>
            <w:pPr>
              <w:spacing w:after="40"/>
            </w:pPr>
            <w:r/>
            <w:r>
              <w:rPr>
                <w:b/>
                <w:sz w:val="18"/>
              </w:rPr>
              <w:t>Nature</w:t>
            </w:r>
          </w:p>
        </w:tc>
        <w:tc>
          <w:tcPr>
            <w:tcW w:type="dxa" w:w="624"/>
          </w:tcPr>
          <w:p>
            <w:pPr>
              <w:spacing w:after="40"/>
            </w:pPr>
            <w:r/>
            <w:r>
              <w:rPr>
                <w:b/>
                <w:sz w:val="18"/>
              </w:rPr>
              <w:t>Oblig.</w:t>
            </w:r>
          </w:p>
        </w:tc>
        <w:tc>
          <w:tcPr>
            <w:tcW w:type="dxa" w:w="1871"/>
          </w:tcPr>
          <w:p>
            <w:pPr>
              <w:spacing w:after="40"/>
            </w:pPr>
            <w:r/>
            <w:r>
              <w:rPr>
                <w:b/>
                <w:sz w:val="18"/>
              </w:rPr>
              <w:t>Valeur par défaut</w:t>
            </w:r>
          </w:p>
        </w:tc>
        <w:tc>
          <w:tcPr>
            <w:tcW w:type="dxa" w:w="850"/>
          </w:tcPr>
          <w:p>
            <w:pPr>
              <w:spacing w:after="40"/>
            </w:pPr>
            <w:r/>
            <w:r>
              <w:rPr>
                <w:b/>
                <w:sz w:val="18"/>
              </w:rPr>
              <w:t>Unicité</w:t>
            </w:r>
          </w:p>
        </w:tc>
        <w:tc>
          <w:tcPr>
            <w:tcW w:type="dxa" w:w="3345"/>
          </w:tcPr>
          <w:p>
            <w:pPr>
              <w:spacing w:after="40"/>
            </w:pPr>
            <w:r/>
            <w:r>
              <w:rPr>
                <w:b/>
                <w:sz w:val="18"/>
              </w:rPr>
              <w:t>Relation / usage</w:t>
            </w:r>
          </w:p>
        </w:tc>
      </w:tr>
      <w:tr>
        <w:tc>
          <w:tcPr>
            <w:tcW w:type="dxa" w:w="1474"/>
          </w:tcPr>
          <w:p>
            <w:pPr>
              <w:spacing w:after="40"/>
            </w:pPr>
            <w:r/>
            <w:r>
              <w:rPr>
                <w:sz w:val="18"/>
              </w:rPr>
              <w:t>Identifiant</w:t>
            </w:r>
          </w:p>
        </w:tc>
        <w:tc>
          <w:tcPr>
            <w:tcW w:type="dxa" w:w="1474"/>
          </w:tcPr>
          <w:p>
            <w:pPr>
              <w:spacing w:after="40"/>
            </w:pPr>
            <w:r/>
            <w:r>
              <w:rPr>
                <w:sz w:val="18"/>
              </w:rPr>
              <w:t>Entier auto-incrémenté</w:t>
            </w:r>
          </w:p>
        </w:tc>
        <w:tc>
          <w:tcPr>
            <w:tcW w:type="dxa" w:w="624"/>
          </w:tcPr>
          <w:p>
            <w:pPr>
              <w:spacing w:after="40"/>
            </w:pPr>
            <w:r/>
            <w:r>
              <w:rPr>
                <w:sz w:val="18"/>
              </w:rPr>
              <w:t>oui</w:t>
            </w:r>
          </w:p>
        </w:tc>
        <w:tc>
          <w:tcPr>
            <w:tcW w:type="dxa" w:w="1871"/>
          </w:tcPr>
          <w:p>
            <w:pPr>
              <w:spacing w:after="40"/>
            </w:pPr>
            <w:r/>
            <w:r>
              <w:rPr>
                <w:sz w:val="18"/>
              </w:rPr>
              <w:t>Attribué par la base</w:t>
            </w:r>
          </w:p>
        </w:tc>
        <w:tc>
          <w:tcPr>
            <w:tcW w:type="dxa" w:w="850"/>
          </w:tcPr>
          <w:p>
            <w:pPr>
              <w:spacing w:after="40"/>
            </w:pPr>
            <w:r/>
            <w:r>
              <w:rPr>
                <w:sz w:val="18"/>
              </w:rPr>
              <w:t>Clé primaire</w:t>
            </w:r>
          </w:p>
        </w:tc>
        <w:tc>
          <w:tcPr>
            <w:tcW w:type="dxa" w:w="3345"/>
          </w:tcPr>
          <w:p>
            <w:pPr>
              <w:spacing w:after="40"/>
            </w:pPr>
            <w:r/>
            <w:r>
              <w:rPr>
                <w:sz w:val="18"/>
              </w:rPr>
              <w:t>Référence de toutes les opérations</w:t>
            </w:r>
          </w:p>
        </w:tc>
      </w:tr>
      <w:tr>
        <w:tc>
          <w:tcPr>
            <w:tcW w:type="dxa" w:w="1474"/>
          </w:tcPr>
          <w:p>
            <w:pPr>
              <w:spacing w:after="40"/>
            </w:pPr>
            <w:r/>
            <w:r>
              <w:rPr>
                <w:sz w:val="18"/>
              </w:rPr>
              <w:t>Nom du document</w:t>
            </w:r>
          </w:p>
        </w:tc>
        <w:tc>
          <w:tcPr>
            <w:tcW w:type="dxa" w:w="1474"/>
          </w:tcPr>
          <w:p>
            <w:pPr>
              <w:spacing w:after="40"/>
            </w:pPr>
            <w:r/>
            <w:r>
              <w:rPr>
                <w:sz w:val="18"/>
              </w:rPr>
              <w:t>Texte, 255 caractères</w:t>
            </w:r>
          </w:p>
        </w:tc>
        <w:tc>
          <w:tcPr>
            <w:tcW w:type="dxa" w:w="624"/>
          </w:tcPr>
          <w:p>
            <w:pPr>
              <w:spacing w:after="40"/>
            </w:pPr>
            <w:r/>
            <w:r>
              <w:rPr>
                <w:sz w:val="18"/>
              </w:rPr>
              <w:t>oui</w:t>
            </w:r>
          </w:p>
        </w:tc>
        <w:tc>
          <w:tcPr>
            <w:tcW w:type="dxa" w:w="1871"/>
          </w:tcPr>
          <w:p>
            <w:pPr>
              <w:spacing w:after="40"/>
            </w:pPr>
            <w:r/>
            <w:r>
              <w:rPr>
                <w:sz w:val="18"/>
              </w:rPr>
              <w:t>Nom du fichier déposé, extension retirée</w:t>
            </w:r>
          </w:p>
        </w:tc>
        <w:tc>
          <w:tcPr>
            <w:tcW w:type="dxa" w:w="850"/>
          </w:tcPr>
          <w:p>
            <w:pPr>
              <w:spacing w:after="40"/>
            </w:pPr>
            <w:r/>
            <w:r>
              <w:rPr>
                <w:sz w:val="18"/>
              </w:rPr>
              <w:t>non</w:t>
            </w:r>
          </w:p>
        </w:tc>
        <w:tc>
          <w:tcPr>
            <w:tcW w:type="dxa" w:w="3345"/>
          </w:tcPr>
          <w:p>
            <w:pPr>
              <w:spacing w:after="40"/>
            </w:pPr>
            <w:r/>
            <w:r>
              <w:rPr>
                <w:sz w:val="18"/>
              </w:rPr>
              <w:t>Affiché en première colonne ; sert aussi de nom de téléchargement</w:t>
            </w:r>
          </w:p>
        </w:tc>
      </w:tr>
      <w:tr>
        <w:tc>
          <w:tcPr>
            <w:tcW w:type="dxa" w:w="1474"/>
          </w:tcPr>
          <w:p>
            <w:pPr>
              <w:spacing w:after="40"/>
            </w:pPr>
            <w:r/>
            <w:r>
              <w:rPr>
                <w:sz w:val="18"/>
              </w:rPr>
              <w:t>Espace de travail</w:t>
            </w:r>
          </w:p>
        </w:tc>
        <w:tc>
          <w:tcPr>
            <w:tcW w:type="dxa" w:w="1474"/>
          </w:tcPr>
          <w:p>
            <w:pPr>
              <w:spacing w:after="40"/>
            </w:pPr>
            <w:r/>
            <w:r>
              <w:rPr>
                <w:sz w:val="18"/>
              </w:rPr>
              <w:t>Référence</w:t>
            </w:r>
          </w:p>
        </w:tc>
        <w:tc>
          <w:tcPr>
            <w:tcW w:type="dxa" w:w="624"/>
          </w:tcPr>
          <w:p>
            <w:pPr>
              <w:spacing w:after="40"/>
            </w:pPr>
            <w:r/>
            <w:r>
              <w:rPr>
                <w:sz w:val="18"/>
              </w:rPr>
              <w:t>oui</w:t>
            </w:r>
          </w:p>
        </w:tc>
        <w:tc>
          <w:tcPr>
            <w:tcW w:type="dxa" w:w="1871"/>
          </w:tcPr>
          <w:p>
            <w:pPr>
              <w:spacing w:after="40"/>
            </w:pPr>
            <w:r/>
            <w:r>
              <w:rPr>
                <w:sz w:val="18"/>
              </w:rPr>
              <w:t>Celui du type de document choisi</w:t>
            </w:r>
          </w:p>
        </w:tc>
        <w:tc>
          <w:tcPr>
            <w:tcW w:type="dxa" w:w="850"/>
          </w:tcPr>
          <w:p>
            <w:pPr>
              <w:spacing w:after="40"/>
            </w:pPr>
            <w:r/>
            <w:r>
              <w:rPr>
                <w:sz w:val="18"/>
              </w:rPr>
              <w:t>non</w:t>
            </w:r>
          </w:p>
        </w:tc>
        <w:tc>
          <w:tcPr>
            <w:tcW w:type="dxa" w:w="3345"/>
          </w:tcPr>
          <w:p>
            <w:pPr>
              <w:spacing w:after="40"/>
            </w:pPr>
            <w:r/>
            <w:r>
              <w:rPr>
                <w:sz w:val="18"/>
              </w:rPr>
              <w:t>Vers work_spaces ; détermine le sous-répertoire de stockage et le circuit</w:t>
            </w:r>
          </w:p>
        </w:tc>
      </w:tr>
      <w:tr>
        <w:tc>
          <w:tcPr>
            <w:tcW w:type="dxa" w:w="1474"/>
          </w:tcPr>
          <w:p>
            <w:pPr>
              <w:spacing w:after="40"/>
            </w:pPr>
            <w:r/>
            <w:r>
              <w:rPr>
                <w:sz w:val="18"/>
              </w:rPr>
              <w:t>Type de document</w:t>
            </w:r>
          </w:p>
        </w:tc>
        <w:tc>
          <w:tcPr>
            <w:tcW w:type="dxa" w:w="1474"/>
          </w:tcPr>
          <w:p>
            <w:pPr>
              <w:spacing w:after="40"/>
            </w:pPr>
            <w:r/>
            <w:r>
              <w:rPr>
                <w:sz w:val="18"/>
              </w:rPr>
              <w:t>Référence</w:t>
            </w:r>
          </w:p>
        </w:tc>
        <w:tc>
          <w:tcPr>
            <w:tcW w:type="dxa" w:w="624"/>
          </w:tcPr>
          <w:p>
            <w:pPr>
              <w:spacing w:after="40"/>
            </w:pPr>
            <w:r/>
            <w:r>
              <w:rPr>
                <w:sz w:val="18"/>
              </w:rPr>
              <w:t>oui</w:t>
            </w:r>
          </w:p>
        </w:tc>
        <w:tc>
          <w:tcPr>
            <w:tcW w:type="dxa" w:w="1871"/>
          </w:tcPr>
          <w:p>
            <w:pPr>
              <w:spacing w:after="40"/>
            </w:pPr>
            <w:r/>
            <w:r>
              <w:rPr>
                <w:sz w:val="18"/>
              </w:rPr>
              <w:t>Aucune</w:t>
            </w:r>
          </w:p>
        </w:tc>
        <w:tc>
          <w:tcPr>
            <w:tcW w:type="dxa" w:w="850"/>
          </w:tcPr>
          <w:p>
            <w:pPr>
              <w:spacing w:after="40"/>
            </w:pPr>
            <w:r/>
            <w:r>
              <w:rPr>
                <w:sz w:val="18"/>
              </w:rPr>
              <w:t>non</w:t>
            </w:r>
          </w:p>
        </w:tc>
        <w:tc>
          <w:tcPr>
            <w:tcW w:type="dxa" w:w="3345"/>
          </w:tcPr>
          <w:p>
            <w:pPr>
              <w:spacing w:after="40"/>
            </w:pPr>
            <w:r/>
            <w:r>
              <w:rPr>
                <w:sz w:val="18"/>
              </w:rPr>
              <w:t>Vers type_de_documents ; porte les formats acceptés, la taille maximale et le plan</w:t>
            </w:r>
          </w:p>
        </w:tc>
      </w:tr>
      <w:tr>
        <w:tc>
          <w:tcPr>
            <w:tcW w:type="dxa" w:w="1474"/>
          </w:tcPr>
          <w:p>
            <w:pPr>
              <w:spacing w:after="40"/>
            </w:pPr>
            <w:r/>
            <w:r>
              <w:rPr>
                <w:sz w:val="18"/>
              </w:rPr>
              <w:t>Nom du fichier d'origine</w:t>
            </w:r>
          </w:p>
        </w:tc>
        <w:tc>
          <w:tcPr>
            <w:tcW w:type="dxa" w:w="1474"/>
          </w:tcPr>
          <w:p>
            <w:pPr>
              <w:spacing w:after="40"/>
            </w:pPr>
            <w:r/>
            <w:r>
              <w:rPr>
                <w:sz w:val="18"/>
              </w:rPr>
              <w:t>Texte, 255</w:t>
            </w:r>
          </w:p>
        </w:tc>
        <w:tc>
          <w:tcPr>
            <w:tcW w:type="dxa" w:w="624"/>
          </w:tcPr>
          <w:p>
            <w:pPr>
              <w:spacing w:after="40"/>
            </w:pPr>
            <w:r/>
            <w:r>
              <w:rPr>
                <w:sz w:val="18"/>
              </w:rPr>
              <w:t>non</w:t>
            </w:r>
          </w:p>
        </w:tc>
        <w:tc>
          <w:tcPr>
            <w:tcW w:type="dxa" w:w="1871"/>
          </w:tcPr>
          <w:p>
            <w:pPr>
              <w:spacing w:after="40"/>
            </w:pPr>
            <w:r/>
            <w:r>
              <w:rPr>
                <w:sz w:val="18"/>
              </w:rPr>
              <w:t>Nom transmis, sinon « document »</w:t>
            </w:r>
          </w:p>
        </w:tc>
        <w:tc>
          <w:tcPr>
            <w:tcW w:type="dxa" w:w="850"/>
          </w:tcPr>
          <w:p>
            <w:pPr>
              <w:spacing w:after="40"/>
            </w:pPr>
            <w:r/>
            <w:r>
              <w:rPr>
                <w:sz w:val="18"/>
              </w:rPr>
              <w:t>non</w:t>
            </w:r>
          </w:p>
        </w:tc>
        <w:tc>
          <w:tcPr>
            <w:tcW w:type="dxa" w:w="3345"/>
          </w:tcPr>
          <w:p>
            <w:pPr>
              <w:spacing w:after="40"/>
            </w:pPr>
            <w:r/>
            <w:r>
              <w:rPr>
                <w:sz w:val="18"/>
              </w:rPr>
              <w:t>Conservé pour l'affichage ; suit la version principale</w:t>
            </w:r>
          </w:p>
        </w:tc>
      </w:tr>
      <w:tr>
        <w:tc>
          <w:tcPr>
            <w:tcW w:type="dxa" w:w="1474"/>
          </w:tcPr>
          <w:p>
            <w:pPr>
              <w:spacing w:after="40"/>
            </w:pPr>
            <w:r/>
            <w:r>
              <w:rPr>
                <w:sz w:val="18"/>
              </w:rPr>
              <w:t>Chemin de stockage</w:t>
            </w:r>
          </w:p>
        </w:tc>
        <w:tc>
          <w:tcPr>
            <w:tcW w:type="dxa" w:w="1474"/>
          </w:tcPr>
          <w:p>
            <w:pPr>
              <w:spacing w:after="40"/>
            </w:pPr>
            <w:r/>
            <w:r>
              <w:rPr>
                <w:sz w:val="18"/>
              </w:rPr>
              <w:t>Texte, 255</w:t>
            </w:r>
          </w:p>
        </w:tc>
        <w:tc>
          <w:tcPr>
            <w:tcW w:type="dxa" w:w="624"/>
          </w:tcPr>
          <w:p>
            <w:pPr>
              <w:spacing w:after="40"/>
            </w:pPr>
            <w:r/>
            <w:r>
              <w:rPr>
                <w:sz w:val="18"/>
              </w:rPr>
              <w:t>non</w:t>
            </w:r>
          </w:p>
        </w:tc>
        <w:tc>
          <w:tcPr>
            <w:tcW w:type="dxa" w:w="1871"/>
          </w:tcPr>
          <w:p>
            <w:pPr>
              <w:spacing w:after="40"/>
            </w:pPr>
            <w:r/>
            <w:r>
              <w:rPr>
                <w:sz w:val="18"/>
              </w:rPr>
              <w:t>{identifiant d'espace}/{identifiant unique}.{extension}</w:t>
            </w:r>
          </w:p>
        </w:tc>
        <w:tc>
          <w:tcPr>
            <w:tcW w:type="dxa" w:w="850"/>
          </w:tcPr>
          <w:p>
            <w:pPr>
              <w:spacing w:after="40"/>
            </w:pPr>
            <w:r/>
            <w:r>
              <w:rPr>
                <w:sz w:val="18"/>
              </w:rPr>
              <w:t>de fait</w:t>
            </w:r>
          </w:p>
        </w:tc>
        <w:tc>
          <w:tcPr>
            <w:tcW w:type="dxa" w:w="3345"/>
          </w:tcPr>
          <w:p>
            <w:pPr>
              <w:spacing w:after="40"/>
            </w:pPr>
            <w:r/>
            <w:r>
              <w:rPr>
                <w:sz w:val="18"/>
              </w:rPr>
              <w:t>Chemin relatif à la racine de stockage ; suit la version principale</w:t>
            </w:r>
          </w:p>
        </w:tc>
      </w:tr>
      <w:tr>
        <w:tc>
          <w:tcPr>
            <w:tcW w:type="dxa" w:w="1474"/>
          </w:tcPr>
          <w:p>
            <w:pPr>
              <w:spacing w:after="40"/>
            </w:pPr>
            <w:r/>
            <w:r>
              <w:rPr>
                <w:sz w:val="18"/>
              </w:rPr>
              <w:t>Extension</w:t>
            </w:r>
          </w:p>
        </w:tc>
        <w:tc>
          <w:tcPr>
            <w:tcW w:type="dxa" w:w="1474"/>
          </w:tcPr>
          <w:p>
            <w:pPr>
              <w:spacing w:after="40"/>
            </w:pPr>
            <w:r/>
            <w:r>
              <w:rPr>
                <w:sz w:val="18"/>
              </w:rPr>
              <w:t>Texte, 255</w:t>
            </w:r>
          </w:p>
        </w:tc>
        <w:tc>
          <w:tcPr>
            <w:tcW w:type="dxa" w:w="624"/>
          </w:tcPr>
          <w:p>
            <w:pPr>
              <w:spacing w:after="40"/>
            </w:pPr>
            <w:r/>
            <w:r>
              <w:rPr>
                <w:sz w:val="18"/>
              </w:rPr>
              <w:t>non</w:t>
            </w:r>
          </w:p>
        </w:tc>
        <w:tc>
          <w:tcPr>
            <w:tcW w:type="dxa" w:w="1871"/>
          </w:tcPr>
          <w:p>
            <w:pPr>
              <w:spacing w:after="40"/>
            </w:pPr>
            <w:r/>
            <w:r>
              <w:rPr>
                <w:sz w:val="18"/>
              </w:rPr>
              <w:t>Déduite du nom de fichier</w:t>
            </w:r>
          </w:p>
        </w:tc>
        <w:tc>
          <w:tcPr>
            <w:tcW w:type="dxa" w:w="850"/>
          </w:tcPr>
          <w:p>
            <w:pPr>
              <w:spacing w:after="40"/>
            </w:pPr>
            <w:r/>
            <w:r>
              <w:rPr>
                <w:sz w:val="18"/>
              </w:rPr>
              <w:t>non</w:t>
            </w:r>
          </w:p>
        </w:tc>
        <w:tc>
          <w:tcPr>
            <w:tcW w:type="dxa" w:w="3345"/>
          </w:tcPr>
          <w:p>
            <w:pPr>
              <w:spacing w:after="40"/>
            </w:pPr>
            <w:r/>
            <w:r>
              <w:rPr>
                <w:sz w:val="18"/>
              </w:rPr>
              <w:t>Recomposition du nom au téléchargement</w:t>
            </w:r>
          </w:p>
        </w:tc>
      </w:tr>
      <w:tr>
        <w:tc>
          <w:tcPr>
            <w:tcW w:type="dxa" w:w="1474"/>
          </w:tcPr>
          <w:p>
            <w:pPr>
              <w:spacing w:after="40"/>
            </w:pPr>
            <w:r/>
            <w:r>
              <w:rPr>
                <w:sz w:val="18"/>
              </w:rPr>
              <w:t>Taille</w:t>
            </w:r>
          </w:p>
        </w:tc>
        <w:tc>
          <w:tcPr>
            <w:tcW w:type="dxa" w:w="1474"/>
          </w:tcPr>
          <w:p>
            <w:pPr>
              <w:spacing w:after="40"/>
            </w:pPr>
            <w:r/>
            <w:r>
              <w:rPr>
                <w:sz w:val="18"/>
              </w:rPr>
              <w:t>Entier (kilo-octets)</w:t>
            </w:r>
          </w:p>
        </w:tc>
        <w:tc>
          <w:tcPr>
            <w:tcW w:type="dxa" w:w="624"/>
          </w:tcPr>
          <w:p>
            <w:pPr>
              <w:spacing w:after="40"/>
            </w:pPr>
            <w:r/>
            <w:r>
              <w:rPr>
                <w:sz w:val="18"/>
              </w:rPr>
              <w:t>non</w:t>
            </w:r>
          </w:p>
        </w:tc>
        <w:tc>
          <w:tcPr>
            <w:tcW w:type="dxa" w:w="1871"/>
          </w:tcPr>
          <w:p>
            <w:pPr>
              <w:spacing w:after="40"/>
            </w:pPr>
            <w:r/>
            <w:r>
              <w:rPr>
                <w:sz w:val="18"/>
              </w:rPr>
              <w:t>Taille du fichier divisée par 1024</w:t>
            </w:r>
          </w:p>
        </w:tc>
        <w:tc>
          <w:tcPr>
            <w:tcW w:type="dxa" w:w="850"/>
          </w:tcPr>
          <w:p>
            <w:pPr>
              <w:spacing w:after="40"/>
            </w:pPr>
            <w:r/>
            <w:r>
              <w:rPr>
                <w:sz w:val="18"/>
              </w:rPr>
              <w:t>non</w:t>
            </w:r>
          </w:p>
        </w:tc>
        <w:tc>
          <w:tcPr>
            <w:tcW w:type="dxa" w:w="3345"/>
          </w:tcPr>
          <w:p>
            <w:pPr>
              <w:spacing w:after="40"/>
            </w:pPr>
            <w:r/>
            <w:r>
              <w:rPr>
                <w:sz w:val="18"/>
              </w:rPr>
              <w:t>Affichée en unité lisible : « Ko » sous 1024, « Mo » à une décimale au-delà</w:t>
            </w:r>
          </w:p>
        </w:tc>
      </w:tr>
      <w:tr>
        <w:tc>
          <w:tcPr>
            <w:tcW w:type="dxa" w:w="1474"/>
          </w:tcPr>
          <w:p>
            <w:pPr>
              <w:spacing w:after="40"/>
            </w:pPr>
            <w:r/>
            <w:r>
              <w:rPr>
                <w:sz w:val="18"/>
              </w:rPr>
              <w:t>Date d'expiration</w:t>
            </w:r>
          </w:p>
        </w:tc>
        <w:tc>
          <w:tcPr>
            <w:tcW w:type="dxa" w:w="1474"/>
          </w:tcPr>
          <w:p>
            <w:pPr>
              <w:spacing w:after="40"/>
            </w:pPr>
            <w:r/>
            <w:r>
              <w:rPr>
                <w:sz w:val="18"/>
              </w:rPr>
              <w:t>Date</w:t>
            </w:r>
          </w:p>
        </w:tc>
        <w:tc>
          <w:tcPr>
            <w:tcW w:type="dxa" w:w="624"/>
          </w:tcPr>
          <w:p>
            <w:pPr>
              <w:spacing w:after="40"/>
            </w:pPr>
            <w:r/>
            <w:r>
              <w:rPr>
                <w:sz w:val="18"/>
              </w:rPr>
              <w:t>non</w:t>
            </w:r>
          </w:p>
        </w:tc>
        <w:tc>
          <w:tcPr>
            <w:tcW w:type="dxa" w:w="1871"/>
          </w:tcPr>
          <w:p>
            <w:pPr>
              <w:spacing w:after="40"/>
            </w:pPr>
            <w:r/>
            <w:r>
              <w:rPr>
                <w:sz w:val="18"/>
              </w:rPr>
              <w:t>Vide</w:t>
            </w:r>
          </w:p>
        </w:tc>
        <w:tc>
          <w:tcPr>
            <w:tcW w:type="dxa" w:w="850"/>
          </w:tcPr>
          <w:p>
            <w:pPr>
              <w:spacing w:after="40"/>
            </w:pPr>
            <w:r/>
            <w:r>
              <w:rPr>
                <w:sz w:val="18"/>
              </w:rPr>
              <w:t>non</w:t>
            </w:r>
          </w:p>
        </w:tc>
        <w:tc>
          <w:tcPr>
            <w:tcW w:type="dxa" w:w="3345"/>
          </w:tcPr>
          <w:p>
            <w:pPr>
              <w:spacing w:after="40"/>
            </w:pPr>
            <w:r/>
            <w:r>
              <w:rPr>
                <w:sz w:val="18"/>
              </w:rPr>
              <w:t>Colonne affichée et triable ; aucune conséquence automatique</w:t>
            </w:r>
          </w:p>
        </w:tc>
      </w:tr>
      <w:tr>
        <w:tc>
          <w:tcPr>
            <w:tcW w:type="dxa" w:w="1474"/>
          </w:tcPr>
          <w:p>
            <w:pPr>
              <w:spacing w:after="40"/>
            </w:pPr>
            <w:r/>
            <w:r>
              <w:rPr>
                <w:sz w:val="18"/>
              </w:rPr>
              <w:t>Référence composée</w:t>
            </w:r>
          </w:p>
        </w:tc>
        <w:tc>
          <w:tcPr>
            <w:tcW w:type="dxa" w:w="1474"/>
          </w:tcPr>
          <w:p>
            <w:pPr>
              <w:spacing w:after="40"/>
            </w:pPr>
            <w:r/>
            <w:r>
              <w:rPr>
                <w:sz w:val="18"/>
              </w:rPr>
              <w:t>Texte, 255</w:t>
            </w:r>
          </w:p>
        </w:tc>
        <w:tc>
          <w:tcPr>
            <w:tcW w:type="dxa" w:w="624"/>
          </w:tcPr>
          <w:p>
            <w:pPr>
              <w:spacing w:after="40"/>
            </w:pPr>
            <w:r/>
            <w:r>
              <w:rPr>
                <w:sz w:val="18"/>
              </w:rPr>
              <w:t>non</w:t>
            </w:r>
          </w:p>
        </w:tc>
        <w:tc>
          <w:tcPr>
            <w:tcW w:type="dxa" w:w="1871"/>
          </w:tcPr>
          <w:p>
            <w:pPr>
              <w:spacing w:after="40"/>
            </w:pPr>
            <w:r/>
            <w:r>
              <w:rPr>
                <w:sz w:val="18"/>
              </w:rPr>
              <w:t>Vide</w:t>
            </w:r>
          </w:p>
        </w:tc>
        <w:tc>
          <w:tcPr>
            <w:tcW w:type="dxa" w:w="850"/>
          </w:tcPr>
          <w:p>
            <w:pPr>
              <w:spacing w:after="40"/>
            </w:pPr>
            <w:r/>
            <w:r>
              <w:rPr>
                <w:sz w:val="18"/>
              </w:rPr>
              <w:t>non</w:t>
            </w:r>
          </w:p>
        </w:tc>
        <w:tc>
          <w:tcPr>
            <w:tcW w:type="dxa" w:w="3345"/>
          </w:tcPr>
          <w:p>
            <w:pPr>
              <w:spacing w:after="40"/>
            </w:pPr>
            <w:r/>
            <w:r>
              <w:rPr>
                <w:sz w:val="18"/>
              </w:rPr>
              <w:t>Écrite par le module d'indexation seulement, après confirmation de l'opérateur</w:t>
            </w:r>
          </w:p>
        </w:tc>
      </w:tr>
      <w:tr>
        <w:tc>
          <w:tcPr>
            <w:tcW w:type="dxa" w:w="1474"/>
          </w:tcPr>
          <w:p>
            <w:pPr>
              <w:spacing w:after="40"/>
            </w:pPr>
            <w:r/>
            <w:r>
              <w:rPr>
                <w:sz w:val="18"/>
              </w:rPr>
              <w:t>Actif</w:t>
            </w:r>
          </w:p>
        </w:tc>
        <w:tc>
          <w:tcPr>
            <w:tcW w:type="dxa" w:w="1474"/>
          </w:tcPr>
          <w:p>
            <w:pPr>
              <w:spacing w:after="40"/>
            </w:pPr>
            <w:r/>
            <w:r>
              <w:rPr>
                <w:sz w:val="18"/>
              </w:rPr>
              <w:t>Booléen</w:t>
            </w:r>
          </w:p>
        </w:tc>
        <w:tc>
          <w:tcPr>
            <w:tcW w:type="dxa" w:w="624"/>
          </w:tcPr>
          <w:p>
            <w:pPr>
              <w:spacing w:after="40"/>
            </w:pPr>
            <w:r/>
            <w:r>
              <w:rPr>
                <w:sz w:val="18"/>
              </w:rPr>
              <w:t>oui</w:t>
            </w:r>
          </w:p>
        </w:tc>
        <w:tc>
          <w:tcPr>
            <w:tcW w:type="dxa" w:w="1871"/>
          </w:tcPr>
          <w:p>
            <w:pPr>
              <w:spacing w:after="40"/>
            </w:pPr>
            <w:r/>
            <w:r>
              <w:rPr>
                <w:sz w:val="18"/>
              </w:rPr>
              <w:t>Vrai ; mis à faux dès qu'un circuit s'ouvre</w:t>
            </w:r>
          </w:p>
        </w:tc>
        <w:tc>
          <w:tcPr>
            <w:tcW w:type="dxa" w:w="850"/>
          </w:tcPr>
          <w:p>
            <w:pPr>
              <w:spacing w:after="40"/>
            </w:pPr>
            <w:r/>
            <w:r>
              <w:rPr>
                <w:sz w:val="18"/>
              </w:rPr>
              <w:t>non</w:t>
            </w:r>
          </w:p>
        </w:tc>
        <w:tc>
          <w:tcPr>
            <w:tcW w:type="dxa" w:w="3345"/>
          </w:tcPr>
          <w:p>
            <w:pPr>
              <w:spacing w:after="40"/>
            </w:pPr>
            <w:r/>
            <w:r>
              <w:rPr>
                <w:sz w:val="18"/>
              </w:rPr>
              <w:t>Piloté par le module de signature, jamais par l'écran des documents</w:t>
            </w:r>
          </w:p>
        </w:tc>
      </w:tr>
      <w:tr>
        <w:tc>
          <w:tcPr>
            <w:tcW w:type="dxa" w:w="1474"/>
          </w:tcPr>
          <w:p>
            <w:pPr>
              <w:spacing w:after="40"/>
            </w:pPr>
            <w:r/>
            <w:r>
              <w:rPr>
                <w:sz w:val="18"/>
              </w:rPr>
              <w:t>Verrouillé</w:t>
            </w:r>
          </w:p>
        </w:tc>
        <w:tc>
          <w:tcPr>
            <w:tcW w:type="dxa" w:w="1474"/>
          </w:tcPr>
          <w:p>
            <w:pPr>
              <w:spacing w:after="40"/>
            </w:pPr>
            <w:r/>
            <w:r>
              <w:rPr>
                <w:sz w:val="18"/>
              </w:rPr>
              <w:t>Booléen</w:t>
            </w:r>
          </w:p>
        </w:tc>
        <w:tc>
          <w:tcPr>
            <w:tcW w:type="dxa" w:w="624"/>
          </w:tcPr>
          <w:p>
            <w:pPr>
              <w:spacing w:after="40"/>
            </w:pPr>
            <w:r/>
            <w:r>
              <w:rPr>
                <w:sz w:val="18"/>
              </w:rPr>
              <w:t>oui</w:t>
            </w:r>
          </w:p>
        </w:tc>
        <w:tc>
          <w:tcPr>
            <w:tcW w:type="dxa" w:w="1871"/>
          </w:tcPr>
          <w:p>
            <w:pPr>
              <w:spacing w:after="40"/>
            </w:pPr>
            <w:r/>
            <w:r>
              <w:rPr>
                <w:sz w:val="18"/>
              </w:rPr>
              <w:t>Faux (valeur par défaut posée au niveau SQL)</w:t>
            </w:r>
          </w:p>
        </w:tc>
        <w:tc>
          <w:tcPr>
            <w:tcW w:type="dxa" w:w="850"/>
          </w:tcPr>
          <w:p>
            <w:pPr>
              <w:spacing w:after="40"/>
            </w:pPr>
            <w:r/>
            <w:r>
              <w:rPr>
                <w:sz w:val="18"/>
              </w:rPr>
              <w:t>non</w:t>
            </w:r>
          </w:p>
        </w:tc>
        <w:tc>
          <w:tcPr>
            <w:tcW w:type="dxa" w:w="3345"/>
          </w:tcPr>
          <w:p>
            <w:pPr>
              <w:spacing w:after="40"/>
            </w:pPr>
            <w:r/>
            <w:r>
              <w:rPr>
                <w:sz w:val="18"/>
              </w:rPr>
              <w:t>État de protection contre l'écriture</w:t>
            </w:r>
          </w:p>
        </w:tc>
      </w:tr>
      <w:tr>
        <w:tc>
          <w:tcPr>
            <w:tcW w:type="dxa" w:w="1474"/>
          </w:tcPr>
          <w:p>
            <w:pPr>
              <w:spacing w:after="40"/>
            </w:pPr>
            <w:r/>
            <w:r>
              <w:rPr>
                <w:sz w:val="18"/>
              </w:rPr>
              <w:t>Corbeille</w:t>
            </w:r>
          </w:p>
        </w:tc>
        <w:tc>
          <w:tcPr>
            <w:tcW w:type="dxa" w:w="1474"/>
          </w:tcPr>
          <w:p>
            <w:pPr>
              <w:spacing w:after="40"/>
            </w:pPr>
            <w:r/>
            <w:r>
              <w:rPr>
                <w:sz w:val="18"/>
              </w:rPr>
              <w:t>Booléen</w:t>
            </w:r>
          </w:p>
        </w:tc>
        <w:tc>
          <w:tcPr>
            <w:tcW w:type="dxa" w:w="624"/>
          </w:tcPr>
          <w:p>
            <w:pPr>
              <w:spacing w:after="40"/>
            </w:pPr>
            <w:r/>
            <w:r>
              <w:rPr>
                <w:sz w:val="18"/>
              </w:rPr>
              <w:t>oui</w:t>
            </w:r>
          </w:p>
        </w:tc>
        <w:tc>
          <w:tcPr>
            <w:tcW w:type="dxa" w:w="1871"/>
          </w:tcPr>
          <w:p>
            <w:pPr>
              <w:spacing w:after="40"/>
            </w:pPr>
            <w:r/>
            <w:r>
              <w:rPr>
                <w:sz w:val="18"/>
              </w:rPr>
              <w:t>Faux</w:t>
            </w:r>
          </w:p>
        </w:tc>
        <w:tc>
          <w:tcPr>
            <w:tcW w:type="dxa" w:w="850"/>
          </w:tcPr>
          <w:p>
            <w:pPr>
              <w:spacing w:after="40"/>
            </w:pPr>
            <w:r/>
            <w:r>
              <w:rPr>
                <w:sz w:val="18"/>
              </w:rPr>
              <w:t>non</w:t>
            </w:r>
          </w:p>
        </w:tc>
        <w:tc>
          <w:tcPr>
            <w:tcW w:type="dxa" w:w="3345"/>
          </w:tcPr>
          <w:p>
            <w:pPr>
              <w:spacing w:after="40"/>
            </w:pPr>
            <w:r/>
            <w:r>
              <w:rPr>
                <w:sz w:val="18"/>
              </w:rPr>
              <w:t>Suppression réversible ; sépare le fonds vivant de l'archive</w:t>
            </w:r>
          </w:p>
        </w:tc>
      </w:tr>
      <w:tr>
        <w:tc>
          <w:tcPr>
            <w:tcW w:type="dxa" w:w="1474"/>
          </w:tcPr>
          <w:p>
            <w:pPr>
              <w:spacing w:after="40"/>
            </w:pPr>
            <w:r/>
            <w:r>
              <w:rPr>
                <w:sz w:val="18"/>
              </w:rPr>
              <w:t>Créateur</w:t>
            </w:r>
          </w:p>
        </w:tc>
        <w:tc>
          <w:tcPr>
            <w:tcW w:type="dxa" w:w="1474"/>
          </w:tcPr>
          <w:p>
            <w:pPr>
              <w:spacing w:after="40"/>
            </w:pPr>
            <w:r/>
            <w:r>
              <w:rPr>
                <w:sz w:val="18"/>
              </w:rPr>
              <w:t>Référence</w:t>
            </w:r>
          </w:p>
        </w:tc>
        <w:tc>
          <w:tcPr>
            <w:tcW w:type="dxa" w:w="624"/>
          </w:tcPr>
          <w:p>
            <w:pPr>
              <w:spacing w:after="40"/>
            </w:pPr>
            <w:r/>
            <w:r>
              <w:rPr>
                <w:sz w:val="18"/>
              </w:rPr>
              <w:t>non</w:t>
            </w:r>
          </w:p>
        </w:tc>
        <w:tc>
          <w:tcPr>
            <w:tcW w:type="dxa" w:w="1871"/>
          </w:tcPr>
          <w:p>
            <w:pPr>
              <w:spacing w:after="40"/>
            </w:pPr>
            <w:r/>
            <w:r>
              <w:rPr>
                <w:sz w:val="18"/>
              </w:rPr>
              <w:t>Employé porté par le jeton</w:t>
            </w:r>
          </w:p>
        </w:tc>
        <w:tc>
          <w:tcPr>
            <w:tcW w:type="dxa" w:w="850"/>
          </w:tcPr>
          <w:p>
            <w:pPr>
              <w:spacing w:after="40"/>
            </w:pPr>
            <w:r/>
            <w:r>
              <w:rPr>
                <w:sz w:val="18"/>
              </w:rPr>
              <w:t>non</w:t>
            </w:r>
          </w:p>
        </w:tc>
        <w:tc>
          <w:tcPr>
            <w:tcW w:type="dxa" w:w="3345"/>
          </w:tcPr>
          <w:p>
            <w:pPr>
              <w:spacing w:after="40"/>
            </w:pPr>
            <w:r/>
            <w:r>
              <w:rPr>
                <w:sz w:val="18"/>
              </w:rPr>
              <w:t>Vers employes ; alimente la colonne « Créateur » et le compteur du profil</w:t>
            </w:r>
          </w:p>
        </w:tc>
      </w:tr>
      <w:tr>
        <w:tc>
          <w:tcPr>
            <w:tcW w:type="dxa" w:w="1474"/>
          </w:tcPr>
          <w:p>
            <w:pPr>
              <w:spacing w:after="40"/>
            </w:pPr>
            <w:r/>
            <w:r>
              <w:rPr>
                <w:sz w:val="18"/>
              </w:rPr>
              <w:t>Étiquettes</w:t>
            </w:r>
          </w:p>
        </w:tc>
        <w:tc>
          <w:tcPr>
            <w:tcW w:type="dxa" w:w="1474"/>
          </w:tcPr>
          <w:p>
            <w:pPr>
              <w:spacing w:after="40"/>
            </w:pPr>
            <w:r/>
            <w:r>
              <w:rPr>
                <w:sz w:val="18"/>
              </w:rPr>
              <w:t>Relation multiple</w:t>
            </w:r>
          </w:p>
        </w:tc>
        <w:tc>
          <w:tcPr>
            <w:tcW w:type="dxa" w:w="624"/>
          </w:tcPr>
          <w:p>
            <w:pPr>
              <w:spacing w:after="40"/>
            </w:pPr>
            <w:r/>
            <w:r>
              <w:rPr>
                <w:sz w:val="18"/>
              </w:rPr>
              <w:t>non</w:t>
            </w:r>
          </w:p>
        </w:tc>
        <w:tc>
          <w:tcPr>
            <w:tcW w:type="dxa" w:w="1871"/>
          </w:tcPr>
          <w:p>
            <w:pPr>
              <w:spacing w:after="40"/>
            </w:pPr>
            <w:r/>
            <w:r>
              <w:rPr>
                <w:sz w:val="18"/>
              </w:rPr>
              <w:t>Aucune</w:t>
            </w:r>
          </w:p>
        </w:tc>
        <w:tc>
          <w:tcPr>
            <w:tcW w:type="dxa" w:w="850"/>
          </w:tcPr>
          <w:p>
            <w:pPr>
              <w:spacing w:after="40"/>
            </w:pPr>
            <w:r/>
            <w:r>
              <w:rPr>
                <w:sz w:val="18"/>
              </w:rPr>
              <w:t>Paire unique</w:t>
            </w:r>
          </w:p>
        </w:tc>
        <w:tc>
          <w:tcPr>
            <w:tcW w:type="dxa" w:w="3345"/>
          </w:tcPr>
          <w:p>
            <w:pPr>
              <w:spacing w:after="40"/>
            </w:pPr>
            <w:r/>
            <w:r>
              <w:rPr>
                <w:sz w:val="18"/>
              </w:rPr>
              <w:t>Vers etiquettes, par table de rattachement</w:t>
            </w:r>
          </w:p>
        </w:tc>
      </w:tr>
    </w:tbl>
    <w:p>
      <w:pPr>
        <w:spacing w:after="40"/>
      </w:pPr>
    </w:p>
    <w:p>
      <w:pPr>
        <w:pStyle w:val="Heading2"/>
        <w:spacing w:before="280" w:after="120"/>
      </w:pPr>
      <w:r>
        <w:t>2.2 Les versions du fichier</w:t>
      </w:r>
    </w:p>
    <w:p>
      <w:r>
        <w:rPr>
          <w:i w:val="0"/>
        </w:rPr>
        <w:t>Chaque fichier déposé sous un document donne une ligne dans la table document_versions. La version initiale est créée par le dépôt lui-même, avec l'observation « Version initiale » et le drapeau de version principale à vrai : sans elle, l'historique commencerait au deuxième versement et le fichier d'origine n'y figurerait jamais.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474"/>
          </w:tcPr>
          <w:p>
            <w:pPr>
              <w:spacing w:after="40"/>
            </w:pPr>
            <w:r/>
            <w:r>
              <w:rPr>
                <w:b/>
                <w:sz w:val="18"/>
              </w:rPr>
              <w:t>Nom métier</w:t>
            </w:r>
          </w:p>
        </w:tc>
        <w:tc>
          <w:tcPr>
            <w:tcW w:type="dxa" w:w="1474"/>
          </w:tcPr>
          <w:p>
            <w:pPr>
              <w:spacing w:after="40"/>
            </w:pPr>
            <w:r/>
            <w:r>
              <w:rPr>
                <w:b/>
                <w:sz w:val="18"/>
              </w:rPr>
              <w:t>Nature</w:t>
            </w:r>
          </w:p>
        </w:tc>
        <w:tc>
          <w:tcPr>
            <w:tcW w:type="dxa" w:w="624"/>
          </w:tcPr>
          <w:p>
            <w:pPr>
              <w:spacing w:after="40"/>
            </w:pPr>
            <w:r/>
            <w:r>
              <w:rPr>
                <w:b/>
                <w:sz w:val="18"/>
              </w:rPr>
              <w:t>Oblig.</w:t>
            </w:r>
          </w:p>
        </w:tc>
        <w:tc>
          <w:tcPr>
            <w:tcW w:type="dxa" w:w="2041"/>
          </w:tcPr>
          <w:p>
            <w:pPr>
              <w:spacing w:after="40"/>
            </w:pPr>
            <w:r/>
            <w:r>
              <w:rPr>
                <w:b/>
                <w:sz w:val="18"/>
              </w:rPr>
              <w:t>Valeur par défaut</w:t>
            </w:r>
          </w:p>
        </w:tc>
        <w:tc>
          <w:tcPr>
            <w:tcW w:type="dxa" w:w="4025"/>
          </w:tcPr>
          <w:p>
            <w:pPr>
              <w:spacing w:after="40"/>
            </w:pPr>
            <w:r/>
            <w:r>
              <w:rPr>
                <w:b/>
                <w:sz w:val="18"/>
              </w:rPr>
              <w:t>Relation / usage</w:t>
            </w:r>
          </w:p>
        </w:tc>
      </w:tr>
      <w:tr>
        <w:tc>
          <w:tcPr>
            <w:tcW w:type="dxa" w:w="1474"/>
          </w:tcPr>
          <w:p>
            <w:pPr>
              <w:spacing w:after="40"/>
            </w:pPr>
            <w:r/>
            <w:r>
              <w:rPr>
                <w:sz w:val="18"/>
              </w:rPr>
              <w:t>Identifiant</w:t>
            </w:r>
          </w:p>
        </w:tc>
        <w:tc>
          <w:tcPr>
            <w:tcW w:type="dxa" w:w="1474"/>
          </w:tcPr>
          <w:p>
            <w:pPr>
              <w:spacing w:after="40"/>
            </w:pPr>
            <w:r/>
            <w:r>
              <w:rPr>
                <w:sz w:val="18"/>
              </w:rPr>
              <w:t>Entier auto-incrémenté</w:t>
            </w:r>
          </w:p>
        </w:tc>
        <w:tc>
          <w:tcPr>
            <w:tcW w:type="dxa" w:w="624"/>
          </w:tcPr>
          <w:p>
            <w:pPr>
              <w:spacing w:after="40"/>
            </w:pPr>
            <w:r/>
            <w:r>
              <w:rPr>
                <w:sz w:val="18"/>
              </w:rPr>
              <w:t>oui</w:t>
            </w:r>
          </w:p>
        </w:tc>
        <w:tc>
          <w:tcPr>
            <w:tcW w:type="dxa" w:w="2041"/>
          </w:tcPr>
          <w:p>
            <w:pPr>
              <w:spacing w:after="40"/>
            </w:pPr>
            <w:r/>
            <w:r>
              <w:rPr>
                <w:sz w:val="18"/>
              </w:rPr>
              <w:t>Attribué par la base</w:t>
            </w:r>
          </w:p>
        </w:tc>
        <w:tc>
          <w:tcPr>
            <w:tcW w:type="dxa" w:w="4025"/>
          </w:tcPr>
          <w:p>
            <w:pPr>
              <w:spacing w:after="40"/>
            </w:pPr>
            <w:r/>
            <w:r>
              <w:rPr>
                <w:sz w:val="18"/>
              </w:rPr>
              <w:t>Cible du geste « désigner comme version principale »</w:t>
            </w:r>
          </w:p>
        </w:tc>
      </w:tr>
      <w:tr>
        <w:tc>
          <w:tcPr>
            <w:tcW w:type="dxa" w:w="1474"/>
          </w:tcPr>
          <w:p>
            <w:pPr>
              <w:spacing w:after="40"/>
            </w:pPr>
            <w:r/>
            <w:r>
              <w:rPr>
                <w:sz w:val="18"/>
              </w:rPr>
              <w:t>Document</w:t>
            </w:r>
          </w:p>
        </w:tc>
        <w:tc>
          <w:tcPr>
            <w:tcW w:type="dxa" w:w="1474"/>
          </w:tcPr>
          <w:p>
            <w:pPr>
              <w:spacing w:after="40"/>
            </w:pPr>
            <w:r/>
            <w:r>
              <w:rPr>
                <w:sz w:val="18"/>
              </w:rPr>
              <w:t>Référence</w:t>
            </w:r>
          </w:p>
        </w:tc>
        <w:tc>
          <w:tcPr>
            <w:tcW w:type="dxa" w:w="624"/>
          </w:tcPr>
          <w:p>
            <w:pPr>
              <w:spacing w:after="40"/>
            </w:pPr>
            <w:r/>
            <w:r>
              <w:rPr>
                <w:sz w:val="18"/>
              </w:rPr>
              <w:t>oui</w:t>
            </w:r>
          </w:p>
        </w:tc>
        <w:tc>
          <w:tcPr>
            <w:tcW w:type="dxa" w:w="2041"/>
          </w:tcPr>
          <w:p>
            <w:pPr>
              <w:spacing w:after="40"/>
            </w:pPr>
            <w:r/>
            <w:r>
              <w:rPr>
                <w:sz w:val="18"/>
              </w:rPr>
              <w:t>Aucune</w:t>
            </w:r>
          </w:p>
        </w:tc>
        <w:tc>
          <w:tcPr>
            <w:tcW w:type="dxa" w:w="4025"/>
          </w:tcPr>
          <w:p>
            <w:pPr>
              <w:spacing w:after="40"/>
            </w:pPr>
            <w:r/>
            <w:r>
              <w:rPr>
                <w:sz w:val="18"/>
              </w:rPr>
              <w:t>Vers documents_file ; suppression en cascade avec la fiche</w:t>
            </w:r>
          </w:p>
        </w:tc>
      </w:tr>
      <w:tr>
        <w:tc>
          <w:tcPr>
            <w:tcW w:type="dxa" w:w="1474"/>
          </w:tcPr>
          <w:p>
            <w:pPr>
              <w:spacing w:after="40"/>
            </w:pPr>
            <w:r/>
            <w:r>
              <w:rPr>
                <w:sz w:val="18"/>
              </w:rPr>
              <w:t>Nom du fichier</w:t>
            </w:r>
          </w:p>
        </w:tc>
        <w:tc>
          <w:tcPr>
            <w:tcW w:type="dxa" w:w="1474"/>
          </w:tcPr>
          <w:p>
            <w:pPr>
              <w:spacing w:after="40"/>
            </w:pPr>
            <w:r/>
            <w:r>
              <w:rPr>
                <w:sz w:val="18"/>
              </w:rPr>
              <w:t>Texte, 255</w:t>
            </w:r>
          </w:p>
        </w:tc>
        <w:tc>
          <w:tcPr>
            <w:tcW w:type="dxa" w:w="624"/>
          </w:tcPr>
          <w:p>
            <w:pPr>
              <w:spacing w:after="40"/>
            </w:pPr>
            <w:r/>
            <w:r>
              <w:rPr>
                <w:sz w:val="18"/>
              </w:rPr>
              <w:t>oui</w:t>
            </w:r>
          </w:p>
        </w:tc>
        <w:tc>
          <w:tcPr>
            <w:tcW w:type="dxa" w:w="2041"/>
          </w:tcPr>
          <w:p>
            <w:pPr>
              <w:spacing w:after="40"/>
            </w:pPr>
            <w:r/>
            <w:r>
              <w:rPr>
                <w:sz w:val="18"/>
              </w:rPr>
              <w:t>Nom transmis</w:t>
            </w:r>
          </w:p>
        </w:tc>
        <w:tc>
          <w:tcPr>
            <w:tcW w:type="dxa" w:w="4025"/>
          </w:tcPr>
          <w:p>
            <w:pPr>
              <w:spacing w:after="40"/>
            </w:pPr>
            <w:r/>
            <w:r>
              <w:rPr>
                <w:sz w:val="18"/>
              </w:rPr>
              <w:t>Affiché dans la liste des versions de la fiche</w:t>
            </w:r>
          </w:p>
        </w:tc>
      </w:tr>
      <w:tr>
        <w:tc>
          <w:tcPr>
            <w:tcW w:type="dxa" w:w="1474"/>
          </w:tcPr>
          <w:p>
            <w:pPr>
              <w:spacing w:after="40"/>
            </w:pPr>
            <w:r/>
            <w:r>
              <w:rPr>
                <w:sz w:val="18"/>
              </w:rPr>
              <w:t>Chemin de stockage</w:t>
            </w:r>
          </w:p>
        </w:tc>
        <w:tc>
          <w:tcPr>
            <w:tcW w:type="dxa" w:w="1474"/>
          </w:tcPr>
          <w:p>
            <w:pPr>
              <w:spacing w:after="40"/>
            </w:pPr>
            <w:r/>
            <w:r>
              <w:rPr>
                <w:sz w:val="18"/>
              </w:rPr>
              <w:t>Texte, 255</w:t>
            </w:r>
          </w:p>
        </w:tc>
        <w:tc>
          <w:tcPr>
            <w:tcW w:type="dxa" w:w="624"/>
          </w:tcPr>
          <w:p>
            <w:pPr>
              <w:spacing w:after="40"/>
            </w:pPr>
            <w:r/>
            <w:r>
              <w:rPr>
                <w:sz w:val="18"/>
              </w:rPr>
              <w:t>oui</w:t>
            </w:r>
          </w:p>
        </w:tc>
        <w:tc>
          <w:tcPr>
            <w:tcW w:type="dxa" w:w="2041"/>
          </w:tcPr>
          <w:p>
            <w:pPr>
              <w:spacing w:after="40"/>
            </w:pPr>
            <w:r/>
            <w:r>
              <w:rPr>
                <w:sz w:val="18"/>
              </w:rPr>
              <w:t>Généré au versement</w:t>
            </w:r>
          </w:p>
        </w:tc>
        <w:tc>
          <w:tcPr>
            <w:tcW w:type="dxa" w:w="4025"/>
          </w:tcPr>
          <w:p>
            <w:pPr>
              <w:spacing w:after="40"/>
            </w:pPr>
            <w:r/>
            <w:r>
              <w:rPr>
                <w:sz w:val="18"/>
              </w:rPr>
              <w:t>Emplacement propre à cette version, jamais réutilisé</w:t>
            </w:r>
          </w:p>
        </w:tc>
      </w:tr>
      <w:tr>
        <w:tc>
          <w:tcPr>
            <w:tcW w:type="dxa" w:w="1474"/>
          </w:tcPr>
          <w:p>
            <w:pPr>
              <w:spacing w:after="40"/>
            </w:pPr>
            <w:r/>
            <w:r>
              <w:rPr>
                <w:sz w:val="18"/>
              </w:rPr>
              <w:t>Extension</w:t>
            </w:r>
          </w:p>
        </w:tc>
        <w:tc>
          <w:tcPr>
            <w:tcW w:type="dxa" w:w="1474"/>
          </w:tcPr>
          <w:p>
            <w:pPr>
              <w:spacing w:after="40"/>
            </w:pPr>
            <w:r/>
            <w:r>
              <w:rPr>
                <w:sz w:val="18"/>
              </w:rPr>
              <w:t>Texte, 255</w:t>
            </w:r>
          </w:p>
        </w:tc>
        <w:tc>
          <w:tcPr>
            <w:tcW w:type="dxa" w:w="624"/>
          </w:tcPr>
          <w:p>
            <w:pPr>
              <w:spacing w:after="40"/>
            </w:pPr>
            <w:r/>
            <w:r>
              <w:rPr>
                <w:sz w:val="18"/>
              </w:rPr>
              <w:t>non</w:t>
            </w:r>
          </w:p>
        </w:tc>
        <w:tc>
          <w:tcPr>
            <w:tcW w:type="dxa" w:w="2041"/>
          </w:tcPr>
          <w:p>
            <w:pPr>
              <w:spacing w:after="40"/>
            </w:pPr>
            <w:r/>
            <w:r>
              <w:rPr>
                <w:sz w:val="18"/>
              </w:rPr>
              <w:t>Déduite du nom</w:t>
            </w:r>
          </w:p>
        </w:tc>
        <w:tc>
          <w:tcPr>
            <w:tcW w:type="dxa" w:w="4025"/>
          </w:tcPr>
          <w:p>
            <w:pPr>
              <w:spacing w:after="40"/>
            </w:pPr>
            <w:r/>
            <w:r>
              <w:rPr>
                <w:sz w:val="18"/>
              </w:rPr>
              <w:t>Recopiée sur la fiche à la promotion</w:t>
            </w:r>
          </w:p>
        </w:tc>
      </w:tr>
      <w:tr>
        <w:tc>
          <w:tcPr>
            <w:tcW w:type="dxa" w:w="1474"/>
          </w:tcPr>
          <w:p>
            <w:pPr>
              <w:spacing w:after="40"/>
            </w:pPr>
            <w:r/>
            <w:r>
              <w:rPr>
                <w:sz w:val="18"/>
              </w:rPr>
              <w:t>Taille</w:t>
            </w:r>
          </w:p>
        </w:tc>
        <w:tc>
          <w:tcPr>
            <w:tcW w:type="dxa" w:w="1474"/>
          </w:tcPr>
          <w:p>
            <w:pPr>
              <w:spacing w:after="40"/>
            </w:pPr>
            <w:r/>
            <w:r>
              <w:rPr>
                <w:sz w:val="18"/>
              </w:rPr>
              <w:t>Entier (kilo-octets)</w:t>
            </w:r>
          </w:p>
        </w:tc>
        <w:tc>
          <w:tcPr>
            <w:tcW w:type="dxa" w:w="624"/>
          </w:tcPr>
          <w:p>
            <w:pPr>
              <w:spacing w:after="40"/>
            </w:pPr>
            <w:r/>
            <w:r>
              <w:rPr>
                <w:sz w:val="18"/>
              </w:rPr>
              <w:t>non</w:t>
            </w:r>
          </w:p>
        </w:tc>
        <w:tc>
          <w:tcPr>
            <w:tcW w:type="dxa" w:w="2041"/>
          </w:tcPr>
          <w:p>
            <w:pPr>
              <w:spacing w:after="40"/>
            </w:pPr>
            <w:r/>
            <w:r>
              <w:rPr>
                <w:sz w:val="18"/>
              </w:rPr>
              <w:t>Taille divisée par 1024</w:t>
            </w:r>
          </w:p>
        </w:tc>
        <w:tc>
          <w:tcPr>
            <w:tcW w:type="dxa" w:w="4025"/>
          </w:tcPr>
          <w:p>
            <w:pPr>
              <w:spacing w:after="40"/>
            </w:pPr>
            <w:r/>
            <w:r>
              <w:rPr>
                <w:sz w:val="18"/>
              </w:rPr>
              <w:t>Affichage</w:t>
            </w:r>
          </w:p>
        </w:tc>
      </w:tr>
      <w:tr>
        <w:tc>
          <w:tcPr>
            <w:tcW w:type="dxa" w:w="1474"/>
          </w:tcPr>
          <w:p>
            <w:pPr>
              <w:spacing w:after="40"/>
            </w:pPr>
            <w:r/>
            <w:r>
              <w:rPr>
                <w:sz w:val="18"/>
              </w:rPr>
              <w:t>Observation</w:t>
            </w:r>
          </w:p>
        </w:tc>
        <w:tc>
          <w:tcPr>
            <w:tcW w:type="dxa" w:w="1474"/>
          </w:tcPr>
          <w:p>
            <w:pPr>
              <w:spacing w:after="40"/>
            </w:pPr>
            <w:r/>
            <w:r>
              <w:rPr>
                <w:sz w:val="18"/>
              </w:rPr>
              <w:t>Texte long</w:t>
            </w:r>
          </w:p>
        </w:tc>
        <w:tc>
          <w:tcPr>
            <w:tcW w:type="dxa" w:w="624"/>
          </w:tcPr>
          <w:p>
            <w:pPr>
              <w:spacing w:after="40"/>
            </w:pPr>
            <w:r/>
            <w:r>
              <w:rPr>
                <w:sz w:val="18"/>
              </w:rPr>
              <w:t>non</w:t>
            </w:r>
          </w:p>
        </w:tc>
        <w:tc>
          <w:tcPr>
            <w:tcW w:type="dxa" w:w="2041"/>
          </w:tcPr>
          <w:p>
            <w:pPr>
              <w:spacing w:after="40"/>
            </w:pPr>
            <w:r/>
            <w:r>
              <w:rPr>
                <w:sz w:val="18"/>
              </w:rPr>
              <w:t>Vide, sauf « Version initiale »</w:t>
            </w:r>
          </w:p>
        </w:tc>
        <w:tc>
          <w:tcPr>
            <w:tcW w:type="dxa" w:w="4025"/>
          </w:tcPr>
          <w:p>
            <w:pPr>
              <w:spacing w:after="40"/>
            </w:pPr>
            <w:r/>
            <w:r>
              <w:rPr>
                <w:sz w:val="18"/>
              </w:rPr>
              <w:t>Motif du versement, saisi par l'opérateur</w:t>
            </w:r>
          </w:p>
        </w:tc>
      </w:tr>
      <w:tr>
        <w:tc>
          <w:tcPr>
            <w:tcW w:type="dxa" w:w="1474"/>
          </w:tcPr>
          <w:p>
            <w:pPr>
              <w:spacing w:after="40"/>
            </w:pPr>
            <w:r/>
            <w:r>
              <w:rPr>
                <w:sz w:val="18"/>
              </w:rPr>
              <w:t>Version principale</w:t>
            </w:r>
          </w:p>
        </w:tc>
        <w:tc>
          <w:tcPr>
            <w:tcW w:type="dxa" w:w="1474"/>
          </w:tcPr>
          <w:p>
            <w:pPr>
              <w:spacing w:after="40"/>
            </w:pPr>
            <w:r/>
            <w:r>
              <w:rPr>
                <w:sz w:val="18"/>
              </w:rPr>
              <w:t>Booléen</w:t>
            </w:r>
          </w:p>
        </w:tc>
        <w:tc>
          <w:tcPr>
            <w:tcW w:type="dxa" w:w="624"/>
          </w:tcPr>
          <w:p>
            <w:pPr>
              <w:spacing w:after="40"/>
            </w:pPr>
            <w:r/>
            <w:r>
              <w:rPr>
                <w:sz w:val="18"/>
              </w:rPr>
              <w:t>oui</w:t>
            </w:r>
          </w:p>
        </w:tc>
        <w:tc>
          <w:tcPr>
            <w:tcW w:type="dxa" w:w="2041"/>
          </w:tcPr>
          <w:p>
            <w:pPr>
              <w:spacing w:after="40"/>
            </w:pPr>
            <w:r/>
            <w:r>
              <w:rPr>
                <w:sz w:val="18"/>
              </w:rPr>
              <w:t>Faux ; vrai à la création depuis le dépôt</w:t>
            </w:r>
          </w:p>
        </w:tc>
        <w:tc>
          <w:tcPr>
            <w:tcW w:type="dxa" w:w="4025"/>
          </w:tcPr>
          <w:p>
            <w:pPr>
              <w:spacing w:after="40"/>
            </w:pPr>
            <w:r/>
            <w:r>
              <w:rPr>
                <w:sz w:val="18"/>
              </w:rPr>
              <w:t>Une seule ligne à vrai par document ; désigne le fichier servi</w:t>
            </w:r>
          </w:p>
        </w:tc>
      </w:tr>
    </w:tbl>
    <w:p>
      <w:pPr>
        <w:spacing w:after="40"/>
      </w:pPr>
    </w:p>
    <w:p>
      <w:r>
        <w:rPr>
          <w:i w:val="0"/>
        </w:rPr>
        <w:t>La collection des versions est chargée avec la fiche et ordonnée par identifiant décroissant : la plus récente paraît en tête, ce qui correspond à la lecture attendue d'un historique.</w:t>
      </w:r>
    </w:p>
    <w:p>
      <w:pPr>
        <w:pStyle w:val="Heading2"/>
        <w:spacing w:before="280" w:after="120"/>
      </w:pPr>
      <w:r>
        <w:t>2.3 Le rattachement aux étiquettes</w:t>
      </w:r>
    </w:p>
    <w:p>
      <w:r>
        <w:rPr>
          <w:i w:val="0"/>
        </w:rPr>
        <w:t>Les étiquettes sont rattachées par une table de correspondance dont la clé primaire est la paire document / étiquette. La paire est donc unique par construction : poser deux fois la même étiquette est impossible. Le rattachement est chargé en même temps que la fiche, ce qui permet à la liste d'afficher les pastilles sans requête supplémentaire.</w:t>
      </w:r>
    </w:p>
    <w:p>
      <w:pPr>
        <w:pStyle w:val="Heading2"/>
        <w:spacing w:before="280" w:after="120"/>
      </w:pPr>
      <w:r>
        <w:t>2.4 Les colonnes d'audit</w:t>
      </w:r>
    </w:p>
    <w:p>
      <w:r>
        <w:rPr>
          <w:i w:val="0"/>
        </w:rPr>
        <w:t>Toutes les entités de l'application héritent de deux colonnes renseignées automatiquement : la date de création, non modifiable après la première écriture, et la date de dernière modification. La première alimente la colonne « Date de création » de la liste, l'ordre de tri par défaut et la courbe des dépôts du tableau de bord.</w:t>
      </w:r>
    </w:p>
    <w:p>
      <w:r>
        <w:br w:type="page"/>
      </w:r>
    </w:p>
    <w:p>
      <w:pPr>
        <w:pStyle w:val="Heading1"/>
        <w:spacing w:before="360" w:after="160"/>
      </w:pPr>
      <w:r>
        <w:t>3. Les relations</w:t>
      </w:r>
    </w:p>
    <w:p>
      <w:pPr>
        <w:pStyle w:val="Heading2"/>
        <w:spacing w:before="280" w:after="120"/>
      </w:pPr>
      <w:r>
        <w:t>3.1 Schéma des relations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TYPE DE DOCUMENT |</w:t>
      </w:r>
    </w:p>
    <w:p>
      <w:pPr>
        <w:spacing w:after="0" w:before="0" w:line="240" w:lineRule="auto"/>
      </w:pPr>
      <w:r>
        <w:rPr>
          <w:rFonts w:ascii="Consolas" w:hAnsi="Consolas" w:cs="Consolas" w:eastAsia="Consolas"/>
          <w:sz w:val="18"/>
        </w:rPr>
        <w:t xml:space="preserve">                        |  formats, taille max |</w:t>
      </w:r>
    </w:p>
    <w:p>
      <w:pPr>
        <w:spacing w:after="0" w:before="0" w:line="240" w:lineRule="auto"/>
      </w:pPr>
      <w:r>
        <w:rPr>
          <w:rFonts w:ascii="Consolas" w:hAnsi="Consolas" w:cs="Consolas" w:eastAsia="Consolas"/>
          <w:sz w:val="18"/>
        </w:rPr>
        <w:t xml:space="preserve">                        |  plan d'indexation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1</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n          |  ESPACE DE TRAVAIL   |</w:t>
      </w:r>
    </w:p>
    <w:p>
      <w:pPr>
        <w:spacing w:after="0" w:before="0" w:line="240" w:lineRule="auto"/>
      </w:pPr>
      <w:r>
        <w:rPr>
          <w:rFonts w:ascii="Consolas" w:hAnsi="Consolas" w:cs="Consolas" w:eastAsia="Consolas"/>
          <w:sz w:val="18"/>
        </w:rPr>
        <w:t xml:space="preserve">              +--------------------+------------+  proprietaire        |</w:t>
      </w:r>
    </w:p>
    <w:p>
      <w:pPr>
        <w:spacing w:after="0" w:before="0" w:line="240" w:lineRule="auto"/>
      </w:pPr>
      <w:r>
        <w:rPr>
          <w:rFonts w:ascii="Consolas" w:hAnsi="Consolas" w:cs="Consolas" w:eastAsia="Consolas"/>
          <w:sz w:val="18"/>
        </w:rPr>
        <w:t xml:space="preserve">              |                                 |  regle de workflow   |</w:t>
      </w:r>
    </w:p>
    <w:p>
      <w:pPr>
        <w:spacing w:after="0" w:before="0" w:line="240" w:lineRule="auto"/>
      </w:pPr>
      <w:r>
        <w:rPr>
          <w:rFonts w:ascii="Consolas" w:hAnsi="Consolas" w:cs="Consolas" w:eastAsia="Consolas"/>
          <w:sz w:val="18"/>
        </w:rPr>
        <w:t xml:space="preserve">              v                                 +----------+-----------+</w:t>
      </w:r>
    </w:p>
    <w:p>
      <w:pPr>
        <w:spacing w:after="0" w:before="0" w:line="240" w:lineRule="auto"/>
      </w:pPr>
      <w:r>
        <w:rPr>
          <w:rFonts w:ascii="Consolas" w:hAnsi="Consolas" w:cs="Consolas" w:eastAsia="Consolas"/>
          <w:sz w:val="18"/>
        </w:rPr>
        <w:t xml:space="preserve">   +----------------------+  n            1                | 1</w:t>
      </w:r>
    </w:p>
    <w:p>
      <w:pPr>
        <w:spacing w:after="0" w:before="0" w:line="240" w:lineRule="auto"/>
      </w:pPr>
      <w:r>
        <w:rPr>
          <w:rFonts w:ascii="Consolas" w:hAnsi="Consolas" w:cs="Consolas" w:eastAsia="Consolas"/>
          <w:sz w:val="18"/>
        </w:rPr>
        <w:t xml:space="preserve">   |       DOCUMENT       +--------------------------------+</w:t>
      </w:r>
    </w:p>
    <w:p>
      <w:pPr>
        <w:spacing w:after="0" w:before="0" w:line="240" w:lineRule="auto"/>
      </w:pPr>
      <w:r>
        <w:rPr>
          <w:rFonts w:ascii="Consolas" w:hAnsi="Consolas" w:cs="Consolas" w:eastAsia="Consolas"/>
          <w:sz w:val="18"/>
        </w:rPr>
        <w:t xml:space="preserve">   |  documents_file      |                                | n</w:t>
      </w:r>
    </w:p>
    <w:p>
      <w:pPr>
        <w:spacing w:after="0" w:before="0" w:line="240" w:lineRule="auto"/>
      </w:pPr>
      <w:r>
        <w:rPr>
          <w:rFonts w:ascii="Consolas" w:hAnsi="Consolas" w:cs="Consolas" w:eastAsia="Consolas"/>
          <w:sz w:val="18"/>
        </w:rPr>
        <w:t xml:space="preserve">   |  nom, taille, verrou |                                v</w:t>
      </w:r>
    </w:p>
    <w:p>
      <w:pPr>
        <w:spacing w:after="0" w:before="0" w:line="240" w:lineRule="auto"/>
      </w:pPr>
      <w:r>
        <w:rPr>
          <w:rFonts w:ascii="Consolas" w:hAnsi="Consolas" w:cs="Consolas" w:eastAsia="Consolas"/>
          <w:sz w:val="18"/>
        </w:rPr>
        <w:t xml:space="preserve">   |  actif, corbeille    |                     (sous-repertoire disque)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w:t>
      </w:r>
    </w:p>
    <w:p>
      <w:pPr>
        <w:spacing w:after="0" w:before="0" w:line="240" w:lineRule="auto"/>
      </w:pPr>
      <w:r>
        <w:rPr>
          <w:rFonts w:ascii="Consolas" w:hAnsi="Consolas" w:cs="Consolas" w:eastAsia="Consolas"/>
          <w:sz w:val="18"/>
        </w:rPr>
        <w:t xml:space="preserve">   1  |    | n  | n                          n</w:t>
      </w:r>
    </w:p>
    <w:p>
      <w:pPr>
        <w:spacing w:after="0" w:before="0" w:line="240" w:lineRule="auto"/>
      </w:pPr>
      <w:r>
        <w:rPr>
          <w:rFonts w:ascii="Consolas" w:hAnsi="Consolas" w:cs="Consolas" w:eastAsia="Consolas"/>
          <w:sz w:val="18"/>
        </w:rPr>
        <w:t xml:space="preserve">      |    |    +-----------------&gt; +------------------+</w:t>
      </w:r>
    </w:p>
    <w:p>
      <w:pPr>
        <w:spacing w:after="0" w:before="0" w:line="240" w:lineRule="auto"/>
      </w:pPr>
      <w:r>
        <w:rPr>
          <w:rFonts w:ascii="Consolas" w:hAnsi="Consolas" w:cs="Consolas" w:eastAsia="Consolas"/>
          <w:sz w:val="18"/>
        </w:rPr>
        <w:t xml:space="preserve">      |    |                        |    ETIQUETTE     |</w:t>
      </w:r>
    </w:p>
    <w:p>
      <w:pPr>
        <w:spacing w:after="0" w:before="0" w:line="240" w:lineRule="auto"/>
      </w:pPr>
      <w:r>
        <w:rPr>
          <w:rFonts w:ascii="Consolas" w:hAnsi="Consolas" w:cs="Consolas" w:eastAsia="Consolas"/>
          <w:sz w:val="18"/>
        </w:rPr>
        <w:t xml:space="preserve">      |    |    (rattachement)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+---------------------&gt; +----------------------+</w:t>
      </w:r>
    </w:p>
    <w:p>
      <w:pPr>
        <w:spacing w:after="0" w:before="0" w:line="240" w:lineRule="auto"/>
      </w:pPr>
      <w:r>
        <w:rPr>
          <w:rFonts w:ascii="Consolas" w:hAnsi="Consolas" w:cs="Consolas" w:eastAsia="Consolas"/>
          <w:sz w:val="18"/>
        </w:rPr>
        <w:t xml:space="preserve">      |    n                       |  VERSION DU FICHIER  |</w:t>
      </w:r>
    </w:p>
    <w:p>
      <w:pPr>
        <w:spacing w:after="0" w:before="0" w:line="240" w:lineRule="auto"/>
      </w:pPr>
      <w:r>
        <w:rPr>
          <w:rFonts w:ascii="Consolas" w:hAnsi="Consolas" w:cs="Consolas" w:eastAsia="Consolas"/>
          <w:sz w:val="18"/>
        </w:rPr>
        <w:t xml:space="preserve">      |                            |  une seule principale|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w:t>
      </w:r>
    </w:p>
    <w:p>
      <w:pPr>
        <w:spacing w:after="0" w:before="0" w:line="240" w:lineRule="auto"/>
      </w:pPr>
      <w:r>
        <w:rPr>
          <w:rFonts w:ascii="Consolas" w:hAnsi="Consolas" w:cs="Consolas" w:eastAsia="Consolas"/>
          <w:sz w:val="18"/>
        </w:rPr>
        <w:t xml:space="preserve">      | n                          |  VALEUR D'INDEX      |  (rapport 11)</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w:t>
      </w:r>
    </w:p>
    <w:p>
      <w:pPr>
        <w:spacing w:after="0" w:before="0" w:line="240" w:lineRule="auto"/>
      </w:pPr>
      <w:r>
        <w:rPr>
          <w:rFonts w:ascii="Consolas" w:hAnsi="Consolas" w:cs="Consolas" w:eastAsia="Consolas"/>
          <w:sz w:val="18"/>
        </w:rPr>
        <w:t xml:space="preserve">        n                          |  ETAPE DE SIGNATURE  |  (rapport 12)</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Sens de lecture : le document PORTE ses versions, ses valeurs d'index et ses</w:t>
      </w:r>
    </w:p>
    <w:p>
      <w:pPr>
        <w:spacing w:after="0" w:before="0" w:line="240" w:lineRule="auto"/>
      </w:pPr>
      <w:r>
        <w:rPr>
          <w:rFonts w:ascii="Consolas" w:hAnsi="Consolas" w:cs="Consolas" w:eastAsia="Consolas"/>
          <w:sz w:val="18"/>
        </w:rPr>
        <w:t xml:space="preserve">   etapes de signature. Il REFERENCE son type, son espace, ses etiquettes et son</w:t>
      </w:r>
    </w:p>
    <w:p>
      <w:pPr>
        <w:spacing w:after="0" w:before="0" w:line="240" w:lineRule="auto"/>
      </w:pPr>
      <w:r>
        <w:rPr>
          <w:rFonts w:ascii="Consolas" w:hAnsi="Consolas" w:cs="Consolas" w:eastAsia="Consolas"/>
          <w:sz w:val="18"/>
        </w:rPr>
        <w:t xml:space="preserve">   createur - objets qui lui preexistent et qui lui survivent.</w:t>
      </w:r>
    </w:p>
    <w:p>
      <w:pPr>
        <w:spacing w:after="80"/>
      </w:pPr>
    </w:p>
    <w:p>
      <w:pPr>
        <w:pStyle w:val="Heading2"/>
        <w:spacing w:before="280" w:after="120"/>
      </w:pPr>
      <w:r>
        <w:t>3.2 Sens des liens et disparition de l'objet lié</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1474"/>
          </w:tcPr>
          <w:p>
            <w:pPr>
              <w:spacing w:after="40"/>
            </w:pPr>
            <w:r/>
            <w:r>
              <w:rPr>
                <w:b/>
                <w:sz w:val="18"/>
              </w:rPr>
              <w:t>Objet lié</w:t>
            </w:r>
          </w:p>
        </w:tc>
        <w:tc>
          <w:tcPr>
            <w:tcW w:type="dxa" w:w="1701"/>
          </w:tcPr>
          <w:p>
            <w:pPr>
              <w:spacing w:after="40"/>
            </w:pPr>
            <w:r/>
            <w:r>
              <w:rPr>
                <w:b/>
                <w:sz w:val="18"/>
              </w:rPr>
              <w:t>Sens</w:t>
            </w:r>
          </w:p>
        </w:tc>
        <w:tc>
          <w:tcPr>
            <w:tcW w:type="dxa" w:w="907"/>
          </w:tcPr>
          <w:p>
            <w:pPr>
              <w:spacing w:after="40"/>
            </w:pPr>
            <w:r/>
            <w:r>
              <w:rPr>
                <w:b/>
                <w:sz w:val="18"/>
              </w:rPr>
              <w:t>Obligatoire</w:t>
            </w:r>
          </w:p>
        </w:tc>
        <w:tc>
          <w:tcPr>
            <w:tcW w:type="dxa" w:w="5556"/>
          </w:tcPr>
          <w:p>
            <w:pPr>
              <w:spacing w:after="40"/>
            </w:pPr>
            <w:r/>
            <w:r>
              <w:rPr>
                <w:b/>
                <w:sz w:val="18"/>
              </w:rPr>
              <w:t>Ce qui se passe quand il disparaît</w:t>
            </w:r>
          </w:p>
        </w:tc>
      </w:tr>
      <w:tr>
        <w:tc>
          <w:tcPr>
            <w:tcW w:type="dxa" w:w="1474"/>
          </w:tcPr>
          <w:p>
            <w:pPr>
              <w:spacing w:after="40"/>
            </w:pPr>
            <w:r/>
            <w:r>
              <w:rPr>
                <w:sz w:val="18"/>
              </w:rPr>
              <w:t>Type de document</w:t>
            </w:r>
          </w:p>
        </w:tc>
        <w:tc>
          <w:tcPr>
            <w:tcW w:type="dxa" w:w="1701"/>
          </w:tcPr>
          <w:p>
            <w:pPr>
              <w:spacing w:after="40"/>
            </w:pPr>
            <w:r/>
            <w:r>
              <w:rPr>
                <w:sz w:val="18"/>
              </w:rPr>
              <w:t>Le document référence le type</w:t>
            </w:r>
          </w:p>
        </w:tc>
        <w:tc>
          <w:tcPr>
            <w:tcW w:type="dxa" w:w="907"/>
          </w:tcPr>
          <w:p>
            <w:pPr>
              <w:spacing w:after="40"/>
            </w:pPr>
            <w:r/>
            <w:r>
              <w:rPr>
                <w:sz w:val="18"/>
              </w:rPr>
              <w:t>oui</w:t>
            </w:r>
          </w:p>
        </w:tc>
        <w:tc>
          <w:tcPr>
            <w:tcW w:type="dxa" w:w="5556"/>
          </w:tcPr>
          <w:p>
            <w:pPr>
              <w:spacing w:after="40"/>
            </w:pPr>
            <w:r/>
            <w:r>
              <w:rPr>
                <w:sz w:val="18"/>
              </w:rPr>
              <w:t>Le type n'est jamais supprimé physiquement : il part en corbeille. Le document conserve son lien et reste lisible, mais aucun nouveau dépôt n'est accepté sur ce type, et la modification de fiche qui tenterait de l'y rattacher est refusée.</w:t>
            </w:r>
          </w:p>
        </w:tc>
      </w:tr>
      <w:tr>
        <w:tc>
          <w:tcPr>
            <w:tcW w:type="dxa" w:w="1474"/>
          </w:tcPr>
          <w:p>
            <w:pPr>
              <w:spacing w:after="40"/>
            </w:pPr>
            <w:r/>
            <w:r>
              <w:rPr>
                <w:sz w:val="18"/>
              </w:rPr>
              <w:t>Espace de travail</w:t>
            </w:r>
          </w:p>
        </w:tc>
        <w:tc>
          <w:tcPr>
            <w:tcW w:type="dxa" w:w="1701"/>
          </w:tcPr>
          <w:p>
            <w:pPr>
              <w:spacing w:after="40"/>
            </w:pPr>
            <w:r/>
            <w:r>
              <w:rPr>
                <w:sz w:val="18"/>
              </w:rPr>
              <w:t>Le document référence l'espace</w:t>
            </w:r>
          </w:p>
        </w:tc>
        <w:tc>
          <w:tcPr>
            <w:tcW w:type="dxa" w:w="907"/>
          </w:tcPr>
          <w:p>
            <w:pPr>
              <w:spacing w:after="40"/>
            </w:pPr>
            <w:r/>
            <w:r>
              <w:rPr>
                <w:sz w:val="18"/>
              </w:rPr>
              <w:t>oui</w:t>
            </w:r>
          </w:p>
        </w:tc>
        <w:tc>
          <w:tcPr>
            <w:tcW w:type="dxa" w:w="5556"/>
          </w:tcPr>
          <w:p>
            <w:pPr>
              <w:spacing w:after="40"/>
            </w:pPr>
            <w:r/>
            <w:r>
              <w:rPr>
                <w:sz w:val="18"/>
              </w:rPr>
              <w:t>Même régime de corbeille. L'espace détermine le sous-répertoire de stockage : les fichiers déjà écrits ne bougent pas, même si le document change ensuite de type et donc d'espace.</w:t>
            </w:r>
          </w:p>
        </w:tc>
      </w:tr>
      <w:tr>
        <w:tc>
          <w:tcPr>
            <w:tcW w:type="dxa" w:w="1474"/>
          </w:tcPr>
          <w:p>
            <w:pPr>
              <w:spacing w:after="40"/>
            </w:pPr>
            <w:r/>
            <w:r>
              <w:rPr>
                <w:sz w:val="18"/>
              </w:rPr>
              <w:t>Étiquette</w:t>
            </w:r>
          </w:p>
        </w:tc>
        <w:tc>
          <w:tcPr>
            <w:tcW w:type="dxa" w:w="1701"/>
          </w:tcPr>
          <w:p>
            <w:pPr>
              <w:spacing w:after="40"/>
            </w:pPr>
            <w:r/>
            <w:r>
              <w:rPr>
                <w:sz w:val="18"/>
              </w:rPr>
              <w:t>Rattachement multiple</w:t>
            </w:r>
          </w:p>
        </w:tc>
        <w:tc>
          <w:tcPr>
            <w:tcW w:type="dxa" w:w="907"/>
          </w:tcPr>
          <w:p>
            <w:pPr>
              <w:spacing w:after="40"/>
            </w:pPr>
            <w:r/>
            <w:r>
              <w:rPr>
                <w:sz w:val="18"/>
              </w:rPr>
              <w:t>non</w:t>
            </w:r>
          </w:p>
        </w:tc>
        <w:tc>
          <w:tcPr>
            <w:tcW w:type="dxa" w:w="5556"/>
          </w:tcPr>
          <w:p>
            <w:pPr>
              <w:spacing w:after="40"/>
            </w:pPr>
            <w:r/>
            <w:r>
              <w:rPr>
                <w:sz w:val="18"/>
              </w:rPr>
              <w:t>Une étiquette mise en corbeille reste rattachée. La fiche continue de l'afficher : aucun nettoyage n'est déclenché.</w:t>
            </w:r>
          </w:p>
        </w:tc>
      </w:tr>
      <w:tr>
        <w:tc>
          <w:tcPr>
            <w:tcW w:type="dxa" w:w="1474"/>
          </w:tcPr>
          <w:p>
            <w:pPr>
              <w:spacing w:after="40"/>
            </w:pPr>
            <w:r/>
            <w:r>
              <w:rPr>
                <w:sz w:val="18"/>
              </w:rPr>
              <w:t>Créateur</w:t>
            </w:r>
          </w:p>
        </w:tc>
        <w:tc>
          <w:tcPr>
            <w:tcW w:type="dxa" w:w="1701"/>
          </w:tcPr>
          <w:p>
            <w:pPr>
              <w:spacing w:after="40"/>
            </w:pPr>
            <w:r/>
            <w:r>
              <w:rPr>
                <w:sz w:val="18"/>
              </w:rPr>
              <w:t>Le document référence un employé</w:t>
            </w:r>
          </w:p>
        </w:tc>
        <w:tc>
          <w:tcPr>
            <w:tcW w:type="dxa" w:w="907"/>
          </w:tcPr>
          <w:p>
            <w:pPr>
              <w:spacing w:after="40"/>
            </w:pPr>
            <w:r/>
            <w:r>
              <w:rPr>
                <w:sz w:val="18"/>
              </w:rPr>
              <w:t>non</w:t>
            </w:r>
          </w:p>
        </w:tc>
        <w:tc>
          <w:tcPr>
            <w:tcW w:type="dxa" w:w="5556"/>
          </w:tcPr>
          <w:p>
            <w:pPr>
              <w:spacing w:after="40"/>
            </w:pPr>
            <w:r/>
            <w:r>
              <w:rPr>
                <w:sz w:val="18"/>
              </w:rPr>
              <w:t>Le lien est facultatif. Un dépôt effectué sans identité résolvable laisse la colonne vide, et la fiche s'affiche sans créateur plutôt que d'échouer.</w:t>
            </w:r>
          </w:p>
        </w:tc>
      </w:tr>
      <w:tr>
        <w:tc>
          <w:tcPr>
            <w:tcW w:type="dxa" w:w="1474"/>
          </w:tcPr>
          <w:p>
            <w:pPr>
              <w:spacing w:after="40"/>
            </w:pPr>
            <w:r/>
            <w:r>
              <w:rPr>
                <w:sz w:val="18"/>
              </w:rPr>
              <w:t>Version</w:t>
            </w:r>
          </w:p>
        </w:tc>
        <w:tc>
          <w:tcPr>
            <w:tcW w:type="dxa" w:w="1701"/>
          </w:tcPr>
          <w:p>
            <w:pPr>
              <w:spacing w:after="40"/>
            </w:pPr>
            <w:r/>
            <w:r>
              <w:rPr>
                <w:sz w:val="18"/>
              </w:rPr>
              <w:t>Le document porte ses versions</w:t>
            </w:r>
          </w:p>
        </w:tc>
        <w:tc>
          <w:tcPr>
            <w:tcW w:type="dxa" w:w="907"/>
          </w:tcPr>
          <w:p>
            <w:pPr>
              <w:spacing w:after="40"/>
            </w:pPr>
            <w:r/>
            <w:r>
              <w:rPr>
                <w:sz w:val="18"/>
              </w:rPr>
              <w:t>—</w:t>
            </w:r>
          </w:p>
        </w:tc>
        <w:tc>
          <w:tcPr>
            <w:tcW w:type="dxa" w:w="5556"/>
          </w:tcPr>
          <w:p>
            <w:pPr>
              <w:spacing w:after="40"/>
            </w:pPr>
            <w:r/>
            <w:r>
              <w:rPr>
                <w:sz w:val="18"/>
              </w:rPr>
              <w:t>Les versions sont liées en cascade avec suppression des orphelins : elles ne survivraient pas à un effacement physique de la fiche. Aucune route n'expose un tel effacement, la cascade n'est donc jamais empruntée en exploitation.</w:t>
            </w:r>
          </w:p>
        </w:tc>
      </w:tr>
      <w:tr>
        <w:tc>
          <w:tcPr>
            <w:tcW w:type="dxa" w:w="1474"/>
          </w:tcPr>
          <w:p>
            <w:pPr>
              <w:spacing w:after="40"/>
            </w:pPr>
            <w:r/>
            <w:r>
              <w:rPr>
                <w:sz w:val="18"/>
              </w:rPr>
              <w:t>Valeur d'index</w:t>
            </w:r>
          </w:p>
        </w:tc>
        <w:tc>
          <w:tcPr>
            <w:tcW w:type="dxa" w:w="1701"/>
          </w:tcPr>
          <w:p>
            <w:pPr>
              <w:spacing w:after="40"/>
            </w:pPr>
            <w:r/>
            <w:r>
              <w:rPr>
                <w:sz w:val="18"/>
              </w:rPr>
              <w:t>Le document porte ses valeurs</w:t>
            </w:r>
          </w:p>
        </w:tc>
        <w:tc>
          <w:tcPr>
            <w:tcW w:type="dxa" w:w="907"/>
          </w:tcPr>
          <w:p>
            <w:pPr>
              <w:spacing w:after="40"/>
            </w:pPr>
            <w:r/>
            <w:r>
              <w:rPr>
                <w:sz w:val="18"/>
              </w:rPr>
              <w:t>—</w:t>
            </w:r>
          </w:p>
        </w:tc>
        <w:tc>
          <w:tcPr>
            <w:tcW w:type="dxa" w:w="5556"/>
          </w:tcPr>
          <w:p>
            <w:pPr>
              <w:spacing w:after="40"/>
            </w:pPr>
            <w:r/>
            <w:r>
              <w:rPr>
                <w:sz w:val="18"/>
              </w:rPr>
              <w:t>Les valeurs survivent à la mise en corbeille : c'est ce qui permet à une restauration de rendre un document complet et non une fiche vide.</w:t>
            </w:r>
          </w:p>
        </w:tc>
      </w:tr>
      <w:tr>
        <w:tc>
          <w:tcPr>
            <w:tcW w:type="dxa" w:w="1474"/>
          </w:tcPr>
          <w:p>
            <w:pPr>
              <w:spacing w:after="40"/>
            </w:pPr>
            <w:r/>
            <w:r>
              <w:rPr>
                <w:sz w:val="18"/>
              </w:rPr>
              <w:t>Étape de signature</w:t>
            </w:r>
          </w:p>
        </w:tc>
        <w:tc>
          <w:tcPr>
            <w:tcW w:type="dxa" w:w="1701"/>
          </w:tcPr>
          <w:p>
            <w:pPr>
              <w:spacing w:after="40"/>
            </w:pPr>
            <w:r/>
            <w:r>
              <w:rPr>
                <w:sz w:val="18"/>
              </w:rPr>
              <w:t>Le document porte ses étapes</w:t>
            </w:r>
          </w:p>
        </w:tc>
        <w:tc>
          <w:tcPr>
            <w:tcW w:type="dxa" w:w="907"/>
          </w:tcPr>
          <w:p>
            <w:pPr>
              <w:spacing w:after="40"/>
            </w:pPr>
            <w:r/>
            <w:r>
              <w:rPr>
                <w:sz w:val="18"/>
              </w:rPr>
              <w:t>—</w:t>
            </w:r>
          </w:p>
        </w:tc>
        <w:tc>
          <w:tcPr>
            <w:tcW w:type="dxa" w:w="5556"/>
          </w:tcPr>
          <w:p>
            <w:pPr>
              <w:spacing w:after="40"/>
            </w:pPr>
            <w:r/>
            <w:r>
              <w:rPr>
                <w:sz w:val="18"/>
              </w:rPr>
              <w:t>Les étapes survivent également. Elles sont écartées à la lecture tant que le document est en corbeille, et redeviennent visibles à la restauration, dans l'état exact où elles avaient été laissées.</w:t>
            </w:r>
          </w:p>
        </w:tc>
      </w:tr>
    </w:tbl>
    <w:p>
      <w:pPr>
        <w:spacing w:after="40"/>
      </w:pPr>
    </w:p>
    <w:p>
      <w:r>
        <w:br w:type="page"/>
      </w:r>
    </w:p>
    <w:p>
      <w:pPr>
        <w:pStyle w:val="Heading1"/>
        <w:spacing w:before="360" w:after="160"/>
      </w:pPr>
      <w:r>
        <w:t>4. Les opérations disponibles</w:t>
      </w:r>
    </w:p>
    <w:p>
      <w:r>
        <w:rPr>
          <w:i/>
          <w:color w:val="444444"/>
        </w:rPr>
        <w:t>Toutes les adresses sont relatives à la base /api/v1/documents. Aucune n'est ouverte aux appelants anonymes : la chaîne de filtres exige un jeton valide sur l'ensemble de l'API, à l'exception de la connexion et des sondes techniques.</w:t>
      </w:r>
    </w:p>
    <w:p>
      <w:pPr>
        <w:pStyle w:val="Heading2"/>
        <w:spacing w:before="280" w:after="120"/>
      </w:pPr>
      <w:r>
        <w:t>4.1 Lecture</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417"/>
          </w:tcPr>
          <w:p>
            <w:pPr>
              <w:spacing w:after="40"/>
            </w:pPr>
            <w:r/>
            <w:r>
              <w:rPr>
                <w:b/>
                <w:sz w:val="18"/>
              </w:rPr>
              <w:t>Opération</w:t>
            </w:r>
          </w:p>
        </w:tc>
        <w:tc>
          <w:tcPr>
            <w:tcW w:type="dxa" w:w="1474"/>
          </w:tcPr>
          <w:p>
            <w:pPr>
              <w:spacing w:after="40"/>
            </w:pPr>
            <w:r/>
            <w:r>
              <w:rPr>
                <w:b/>
                <w:sz w:val="18"/>
              </w:rPr>
              <w:t>Ce qu'elle fait</w:t>
            </w:r>
          </w:p>
        </w:tc>
        <w:tc>
          <w:tcPr>
            <w:tcW w:type="dxa" w:w="2041"/>
          </w:tcPr>
          <w:p>
            <w:pPr>
              <w:spacing w:after="40"/>
            </w:pPr>
            <w:r/>
            <w:r>
              <w:rPr>
                <w:b/>
                <w:sz w:val="18"/>
              </w:rPr>
              <w:t>Entrée exigée</w:t>
            </w:r>
          </w:p>
        </w:tc>
        <w:tc>
          <w:tcPr>
            <w:tcW w:type="dxa" w:w="2438"/>
          </w:tcPr>
          <w:p>
            <w:pPr>
              <w:spacing w:after="40"/>
            </w:pPr>
            <w:r/>
            <w:r>
              <w:rPr>
                <w:b/>
                <w:sz w:val="18"/>
              </w:rPr>
              <w:t>Ce qu'elle renvoie</w:t>
            </w:r>
          </w:p>
        </w:tc>
        <w:tc>
          <w:tcPr>
            <w:tcW w:type="dxa" w:w="2268"/>
          </w:tcPr>
          <w:p>
            <w:pPr>
              <w:spacing w:after="40"/>
            </w:pPr>
            <w:r/>
            <w:r>
              <w:rPr>
                <w:b/>
                <w:sz w:val="18"/>
              </w:rPr>
              <w:t>Ce qu'elle refuse</w:t>
            </w:r>
          </w:p>
        </w:tc>
      </w:tr>
      <w:tr>
        <w:tc>
          <w:tcPr>
            <w:tcW w:type="dxa" w:w="1417"/>
          </w:tcPr>
          <w:p>
            <w:pPr>
              <w:spacing w:after="40"/>
            </w:pPr>
            <w:r/>
            <w:r>
              <w:rPr>
                <w:sz w:val="18"/>
              </w:rPr>
              <w:t>GET /</w:t>
            </w:r>
          </w:p>
        </w:tc>
        <w:tc>
          <w:tcPr>
            <w:tcW w:type="dxa" w:w="1474"/>
          </w:tcPr>
          <w:p>
            <w:pPr>
              <w:spacing w:after="40"/>
            </w:pPr>
            <w:r/>
            <w:r>
              <w:rPr>
                <w:sz w:val="18"/>
              </w:rPr>
              <w:t>Liste le fonds vivant</w:t>
            </w:r>
          </w:p>
        </w:tc>
        <w:tc>
          <w:tcPr>
            <w:tcW w:type="dxa" w:w="2041"/>
          </w:tcPr>
          <w:p>
            <w:pPr>
              <w:spacing w:after="40"/>
            </w:pPr>
            <w:r/>
            <w:r>
              <w:rPr>
                <w:sz w:val="18"/>
              </w:rPr>
              <w:t>Aucune. Paramètres facultatifs : page, size, search, workspaceId, sortBy, sortDir</w:t>
            </w:r>
          </w:p>
        </w:tc>
        <w:tc>
          <w:tcPr>
            <w:tcW w:type="dxa" w:w="2438"/>
          </w:tcPr>
          <w:p>
            <w:pPr>
              <w:spacing w:after="40"/>
            </w:pPr>
            <w:r/>
            <w:r>
              <w:rPr>
                <w:sz w:val="18"/>
              </w:rPr>
              <w:t>Enveloppe de pagination : contenu, total, page, taille, nombre de pages</w:t>
            </w:r>
          </w:p>
        </w:tc>
        <w:tc>
          <w:tcPr>
            <w:tcW w:type="dxa" w:w="2268"/>
          </w:tcPr>
          <w:p>
            <w:pPr>
              <w:spacing w:after="40"/>
            </w:pPr>
            <w:r/>
            <w:r>
              <w:rPr>
                <w:sz w:val="18"/>
              </w:rPr>
              <w:t>Un numéro de page négatif ou hors limites. Un champ de tri inconnu est ignoré, non refusé.</w:t>
            </w:r>
          </w:p>
        </w:tc>
      </w:tr>
      <w:tr>
        <w:tc>
          <w:tcPr>
            <w:tcW w:type="dxa" w:w="1417"/>
          </w:tcPr>
          <w:p>
            <w:pPr>
              <w:spacing w:after="40"/>
            </w:pPr>
            <w:r/>
            <w:r>
              <w:rPr>
                <w:sz w:val="18"/>
              </w:rPr>
              <w:t>GET /trashed</w:t>
            </w:r>
          </w:p>
        </w:tc>
        <w:tc>
          <w:tcPr>
            <w:tcW w:type="dxa" w:w="1474"/>
          </w:tcPr>
          <w:p>
            <w:pPr>
              <w:spacing w:after="40"/>
            </w:pPr>
            <w:r/>
            <w:r>
              <w:rPr>
                <w:sz w:val="18"/>
              </w:rPr>
              <w:t>Liste la corbeille</w:t>
            </w:r>
          </w:p>
        </w:tc>
        <w:tc>
          <w:tcPr>
            <w:tcW w:type="dxa" w:w="2041"/>
          </w:tcPr>
          <w:p>
            <w:pPr>
              <w:spacing w:after="40"/>
            </w:pPr>
            <w:r/>
            <w:r>
              <w:rPr>
                <w:sz w:val="18"/>
              </w:rPr>
              <w:t>Mêmes paramètres, sans filtre par espace</w:t>
            </w:r>
          </w:p>
        </w:tc>
        <w:tc>
          <w:tcPr>
            <w:tcW w:type="dxa" w:w="2438"/>
          </w:tcPr>
          <w:p>
            <w:pPr>
              <w:spacing w:after="40"/>
            </w:pPr>
            <w:r/>
            <w:r>
              <w:rPr>
                <w:sz w:val="18"/>
              </w:rPr>
              <w:t>Même enveloppe, restreinte aux documents supprimés</w:t>
            </w:r>
          </w:p>
        </w:tc>
        <w:tc>
          <w:tcPr>
            <w:tcW w:type="dxa" w:w="2268"/>
          </w:tcPr>
          <w:p>
            <w:pPr>
              <w:spacing w:after="40"/>
            </w:pPr>
            <w:r/>
            <w:r>
              <w:rPr>
                <w:sz w:val="18"/>
              </w:rPr>
              <w:t>Idem</w:t>
            </w:r>
          </w:p>
        </w:tc>
      </w:tr>
      <w:tr>
        <w:tc>
          <w:tcPr>
            <w:tcW w:type="dxa" w:w="1417"/>
          </w:tcPr>
          <w:p>
            <w:pPr>
              <w:spacing w:after="40"/>
            </w:pPr>
            <w:r/>
            <w:r>
              <w:rPr>
                <w:sz w:val="18"/>
              </w:rPr>
              <w:t>GET /{id}</w:t>
            </w:r>
          </w:p>
        </w:tc>
        <w:tc>
          <w:tcPr>
            <w:tcW w:type="dxa" w:w="1474"/>
          </w:tcPr>
          <w:p>
            <w:pPr>
              <w:spacing w:after="40"/>
            </w:pPr>
            <w:r/>
            <w:r>
              <w:rPr>
                <w:sz w:val="18"/>
              </w:rPr>
              <w:t>Fiche complète</w:t>
            </w:r>
          </w:p>
        </w:tc>
        <w:tc>
          <w:tcPr>
            <w:tcW w:type="dxa" w:w="2041"/>
          </w:tcPr>
          <w:p>
            <w:pPr>
              <w:spacing w:after="40"/>
            </w:pPr>
            <w:r/>
            <w:r>
              <w:rPr>
                <w:sz w:val="18"/>
              </w:rPr>
              <w:t>Identifiant</w:t>
            </w:r>
          </w:p>
        </w:tc>
        <w:tc>
          <w:tcPr>
            <w:tcW w:type="dxa" w:w="2438"/>
          </w:tcPr>
          <w:p>
            <w:pPr>
              <w:spacing w:after="40"/>
            </w:pPr>
            <w:r/>
            <w:r>
              <w:rPr>
                <w:sz w:val="18"/>
              </w:rPr>
              <w:t>Nom, type, espace, taille lisible, chemin de rangement lisible, créateur, étiquettes, versions, état de corbeille et de verrou</w:t>
            </w:r>
          </w:p>
        </w:tc>
        <w:tc>
          <w:tcPr>
            <w:tcW w:type="dxa" w:w="2268"/>
          </w:tcPr>
          <w:p>
            <w:pPr>
              <w:spacing w:after="40"/>
            </w:pPr>
            <w:r/>
            <w:r>
              <w:rPr>
                <w:sz w:val="18"/>
              </w:rPr>
              <w:t>Un identifiant inconnu (404). La fiche d'un document en corbeille est servie.</w:t>
            </w:r>
          </w:p>
        </w:tc>
      </w:tr>
      <w:tr>
        <w:tc>
          <w:tcPr>
            <w:tcW w:type="dxa" w:w="1417"/>
          </w:tcPr>
          <w:p>
            <w:pPr>
              <w:spacing w:after="40"/>
            </w:pPr>
            <w:r/>
            <w:r>
              <w:rPr>
                <w:sz w:val="18"/>
              </w:rPr>
              <w:t>GET /{id}/download</w:t>
            </w:r>
          </w:p>
        </w:tc>
        <w:tc>
          <w:tcPr>
            <w:tcW w:type="dxa" w:w="1474"/>
          </w:tcPr>
          <w:p>
            <w:pPr>
              <w:spacing w:after="40"/>
            </w:pPr>
            <w:r/>
            <w:r>
              <w:rPr>
                <w:sz w:val="18"/>
              </w:rPr>
              <w:t>Sert le contenu du fichier</w:t>
            </w:r>
          </w:p>
        </w:tc>
        <w:tc>
          <w:tcPr>
            <w:tcW w:type="dxa" w:w="2041"/>
          </w:tcPr>
          <w:p>
            <w:pPr>
              <w:spacing w:after="40"/>
            </w:pPr>
            <w:r/>
            <w:r>
              <w:rPr>
                <w:sz w:val="18"/>
              </w:rPr>
              <w:t>Identifiant</w:t>
            </w:r>
          </w:p>
        </w:tc>
        <w:tc>
          <w:tcPr>
            <w:tcW w:type="dxa" w:w="2438"/>
          </w:tcPr>
          <w:p>
            <w:pPr>
              <w:spacing w:after="40"/>
            </w:pPr>
            <w:r/>
            <w:r>
              <w:rPr>
                <w:sz w:val="18"/>
              </w:rPr>
              <w:t>Flux binaire, en-tête de disposition conforme aux RFC 6266 et 5987</w:t>
            </w:r>
          </w:p>
        </w:tc>
        <w:tc>
          <w:tcPr>
            <w:tcW w:type="dxa" w:w="2268"/>
          </w:tcPr>
          <w:p>
            <w:pPr>
              <w:spacing w:after="40"/>
            </w:pPr>
            <w:r/>
            <w:r>
              <w:rPr>
                <w:sz w:val="18"/>
              </w:rPr>
              <w:t>Un identifiant inconnu (404). Un fichier absent du disque sort en erreur serveur.</w:t>
            </w:r>
          </w:p>
        </w:tc>
      </w:tr>
    </w:tbl>
    <w:p>
      <w:pPr>
        <w:spacing w:after="40"/>
      </w:pPr>
    </w:p>
    <w:p>
      <w:pPr>
        <w:pStyle w:val="Heading2"/>
        <w:spacing w:before="280" w:after="120"/>
      </w:pPr>
      <w:r>
        <w:t>4.2 Écriture</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701"/>
          </w:tcPr>
          <w:p>
            <w:pPr>
              <w:spacing w:after="40"/>
            </w:pPr>
            <w:r/>
            <w:r>
              <w:rPr>
                <w:b/>
                <w:sz w:val="18"/>
              </w:rPr>
              <w:t>Opération</w:t>
            </w:r>
          </w:p>
        </w:tc>
        <w:tc>
          <w:tcPr>
            <w:tcW w:type="dxa" w:w="1361"/>
          </w:tcPr>
          <w:p>
            <w:pPr>
              <w:spacing w:after="40"/>
            </w:pPr>
            <w:r/>
            <w:r>
              <w:rPr>
                <w:b/>
                <w:sz w:val="18"/>
              </w:rPr>
              <w:t>Ce qu'elle fait</w:t>
            </w:r>
          </w:p>
        </w:tc>
        <w:tc>
          <w:tcPr>
            <w:tcW w:type="dxa" w:w="2041"/>
          </w:tcPr>
          <w:p>
            <w:pPr>
              <w:spacing w:after="40"/>
            </w:pPr>
            <w:r/>
            <w:r>
              <w:rPr>
                <w:b/>
                <w:sz w:val="18"/>
              </w:rPr>
              <w:t>Entrée exigée</w:t>
            </w:r>
          </w:p>
        </w:tc>
        <w:tc>
          <w:tcPr>
            <w:tcW w:type="dxa" w:w="1871"/>
          </w:tcPr>
          <w:p>
            <w:pPr>
              <w:spacing w:after="40"/>
            </w:pPr>
            <w:r/>
            <w:r>
              <w:rPr>
                <w:b/>
                <w:sz w:val="18"/>
              </w:rPr>
              <w:t>Ce qu'elle renvoie</w:t>
            </w:r>
          </w:p>
        </w:tc>
        <w:tc>
          <w:tcPr>
            <w:tcW w:type="dxa" w:w="2665"/>
          </w:tcPr>
          <w:p>
            <w:pPr>
              <w:spacing w:after="40"/>
            </w:pPr>
            <w:r/>
            <w:r>
              <w:rPr>
                <w:b/>
                <w:sz w:val="18"/>
              </w:rPr>
              <w:t>Ce qu'elle refuse</w:t>
            </w:r>
          </w:p>
        </w:tc>
      </w:tr>
      <w:tr>
        <w:tc>
          <w:tcPr>
            <w:tcW w:type="dxa" w:w="1701"/>
          </w:tcPr>
          <w:p>
            <w:pPr>
              <w:spacing w:after="40"/>
            </w:pPr>
            <w:r/>
            <w:r>
              <w:rPr>
                <w:sz w:val="18"/>
              </w:rPr>
              <w:t>POST /</w:t>
            </w:r>
          </w:p>
        </w:tc>
        <w:tc>
          <w:tcPr>
            <w:tcW w:type="dxa" w:w="1361"/>
          </w:tcPr>
          <w:p>
            <w:pPr>
              <w:spacing w:after="40"/>
            </w:pPr>
            <w:r/>
            <w:r>
              <w:rPr>
                <w:sz w:val="18"/>
              </w:rPr>
              <w:t>Dépose un document</w:t>
            </w:r>
          </w:p>
        </w:tc>
        <w:tc>
          <w:tcPr>
            <w:tcW w:type="dxa" w:w="2041"/>
          </w:tcPr>
          <w:p>
            <w:pPr>
              <w:spacing w:after="40"/>
            </w:pPr>
            <w:r/>
            <w:r>
              <w:rPr>
                <w:sz w:val="18"/>
              </w:rPr>
              <w:t>Formulaire multipart : fichier et identifiant de type obligatoires ; nom, date d'expiration et étiquettes facultatifs</w:t>
            </w:r>
          </w:p>
        </w:tc>
        <w:tc>
          <w:tcPr>
            <w:tcW w:type="dxa" w:w="1871"/>
          </w:tcPr>
          <w:p>
            <w:pPr>
              <w:spacing w:after="40"/>
            </w:pPr>
            <w:r/>
            <w:r>
              <w:rPr>
                <w:sz w:val="18"/>
              </w:rPr>
              <w:t>201 et la fiche complète, version initiale comprise</w:t>
            </w:r>
          </w:p>
        </w:tc>
        <w:tc>
          <w:tcPr>
            <w:tcW w:type="dxa" w:w="2665"/>
          </w:tcPr>
          <w:p>
            <w:pPr>
              <w:spacing w:after="40"/>
            </w:pPr>
            <w:r/>
            <w:r>
              <w:rPr>
                <w:sz w:val="18"/>
              </w:rPr>
              <w:t>Fichier absent ou vide, type inconnu, type en corbeille, format non autorisé, fichier trop volumineux, nom de plus de 255 caractères, date non conforme</w:t>
            </w:r>
          </w:p>
        </w:tc>
      </w:tr>
      <w:tr>
        <w:tc>
          <w:tcPr>
            <w:tcW w:type="dxa" w:w="1701"/>
          </w:tcPr>
          <w:p>
            <w:pPr>
              <w:spacing w:after="40"/>
            </w:pPr>
            <w:r/>
            <w:r>
              <w:rPr>
                <w:sz w:val="18"/>
              </w:rPr>
              <w:t>PUT /{id}</w:t>
            </w:r>
          </w:p>
        </w:tc>
        <w:tc>
          <w:tcPr>
            <w:tcW w:type="dxa" w:w="1361"/>
          </w:tcPr>
          <w:p>
            <w:pPr>
              <w:spacing w:after="40"/>
            </w:pPr>
            <w:r/>
            <w:r>
              <w:rPr>
                <w:sz w:val="18"/>
              </w:rPr>
              <w:t>Modifie la fiche</w:t>
            </w:r>
          </w:p>
        </w:tc>
        <w:tc>
          <w:tcPr>
            <w:tcW w:type="dxa" w:w="2041"/>
          </w:tcPr>
          <w:p>
            <w:pPr>
              <w:spacing w:after="40"/>
            </w:pPr>
            <w:r/>
            <w:r>
              <w:rPr>
                <w:sz w:val="18"/>
              </w:rPr>
              <w:t>Corps facultatif champ par champ : nom, type, date d'expiration, état actif, étiquettes</w:t>
            </w:r>
          </w:p>
        </w:tc>
        <w:tc>
          <w:tcPr>
            <w:tcW w:type="dxa" w:w="1871"/>
          </w:tcPr>
          <w:p>
            <w:pPr>
              <w:spacing w:after="40"/>
            </w:pPr>
            <w:r/>
            <w:r>
              <w:rPr>
                <w:sz w:val="18"/>
              </w:rPr>
              <w:t>La fiche mise à jour</w:t>
            </w:r>
          </w:p>
        </w:tc>
        <w:tc>
          <w:tcPr>
            <w:tcW w:type="dxa" w:w="2665"/>
          </w:tcPr>
          <w:p>
            <w:pPr>
              <w:spacing w:after="40"/>
            </w:pPr>
            <w:r/>
            <w:r>
              <w:rPr>
                <w:sz w:val="18"/>
              </w:rPr>
              <w:t>Document inconnu, document en corbeille, document verrouillé, type inconnu ou en corbeille, nom trop long, date non conforme</w:t>
            </w:r>
          </w:p>
        </w:tc>
      </w:tr>
      <w:tr>
        <w:tc>
          <w:tcPr>
            <w:tcW w:type="dxa" w:w="1701"/>
          </w:tcPr>
          <w:p>
            <w:pPr>
              <w:spacing w:after="40"/>
            </w:pPr>
            <w:r/>
            <w:r>
              <w:rPr>
                <w:sz w:val="18"/>
              </w:rPr>
              <w:t>PATCH /{id}/verrou</w:t>
            </w:r>
          </w:p>
        </w:tc>
        <w:tc>
          <w:tcPr>
            <w:tcW w:type="dxa" w:w="1361"/>
          </w:tcPr>
          <w:p>
            <w:pPr>
              <w:spacing w:after="40"/>
            </w:pPr>
            <w:r/>
            <w:r>
              <w:rPr>
                <w:sz w:val="18"/>
              </w:rPr>
              <w:t>Pose ou lève le verrou</w:t>
            </w:r>
          </w:p>
        </w:tc>
        <w:tc>
          <w:tcPr>
            <w:tcW w:type="dxa" w:w="2041"/>
          </w:tcPr>
          <w:p>
            <w:pPr>
              <w:spacing w:after="40"/>
            </w:pPr>
            <w:r/>
            <w:r>
              <w:rPr>
                <w:sz w:val="18"/>
              </w:rPr>
              <w:t>Paramètre booléen verrouille</w:t>
            </w:r>
          </w:p>
        </w:tc>
        <w:tc>
          <w:tcPr>
            <w:tcW w:type="dxa" w:w="1871"/>
          </w:tcPr>
          <w:p>
            <w:pPr>
              <w:spacing w:after="40"/>
            </w:pPr>
            <w:r/>
            <w:r>
              <w:rPr>
                <w:sz w:val="18"/>
              </w:rPr>
              <w:t>La fiche mise à jour</w:t>
            </w:r>
          </w:p>
        </w:tc>
        <w:tc>
          <w:tcPr>
            <w:tcW w:type="dxa" w:w="2665"/>
          </w:tcPr>
          <w:p>
            <w:pPr>
              <w:spacing w:after="40"/>
            </w:pPr>
            <w:r/>
            <w:r>
              <w:rPr>
                <w:sz w:val="18"/>
              </w:rPr>
              <w:t>Document inconnu ou en corbeille. Reposer un verrou déjà posé n'est pas refusé.</w:t>
            </w:r>
          </w:p>
        </w:tc>
      </w:tr>
      <w:tr>
        <w:tc>
          <w:tcPr>
            <w:tcW w:type="dxa" w:w="1701"/>
          </w:tcPr>
          <w:p>
            <w:pPr>
              <w:spacing w:after="40"/>
            </w:pPr>
            <w:r/>
            <w:r>
              <w:rPr>
                <w:sz w:val="18"/>
              </w:rPr>
              <w:t>POST /{id}/versions</w:t>
            </w:r>
          </w:p>
        </w:tc>
        <w:tc>
          <w:tcPr>
            <w:tcW w:type="dxa" w:w="1361"/>
          </w:tcPr>
          <w:p>
            <w:pPr>
              <w:spacing w:after="40"/>
            </w:pPr>
            <w:r/>
            <w:r>
              <w:rPr>
                <w:sz w:val="18"/>
              </w:rPr>
              <w:t>Verse une nouvelle version</w:t>
            </w:r>
          </w:p>
        </w:tc>
        <w:tc>
          <w:tcPr>
            <w:tcW w:type="dxa" w:w="2041"/>
          </w:tcPr>
          <w:p>
            <w:pPr>
              <w:spacing w:after="40"/>
            </w:pPr>
            <w:r/>
            <w:r>
              <w:rPr>
                <w:sz w:val="18"/>
              </w:rPr>
              <w:t>Formulaire multipart : fichier obligatoire, observation facultative</w:t>
            </w:r>
          </w:p>
        </w:tc>
        <w:tc>
          <w:tcPr>
            <w:tcW w:type="dxa" w:w="1871"/>
          </w:tcPr>
          <w:p>
            <w:pPr>
              <w:spacing w:after="40"/>
            </w:pPr>
            <w:r/>
            <w:r>
              <w:rPr>
                <w:sz w:val="18"/>
              </w:rPr>
              <w:t>La fiche, pointant désormais sur le nouveau fichier</w:t>
            </w:r>
          </w:p>
        </w:tc>
        <w:tc>
          <w:tcPr>
            <w:tcW w:type="dxa" w:w="2665"/>
          </w:tcPr>
          <w:p>
            <w:pPr>
              <w:spacing w:after="40"/>
            </w:pPr>
            <w:r/>
            <w:r>
              <w:rPr>
                <w:sz w:val="18"/>
              </w:rPr>
              <w:t>Fichier absent, document inconnu, en corbeille ou verrouillé, format ou taille refusés par le type</w:t>
            </w:r>
          </w:p>
        </w:tc>
      </w:tr>
      <w:tr>
        <w:tc>
          <w:tcPr>
            <w:tcW w:type="dxa" w:w="1701"/>
          </w:tcPr>
          <w:p>
            <w:pPr>
              <w:spacing w:after="40"/>
            </w:pPr>
            <w:r/>
            <w:r>
              <w:rPr>
                <w:sz w:val="18"/>
              </w:rPr>
              <w:t>PATCH /{id}/versions/{versionId}/default</w:t>
            </w:r>
          </w:p>
        </w:tc>
        <w:tc>
          <w:tcPr>
            <w:tcW w:type="dxa" w:w="1361"/>
          </w:tcPr>
          <w:p>
            <w:pPr>
              <w:spacing w:after="40"/>
            </w:pPr>
            <w:r/>
            <w:r>
              <w:rPr>
                <w:sz w:val="18"/>
              </w:rPr>
              <w:t>Désigne une version antérieure</w:t>
            </w:r>
          </w:p>
        </w:tc>
        <w:tc>
          <w:tcPr>
            <w:tcW w:type="dxa" w:w="2041"/>
          </w:tcPr>
          <w:p>
            <w:pPr>
              <w:spacing w:after="40"/>
            </w:pPr>
            <w:r/>
            <w:r>
              <w:rPr>
                <w:sz w:val="18"/>
              </w:rPr>
              <w:t>Identifiants du document et de la version</w:t>
            </w:r>
          </w:p>
        </w:tc>
        <w:tc>
          <w:tcPr>
            <w:tcW w:type="dxa" w:w="1871"/>
          </w:tcPr>
          <w:p>
            <w:pPr>
              <w:spacing w:after="40"/>
            </w:pPr>
            <w:r/>
            <w:r>
              <w:rPr>
                <w:sz w:val="18"/>
              </w:rPr>
              <w:t>La fiche, pointant sur la version choisie</w:t>
            </w:r>
          </w:p>
        </w:tc>
        <w:tc>
          <w:tcPr>
            <w:tcW w:type="dxa" w:w="2665"/>
          </w:tcPr>
          <w:p>
            <w:pPr>
              <w:spacing w:after="40"/>
            </w:pPr>
            <w:r/>
            <w:r>
              <w:rPr>
                <w:sz w:val="18"/>
              </w:rPr>
              <w:t>Document ou version inconnus, document en corbeille, version appartenant à un autre document</w:t>
            </w:r>
          </w:p>
        </w:tc>
      </w:tr>
    </w:tbl>
    <w:p>
      <w:pPr>
        <w:spacing w:after="40"/>
      </w:pPr>
    </w:p>
    <w:p>
      <w:pPr>
        <w:pStyle w:val="Heading2"/>
        <w:spacing w:before="280" w:after="120"/>
      </w:pPr>
      <w:r>
        <w:t>4.3 Corbeille et actions groupées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587"/>
          </w:tcPr>
          <w:p>
            <w:pPr>
              <w:spacing w:after="40"/>
            </w:pPr>
            <w:r/>
            <w:r>
              <w:rPr>
                <w:b/>
                <w:sz w:val="18"/>
              </w:rPr>
              <w:t>Ce qu'elle fait</w:t>
            </w:r>
          </w:p>
        </w:tc>
        <w:tc>
          <w:tcPr>
            <w:tcW w:type="dxa" w:w="2041"/>
          </w:tcPr>
          <w:p>
            <w:pPr>
              <w:spacing w:after="40"/>
            </w:pPr>
            <w:r/>
            <w:r>
              <w:rPr>
                <w:b/>
                <w:sz w:val="18"/>
              </w:rPr>
              <w:t>Entrée exigée</w:t>
            </w:r>
          </w:p>
        </w:tc>
        <w:tc>
          <w:tcPr>
            <w:tcW w:type="dxa" w:w="1587"/>
          </w:tcPr>
          <w:p>
            <w:pPr>
              <w:spacing w:after="40"/>
            </w:pPr>
            <w:r/>
            <w:r>
              <w:rPr>
                <w:b/>
                <w:sz w:val="18"/>
              </w:rPr>
              <w:t>Ce qu'elle renvoie</w:t>
            </w:r>
          </w:p>
        </w:tc>
        <w:tc>
          <w:tcPr>
            <w:tcW w:type="dxa" w:w="2494"/>
          </w:tcPr>
          <w:p>
            <w:pPr>
              <w:spacing w:after="40"/>
            </w:pPr>
            <w:r/>
            <w:r>
              <w:rPr>
                <w:b/>
                <w:sz w:val="18"/>
              </w:rPr>
              <w:t>Ce qu'elle refuse</w:t>
            </w:r>
          </w:p>
        </w:tc>
      </w:tr>
      <w:tr>
        <w:tc>
          <w:tcPr>
            <w:tcW w:type="dxa" w:w="1928"/>
          </w:tcPr>
          <w:p>
            <w:pPr>
              <w:spacing w:after="40"/>
            </w:pPr>
            <w:r/>
            <w:r>
              <w:rPr>
                <w:sz w:val="18"/>
              </w:rPr>
              <w:t>DELETE /{id}</w:t>
            </w:r>
          </w:p>
        </w:tc>
        <w:tc>
          <w:tcPr>
            <w:tcW w:type="dxa" w:w="1587"/>
          </w:tcPr>
          <w:p>
            <w:pPr>
              <w:spacing w:after="40"/>
            </w:pPr>
            <w:r/>
            <w:r>
              <w:rPr>
                <w:sz w:val="18"/>
              </w:rPr>
              <w:t>Met en corbeille</w:t>
            </w:r>
          </w:p>
        </w:tc>
        <w:tc>
          <w:tcPr>
            <w:tcW w:type="dxa" w:w="2041"/>
          </w:tcPr>
          <w:p>
            <w:pPr>
              <w:spacing w:after="40"/>
            </w:pPr>
            <w:r/>
            <w:r>
              <w:rPr>
                <w:sz w:val="18"/>
              </w:rPr>
              <w:t>Identifiant</w:t>
            </w:r>
          </w:p>
        </w:tc>
        <w:tc>
          <w:tcPr>
            <w:tcW w:type="dxa" w:w="1587"/>
          </w:tcPr>
          <w:p>
            <w:pPr>
              <w:spacing w:after="40"/>
            </w:pPr>
            <w:r/>
            <w:r>
              <w:rPr>
                <w:sz w:val="18"/>
              </w:rPr>
              <w:t>204 sans corps</w:t>
            </w:r>
          </w:p>
        </w:tc>
        <w:tc>
          <w:tcPr>
            <w:tcW w:type="dxa" w:w="2494"/>
          </w:tcPr>
          <w:p>
            <w:pPr>
              <w:spacing w:after="40"/>
            </w:pPr>
            <w:r/>
            <w:r>
              <w:rPr>
                <w:sz w:val="18"/>
              </w:rPr>
              <w:t>Un identifiant inconnu (404)</w:t>
            </w:r>
          </w:p>
        </w:tc>
      </w:tr>
      <w:tr>
        <w:tc>
          <w:tcPr>
            <w:tcW w:type="dxa" w:w="1928"/>
          </w:tcPr>
          <w:p>
            <w:pPr>
              <w:spacing w:after="40"/>
            </w:pPr>
            <w:r/>
            <w:r>
              <w:rPr>
                <w:sz w:val="18"/>
              </w:rPr>
              <w:t>PATCH /{id}/restore</w:t>
            </w:r>
          </w:p>
        </w:tc>
        <w:tc>
          <w:tcPr>
            <w:tcW w:type="dxa" w:w="1587"/>
          </w:tcPr>
          <w:p>
            <w:pPr>
              <w:spacing w:after="40"/>
            </w:pPr>
            <w:r/>
            <w:r>
              <w:rPr>
                <w:sz w:val="18"/>
              </w:rPr>
              <w:t>Sort de la corbeille</w:t>
            </w:r>
          </w:p>
        </w:tc>
        <w:tc>
          <w:tcPr>
            <w:tcW w:type="dxa" w:w="2041"/>
          </w:tcPr>
          <w:p>
            <w:pPr>
              <w:spacing w:after="40"/>
            </w:pPr>
            <w:r/>
            <w:r>
              <w:rPr>
                <w:sz w:val="18"/>
              </w:rPr>
              <w:t>Identifiant</w:t>
            </w:r>
          </w:p>
        </w:tc>
        <w:tc>
          <w:tcPr>
            <w:tcW w:type="dxa" w:w="1587"/>
          </w:tcPr>
          <w:p>
            <w:pPr>
              <w:spacing w:after="40"/>
            </w:pPr>
            <w:r/>
            <w:r>
              <w:rPr>
                <w:sz w:val="18"/>
              </w:rPr>
              <w:t>204 sans corps</w:t>
            </w:r>
          </w:p>
        </w:tc>
        <w:tc>
          <w:tcPr>
            <w:tcW w:type="dxa" w:w="2494"/>
          </w:tcPr>
          <w:p>
            <w:pPr>
              <w:spacing w:after="40"/>
            </w:pPr>
            <w:r/>
            <w:r>
              <w:rPr>
                <w:sz w:val="18"/>
              </w:rPr>
              <w:t>Un identifiant inconnu (404)</w:t>
            </w:r>
          </w:p>
        </w:tc>
      </w:tr>
      <w:tr>
        <w:tc>
          <w:tcPr>
            <w:tcW w:type="dxa" w:w="1928"/>
          </w:tcPr>
          <w:p>
            <w:pPr>
              <w:spacing w:after="40"/>
            </w:pPr>
            <w:r/>
            <w:r>
              <w:rPr>
                <w:sz w:val="18"/>
              </w:rPr>
              <w:t>DELETE /multiple-delete</w:t>
            </w:r>
          </w:p>
        </w:tc>
        <w:tc>
          <w:tcPr>
            <w:tcW w:type="dxa" w:w="1587"/>
          </w:tcPr>
          <w:p>
            <w:pPr>
              <w:spacing w:after="40"/>
            </w:pPr>
            <w:r/>
            <w:r>
              <w:rPr>
                <w:sz w:val="18"/>
              </w:rPr>
              <w:t>Met en corbeille en lot</w:t>
            </w:r>
          </w:p>
        </w:tc>
        <w:tc>
          <w:tcPr>
            <w:tcW w:type="dxa" w:w="2041"/>
          </w:tcPr>
          <w:p>
            <w:pPr>
              <w:spacing w:after="40"/>
            </w:pPr>
            <w:r/>
            <w:r>
              <w:rPr>
                <w:sz w:val="18"/>
              </w:rPr>
              <w:t>Corps portant une liste d'identifiants</w:t>
            </w:r>
          </w:p>
        </w:tc>
        <w:tc>
          <w:tcPr>
            <w:tcW w:type="dxa" w:w="1587"/>
          </w:tcPr>
          <w:p>
            <w:pPr>
              <w:spacing w:after="40"/>
            </w:pPr>
            <w:r/>
            <w:r>
              <w:rPr>
                <w:sz w:val="18"/>
              </w:rPr>
              <w:t>204 sans corps</w:t>
            </w:r>
          </w:p>
        </w:tc>
        <w:tc>
          <w:tcPr>
            <w:tcW w:type="dxa" w:w="2494"/>
          </w:tcPr>
          <w:p>
            <w:pPr>
              <w:spacing w:after="40"/>
            </w:pPr>
            <w:r/>
            <w:r>
              <w:rPr>
                <w:sz w:val="18"/>
              </w:rPr>
              <w:t>Rien : les identifiants inconnus ou déjà supprimés sont ignorés en silence</w:t>
            </w:r>
          </w:p>
        </w:tc>
      </w:tr>
      <w:tr>
        <w:tc>
          <w:tcPr>
            <w:tcW w:type="dxa" w:w="1928"/>
          </w:tcPr>
          <w:p>
            <w:pPr>
              <w:spacing w:after="40"/>
            </w:pPr>
            <w:r/>
            <w:r>
              <w:rPr>
                <w:sz w:val="18"/>
              </w:rPr>
              <w:t>PATCH /multiple-restore</w:t>
            </w:r>
          </w:p>
        </w:tc>
        <w:tc>
          <w:tcPr>
            <w:tcW w:type="dxa" w:w="1587"/>
          </w:tcPr>
          <w:p>
            <w:pPr>
              <w:spacing w:after="40"/>
            </w:pPr>
            <w:r/>
            <w:r>
              <w:rPr>
                <w:sz w:val="18"/>
              </w:rPr>
              <w:t>Restaure en lot</w:t>
            </w:r>
          </w:p>
        </w:tc>
        <w:tc>
          <w:tcPr>
            <w:tcW w:type="dxa" w:w="2041"/>
          </w:tcPr>
          <w:p>
            <w:pPr>
              <w:spacing w:after="40"/>
            </w:pPr>
            <w:r/>
            <w:r>
              <w:rPr>
                <w:sz w:val="18"/>
              </w:rPr>
              <w:t>Corps portant une liste d'identifiants</w:t>
            </w:r>
          </w:p>
        </w:tc>
        <w:tc>
          <w:tcPr>
            <w:tcW w:type="dxa" w:w="1587"/>
          </w:tcPr>
          <w:p>
            <w:pPr>
              <w:spacing w:after="40"/>
            </w:pPr>
            <w:r/>
            <w:r>
              <w:rPr>
                <w:sz w:val="18"/>
              </w:rPr>
              <w:t>204 sans corps</w:t>
            </w:r>
          </w:p>
        </w:tc>
        <w:tc>
          <w:tcPr>
            <w:tcW w:type="dxa" w:w="2494"/>
          </w:tcPr>
          <w:p>
            <w:pPr>
              <w:spacing w:after="40"/>
            </w:pPr>
            <w:r/>
            <w:r>
              <w:rPr>
                <w:sz w:val="18"/>
              </w:rPr>
              <w:t>Rien : même régime</w:t>
            </w:r>
          </w:p>
        </w:tc>
      </w:tr>
    </w:tbl>
    <w:p>
      <w:pPr>
        <w:spacing w:after="40"/>
      </w:pPr>
    </w:p>
    <w:p>
      <w:r>
        <w:rPr>
          <w:i w:val="0"/>
        </w:rPr>
        <w:t>Les deux opérations groupées ne rendent aucun compte rendu : l'écran ne peut pas savoir combien de lignes ont réellement changé d'état, et affiche donc le nombre qu'il a envoyé. Ce point est repris en section 10.</w:t>
      </w:r>
    </w:p>
    <w:p>
      <w:r>
        <w:br w:type="page"/>
      </w:r>
    </w:p>
    <w:p>
      <w:pPr>
        <w:pStyle w:val="Heading1"/>
        <w:spacing w:before="360" w:after="160"/>
      </w:pPr>
      <w:r>
        <w:t>5. Les règles vérifiées côté serveur</w:t>
      </w:r>
    </w:p>
    <w:p>
      <w:pPr>
        <w:pStyle w:val="Heading2"/>
        <w:spacing w:before="280" w:after="120"/>
      </w:pPr>
      <w:r>
        <w:t>5.1 Règles partagées avec l'écran</w:t>
      </w:r>
    </w:p>
    <w:p>
      <w:r>
        <w:rPr>
          <w:i w:val="0"/>
        </w:rPr>
        <w:t>Les règles ci-dessous sont également évaluées dans le navigateur, avant tout envoi. Le contrôle local existe pour le confort de l'opérateur — un fichier refusé ne doit pas traverser le réseau — mais il ne vaut pas garantie : le serveur les réévalue toutes.</w:t>
      </w:r>
    </w:p>
    <w:p>
      <w:pPr>
        <w:spacing w:before="160" w:after="40"/>
      </w:pPr>
      <w:r>
        <w:rPr>
          <w:b/>
        </w:rPr>
        <w:t xml:space="preserve">R1. </w:t>
      </w:r>
      <w:r>
        <w:rPr>
          <w:b w:val="0"/>
        </w:rPr>
        <w:t>Le fichier est obligatoire au dépôt comme au versement d'une version. Un fichier absent ou vide est refusé avant toute autre vérification.</w:t>
      </w:r>
    </w:p>
    <w:p>
      <w:pPr>
        <w:spacing w:after="40"/>
        <w:ind w:left="454"/>
      </w:pPr>
      <w:r>
        <w:rPr>
          <w:b/>
          <w:sz w:val="20"/>
        </w:rPr>
        <w:t xml:space="preserve">Portée : </w:t>
      </w:r>
      <w:r>
        <w:rPr>
          <w:color w:val="444444"/>
          <w:sz w:val="20"/>
        </w:rPr>
        <w:t>Également vérifiée dans la fenêtre de dépôt, qui refuse la validation sans sélection.</w:t>
      </w:r>
    </w:p>
    <w:p>
      <w:pPr>
        <w:spacing w:after="120"/>
        <w:ind w:left="454"/>
      </w:pPr>
      <w:r>
        <w:rPr>
          <w:b/>
          <w:sz w:val="20"/>
        </w:rPr>
        <w:t xml:space="preserve">Pourquoi : </w:t>
      </w:r>
      <w:r>
        <w:rPr>
          <w:color w:val="444444"/>
          <w:sz w:val="20"/>
        </w:rPr>
        <w:t>Sans fichier, il n'y a rien à stocker : créer la fiche produirait un document qui s'affiche dans la liste, se télécharge, et rend une erreur au premier clic.</w:t>
      </w:r>
    </w:p>
    <w:p>
      <w:pPr>
        <w:spacing w:before="160" w:after="40"/>
      </w:pPr>
      <w:r>
        <w:rPr>
          <w:b/>
        </w:rPr>
        <w:t xml:space="preserve">R2. </w:t>
      </w:r>
      <w:r>
        <w:rPr>
          <w:b w:val="0"/>
        </w:rPr>
        <w:t>Le format du fichier doit figurer parmi ceux déclarés par le type de document. La comparaison porte sur l'extension du nom transmis, ramenée en minuscules. Un type qui ne déclare aucun format accepte tout.</w:t>
      </w:r>
    </w:p>
    <w:p>
      <w:pPr>
        <w:spacing w:after="40"/>
        <w:ind w:left="454"/>
      </w:pPr>
      <w:r>
        <w:rPr>
          <w:b/>
          <w:sz w:val="20"/>
        </w:rPr>
        <w:t xml:space="preserve">Portée : </w:t>
      </w:r>
      <w:r>
        <w:rPr>
          <w:color w:val="444444"/>
          <w:sz w:val="20"/>
        </w:rPr>
        <w:t>Également vérifiée localement, avec un message qui énonce les formats acceptés.</w:t>
      </w:r>
    </w:p>
    <w:p>
      <w:pPr>
        <w:spacing w:after="120"/>
        <w:ind w:left="454"/>
      </w:pPr>
      <w:r>
        <w:rPr>
          <w:b/>
          <w:sz w:val="20"/>
        </w:rPr>
        <w:t xml:space="preserve">Pourquoi : </w:t>
      </w:r>
      <w:r>
        <w:rPr>
          <w:color w:val="444444"/>
          <w:sz w:val="20"/>
        </w:rPr>
        <w:t>Le format est le seul filtre qui empêche un fonds documentaire de devenir un dépôt de fichiers arbitraires. Il appartient au type parce que c'est lui qui décrit ce qu'on range.</w:t>
      </w:r>
    </w:p>
    <w:p>
      <w:pPr>
        <w:spacing w:before="160" w:after="40"/>
      </w:pPr>
      <w:r>
        <w:rPr>
          <w:b/>
        </w:rPr>
        <w:t xml:space="preserve">R3. </w:t>
      </w:r>
      <w:r>
        <w:rPr>
          <w:b w:val="0"/>
        </w:rPr>
        <w:t>La taille du fichier ne doit pas dépasser le plafond déclaré par le type, exprimé en mégaoctets. Un plafond serveur global s'y ajoute, fixé à 100 Mo par fichier et 120 Mo par requête dans la configuration de l'application.</w:t>
      </w:r>
    </w:p>
    <w:p>
      <w:pPr>
        <w:spacing w:after="40"/>
        <w:ind w:left="454"/>
      </w:pPr>
      <w:r>
        <w:rPr>
          <w:b/>
          <w:sz w:val="20"/>
        </w:rPr>
        <w:t xml:space="preserve">Portée : </w:t>
      </w:r>
      <w:r>
        <w:rPr>
          <w:color w:val="444444"/>
          <w:sz w:val="20"/>
        </w:rPr>
        <w:t>Également vérifiée localement, avec une taille affichée en unité lisible.</w:t>
      </w:r>
    </w:p>
    <w:p>
      <w:pPr>
        <w:spacing w:after="120"/>
        <w:ind w:left="454"/>
      </w:pPr>
      <w:r>
        <w:rPr>
          <w:b/>
          <w:sz w:val="20"/>
        </w:rPr>
        <w:t xml:space="preserve">Pourquoi : </w:t>
      </w:r>
      <w:r>
        <w:rPr>
          <w:color w:val="444444"/>
          <w:sz w:val="20"/>
        </w:rPr>
        <w:t>Les deux bornes ne servent pas la même chose : celle du type est une règle métier, celle de la configuration protège le processus contre une requête qui l'épuiserait avant même d'atteindre la règle métier.</w:t>
      </w:r>
    </w:p>
    <w:p>
      <w:pPr>
        <w:spacing w:before="160" w:after="40"/>
      </w:pPr>
      <w:r>
        <w:rPr>
          <w:b/>
        </w:rPr>
        <w:t xml:space="preserve">R4. </w:t>
      </w:r>
      <w:r>
        <w:rPr>
          <w:b w:val="0"/>
        </w:rPr>
        <w:t>Le nom du document ne peut pas dépasser 255 caractères. La même borne s'applique au nom composé par l'indexation.</w:t>
      </w:r>
    </w:p>
    <w:p>
      <w:pPr>
        <w:spacing w:after="40"/>
        <w:ind w:left="454"/>
      </w:pPr>
      <w:r>
        <w:rPr>
          <w:b/>
          <w:sz w:val="20"/>
        </w:rPr>
        <w:t xml:space="preserve">Portée : </w:t>
      </w:r>
      <w:r>
        <w:rPr>
          <w:color w:val="444444"/>
          <w:sz w:val="20"/>
        </w:rPr>
        <w:t>Le formulaire borne la saisie ; le serveur nomme le champ et la longueur reçue.</w:t>
      </w:r>
    </w:p>
    <w:p>
      <w:pPr>
        <w:spacing w:after="120"/>
        <w:ind w:left="454"/>
      </w:pPr>
      <w:r>
        <w:rPr>
          <w:b/>
          <w:sz w:val="20"/>
        </w:rPr>
        <w:t xml:space="preserve">Pourquoi : </w:t>
      </w:r>
      <w:r>
        <w:rPr>
          <w:color w:val="444444"/>
          <w:sz w:val="20"/>
        </w:rPr>
        <w:t>La colonne fait 255 caractères. Sans contrôle applicatif, la base refusait la valeur et l'appelant recevait une erreur serveur nue, sans savoir quel champ était en cause ni quelle était la limite.</w:t>
      </w:r>
    </w:p>
    <w:p>
      <w:pPr>
        <w:spacing w:before="160" w:after="40"/>
      </w:pPr>
      <w:r>
        <w:rPr>
          <w:b/>
        </w:rPr>
        <w:t xml:space="preserve">R5. </w:t>
      </w:r>
      <w:r>
        <w:rPr>
          <w:b w:val="0"/>
        </w:rPr>
        <w:t>La date d'expiration doit être exprimée en année-mois-jour. Toute autre écriture est refusée, avec le libellé du champ et la valeur reçue.</w:t>
      </w:r>
    </w:p>
    <w:p>
      <w:pPr>
        <w:spacing w:after="40"/>
        <w:ind w:left="454"/>
      </w:pPr>
      <w:r>
        <w:rPr>
          <w:b/>
          <w:sz w:val="20"/>
        </w:rPr>
        <w:t xml:space="preserve">Portée : </w:t>
      </w:r>
      <w:r>
        <w:rPr>
          <w:color w:val="444444"/>
          <w:sz w:val="20"/>
        </w:rPr>
        <w:t>Le sélecteur de date de l'écran produit déjà la bonne forme ; la règle couvre les appels directs à l'API.</w:t>
      </w:r>
    </w:p>
    <w:p>
      <w:pPr>
        <w:spacing w:after="120"/>
        <w:ind w:left="454"/>
      </w:pPr>
      <w:r>
        <w:rPr>
          <w:b/>
          <w:sz w:val="20"/>
        </w:rPr>
        <w:t xml:space="preserve">Pourquoi : </w:t>
      </w:r>
      <w:r>
        <w:rPr>
          <w:color w:val="444444"/>
          <w:sz w:val="20"/>
        </w:rPr>
        <w:t>L'analyse d'une date lève une exception qui n'est pas une erreur d'argument : elle traversait le gestionnaire d'erreurs et ressortait en erreur serveur pour une simple faute de saisie.</w:t>
      </w:r>
    </w:p>
    <w:p>
      <w:pPr>
        <w:pStyle w:val="Heading2"/>
        <w:spacing w:before="280" w:after="120"/>
      </w:pPr>
      <w:r>
        <w:t>5.2 Règles qui n'existent que côté serveur</w:t>
      </w:r>
    </w:p>
    <w:p>
      <w:r>
        <w:rPr>
          <w:i w:val="0"/>
        </w:rPr>
        <w:t>Les règles suivantes n'ont aucun équivalent dans le navigateur. Elles portent sur des états que l'écran ne connaît pas toujours, ou sur des invariants qu'il n'a pas les moyens de tenir.</w:t>
      </w:r>
    </w:p>
    <w:p>
      <w:pPr>
        <w:spacing w:before="160" w:after="40"/>
      </w:pPr>
      <w:r>
        <w:rPr>
          <w:b/>
        </w:rPr>
        <w:t xml:space="preserve">R6. </w:t>
      </w:r>
      <w:r>
        <w:rPr>
          <w:b w:val="0"/>
        </w:rPr>
        <w:t>Un type de document mis en corbeille refuse tout dépôt et toute réaffectation.</w:t>
      </w:r>
    </w:p>
    <w:p>
      <w:pPr>
        <w:spacing w:after="40"/>
        <w:ind w:left="454"/>
      </w:pPr>
      <w:r>
        <w:rPr>
          <w:b/>
          <w:sz w:val="20"/>
        </w:rPr>
        <w:t xml:space="preserve">Portée : </w:t>
      </w:r>
      <w:r>
        <w:rPr>
          <w:color w:val="444444"/>
          <w:sz w:val="20"/>
        </w:rPr>
        <w:t>Serveur uniquement : l'écran ne propose pas ce type, il ne vérifie donc rien.</w:t>
      </w:r>
    </w:p>
    <w:p>
      <w:pPr>
        <w:spacing w:after="120"/>
        <w:ind w:left="454"/>
      </w:pPr>
      <w:r>
        <w:rPr>
          <w:b/>
          <w:sz w:val="20"/>
        </w:rPr>
        <w:t xml:space="preserve">Pourquoi : </w:t>
      </w:r>
      <w:r>
        <w:rPr>
          <w:color w:val="444444"/>
          <w:sz w:val="20"/>
        </w:rPr>
        <w:t>Un type supprimé disparaît des sélecteurs mais son identifiant reste valide. Déposer dessus créait un document rangé sous une catégorie que plus personne ne peut voir ni administrer.</w:t>
      </w:r>
    </w:p>
    <w:p>
      <w:pPr>
        <w:spacing w:before="160" w:after="40"/>
      </w:pPr>
      <w:r>
        <w:rPr>
          <w:b/>
        </w:rPr>
        <w:t xml:space="preserve">R7. </w:t>
      </w:r>
      <w:r>
        <w:rPr>
          <w:b w:val="0"/>
        </w:rPr>
        <w:t>Un document en corbeille refuse toute écriture : modification de fiche, bascule du verrou, versement de version, désignation d'une version, indexation. La lecture reste ouverte.</w:t>
      </w:r>
    </w:p>
    <w:p>
      <w:pPr>
        <w:spacing w:after="40"/>
        <w:ind w:left="454"/>
      </w:pPr>
      <w:r>
        <w:rPr>
          <w:b/>
          <w:sz w:val="20"/>
        </w:rPr>
        <w:t xml:space="preserve">Portée : </w:t>
      </w:r>
      <w:r>
        <w:rPr>
          <w:color w:val="444444"/>
          <w:sz w:val="20"/>
        </w:rPr>
        <w:t>Serveur uniquement, avec un message qui indique la sortie : restaurer d'abord.</w:t>
      </w:r>
    </w:p>
    <w:p>
      <w:pPr>
        <w:spacing w:after="120"/>
        <w:ind w:left="454"/>
      </w:pPr>
      <w:r>
        <w:rPr>
          <w:b/>
          <w:sz w:val="20"/>
        </w:rPr>
        <w:t xml:space="preserve">Pourquoi : </w:t>
      </w:r>
      <w:r>
        <w:rPr>
          <w:color w:val="444444"/>
          <w:sz w:val="20"/>
        </w:rPr>
        <w:t>La corbeille doit rester consultable pour que l'opérateur décide de restaurer ou non. En revanche, écrire sur une pièce que l'utilisateur croit supprimée produit une trace qui ne sera jamais relue.</w:t>
      </w:r>
    </w:p>
    <w:p>
      <w:pPr>
        <w:spacing w:before="160" w:after="40"/>
      </w:pPr>
      <w:r>
        <w:rPr>
          <w:b/>
        </w:rPr>
        <w:t xml:space="preserve">R8. </w:t>
      </w:r>
      <w:r>
        <w:rPr>
          <w:b w:val="0"/>
        </w:rPr>
        <w:t>Un document verrouillé refuse la modification de fiche, le versement d'une nouvelle version et l'écriture des index. Le verrou ne bloque ni la lecture, ni le téléchargement, ni la mise en corbeille, ni sa propre levée.</w:t>
      </w:r>
    </w:p>
    <w:p>
      <w:pPr>
        <w:spacing w:after="40"/>
        <w:ind w:left="454"/>
      </w:pPr>
      <w:r>
        <w:rPr>
          <w:b/>
          <w:sz w:val="20"/>
        </w:rPr>
        <w:t xml:space="preserve">Portée : </w:t>
      </w:r>
      <w:r>
        <w:rPr>
          <w:color w:val="444444"/>
          <w:sz w:val="20"/>
        </w:rPr>
        <w:t>Serveur uniquement. L'écriture des index passe par une autre porte que la modification de fiche : sans ce contrôle à cet endroit, le verrou aurait été contournable.</w:t>
      </w:r>
    </w:p>
    <w:p>
      <w:pPr>
        <w:spacing w:after="120"/>
        <w:ind w:left="454"/>
      </w:pPr>
      <w:r>
        <w:rPr>
          <w:b/>
          <w:sz w:val="20"/>
        </w:rPr>
        <w:t xml:space="preserve">Pourquoi : </w:t>
      </w:r>
      <w:r>
        <w:rPr>
          <w:color w:val="444444"/>
          <w:sz w:val="20"/>
        </w:rPr>
        <w:t>Le verrou est un état, pas une permission : il n'y a qu'un utilisateur, et il sert à se protéger de soi-même sur les pièces définitives. Bloquer sa propre levée le rendrait irréversible ; bloquer la lecture le rendrait inutile.</w:t>
      </w:r>
    </w:p>
    <w:p>
      <w:pPr>
        <w:spacing w:before="160" w:after="40"/>
      </w:pPr>
      <w:r>
        <w:rPr>
          <w:b/>
        </w:rPr>
        <w:t xml:space="preserve">R9. </w:t>
      </w:r>
      <w:r>
        <w:rPr>
          <w:b w:val="0"/>
        </w:rPr>
        <w:t>Une version désignée comme principale doit appartenir au document visé.</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Les deux identifiants voyagent dans l'adresse. Sans confrontation, un appel bien choisi faisait pointer la fiche d'un document vers le fichier d'un autre — c'est-à-dire servait au téléchargement un contenu étranger sous un nom légitime.</w:t>
      </w:r>
    </w:p>
    <w:p>
      <w:pPr>
        <w:spacing w:before="160" w:after="40"/>
      </w:pPr>
      <w:r>
        <w:rPr>
          <w:b/>
        </w:rPr>
        <w:t xml:space="preserve">R10. </w:t>
      </w:r>
      <w:r>
        <w:rPr>
          <w:b w:val="0"/>
        </w:rPr>
        <w:t>Toute opération qui déplace le drapeau de version principale charge le document avec un verrou d'écriture sur sa ligne, et retire le drapeau de toutes les versions qui le portent avant d'en promouvoir une.</w:t>
      </w:r>
    </w:p>
    <w:p>
      <w:pPr>
        <w:spacing w:after="40"/>
        <w:ind w:left="454"/>
      </w:pPr>
      <w:r>
        <w:rPr>
          <w:b/>
          <w:sz w:val="20"/>
        </w:rPr>
        <w:t xml:space="preserve">Portée : </w:t>
      </w:r>
      <w:r>
        <w:rPr>
          <w:color w:val="444444"/>
          <w:sz w:val="20"/>
        </w:rPr>
        <w:t>Serveur uniquement, par nature.</w:t>
      </w:r>
    </w:p>
    <w:p>
      <w:pPr>
        <w:spacing w:after="120"/>
        <w:ind w:left="454"/>
      </w:pPr>
      <w:r>
        <w:rPr>
          <w:b/>
          <w:sz w:val="20"/>
        </w:rPr>
        <w:t xml:space="preserve">Pourquoi : </w:t>
      </w:r>
      <w:r>
        <w:rPr>
          <w:color w:val="444444"/>
          <w:sz w:val="20"/>
        </w:rPr>
        <w:t>Deux versements simultanés lisaient la même version courante, la démotaient chacun de leur côté puis promouvaient la leur : le document se retrouvait avec deux versions principales, état qu'aucune lecture ne savait plus traiter — la fiche elle-même devenait inaccessible, sans aucun moyen de réparation par l'API. Le verrou sérialise les requêtes ; la démotion en masse rend réparable un état déjà abîmé.</w:t>
      </w:r>
    </w:p>
    <w:p>
      <w:pPr>
        <w:spacing w:before="160" w:after="40"/>
      </w:pPr>
      <w:r>
        <w:rPr>
          <w:b/>
        </w:rPr>
        <w:t xml:space="preserve">R11. </w:t>
      </w:r>
      <w:r>
        <w:rPr>
          <w:b w:val="0"/>
        </w:rPr>
        <w:t>Le tri est confronté à une liste blanche de colonnes : identifiant, nom, extension, taille, date de création, date d'expiration, nom d'espace et libellé de type. Toute autre valeur est ignorée et le tri par défaut s'applique, du plus récent au plus ancien.</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 champ de tri libre atteint directement le schéma de la table : une colonne inexistante ferait remonter une erreur de base au client, et une colonne existante mais non prévue exposerait une structure interne.</w:t>
      </w:r>
    </w:p>
    <w:p>
      <w:pPr>
        <w:spacing w:before="160" w:after="40"/>
      </w:pPr>
      <w:r>
        <w:rPr>
          <w:b/>
        </w:rPr>
        <w:t xml:space="preserve">R12. </w:t>
      </w:r>
      <w:r>
        <w:rPr>
          <w:b w:val="0"/>
        </w:rPr>
        <w:t>La taille de page est ramenée dans les bornes exploitables : une valeur inférieure à 1 vaut 10, une valeur supérieure à 200 vaut 200. Un numéro de page négatif est refusé, et un numéro dont le décalage dépasserait la capacité d'un entier signé l'est également, avec la borne maximale dans le message.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Une page de cent mille lignes n'est plus une page : elle ramène la table entière et fait tomber le serveur avant l'écran. Le plafonnement rend une réponse utilisable plutôt que de refuser ; le refus est réservé aux numéros qui ne peuvent pas être calculés.</w:t>
      </w:r>
    </w:p>
    <w:p>
      <w:pPr>
        <w:spacing w:before="160" w:after="40"/>
      </w:pPr>
      <w:r>
        <w:rPr>
          <w:b/>
        </w:rPr>
        <w:t xml:space="preserve">R13. </w:t>
      </w:r>
      <w:r>
        <w:rPr>
          <w:b w:val="0"/>
        </w:rPr>
        <w:t>La recherche porte sur le nom du document, sans distinction de casse, en recherche de sous-chaîne. Le filtre par espace de travail, quand il est fourni, s'y ajoute.</w:t>
      </w:r>
    </w:p>
    <w:p>
      <w:pPr>
        <w:spacing w:after="40"/>
        <w:ind w:left="454"/>
      </w:pPr>
      <w:r>
        <w:rPr>
          <w:b/>
          <w:sz w:val="20"/>
        </w:rPr>
        <w:t xml:space="preserve">Portée : </w:t>
      </w:r>
      <w:r>
        <w:rPr>
          <w:color w:val="444444"/>
          <w:sz w:val="20"/>
        </w:rPr>
        <w:t>L'écran envoie le terme saisi ; c'est le serveur qui décide de la comparaison.</w:t>
      </w:r>
    </w:p>
    <w:p>
      <w:pPr>
        <w:spacing w:after="120"/>
        <w:ind w:left="454"/>
      </w:pPr>
      <w:r>
        <w:rPr>
          <w:b/>
          <w:sz w:val="20"/>
        </w:rPr>
        <w:t xml:space="preserve">Pourquoi : </w:t>
      </w:r>
      <w:r>
        <w:rPr>
          <w:color w:val="444444"/>
          <w:sz w:val="20"/>
        </w:rPr>
        <w:t>Le filtrage est fait par la base et non après coup : filtrer une page déjà constituée donnerait un total faux et une pagination incohérente.</w:t>
      </w:r>
    </w:p>
    <w:p>
      <w:pPr>
        <w:spacing w:before="160" w:after="40"/>
      </w:pPr>
      <w:r>
        <w:rPr>
          <w:b/>
        </w:rPr>
        <w:t xml:space="preserve">R14. </w:t>
      </w:r>
      <w:r>
        <w:rPr>
          <w:b w:val="0"/>
        </w:rPr>
        <w:t>Lors d'une modification de fiche, le changement de type entraîne le changement d'espace de travail : le document suit l'espace déclaré par son nouveau type.</w:t>
      </w:r>
    </w:p>
    <w:p>
      <w:pPr>
        <w:spacing w:after="40"/>
        <w:ind w:left="454"/>
      </w:pPr>
      <w:r>
        <w:rPr>
          <w:b/>
          <w:sz w:val="20"/>
        </w:rPr>
        <w:t xml:space="preserve">Portée : </w:t>
      </w:r>
      <w:r>
        <w:rPr>
          <w:color w:val="444444"/>
          <w:sz w:val="20"/>
        </w:rPr>
        <w:t>Serveur uniquement : l'écran ne propose pas de choisir l'espace.</w:t>
      </w:r>
    </w:p>
    <w:p>
      <w:pPr>
        <w:spacing w:after="120"/>
        <w:ind w:left="454"/>
      </w:pPr>
      <w:r>
        <w:rPr>
          <w:b/>
          <w:sz w:val="20"/>
        </w:rPr>
        <w:t xml:space="preserve">Pourquoi : </w:t>
      </w:r>
      <w:r>
        <w:rPr>
          <w:color w:val="444444"/>
          <w:sz w:val="20"/>
        </w:rPr>
        <w:t>Laisser les deux diverger rangerait le document dans un espace qui n'accepte pas ce type — une incohérence invisible dans la liste, mais qui fausse l'arborescence et le circuit de validation appliqué.</w:t>
      </w:r>
    </w:p>
    <w:p>
      <w:r>
        <w:br w:type="page"/>
      </w:r>
    </w:p>
    <w:p>
      <w:pPr>
        <w:pStyle w:val="Heading1"/>
        <w:spacing w:before="360" w:after="160"/>
      </w:pPr>
      <w:r>
        <w:t>6. Les erreurs et les réponses</w:t>
      </w:r>
    </w:p>
    <w:p>
      <w:r>
        <w:rPr>
          <w:i/>
          <w:color w:val="444444"/>
        </w:rPr>
        <w:t>Toutes les erreurs de l'API sortent au même format : un horodatage, un code, un message en français, et pour les erreurs de validation de corps un détail champ par champ. L'écran lit systématiquement le message ; à défaut, il affiche « Une erreur est survenue. » plutôt qu'un libellé technique.</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1701"/>
          </w:tcPr>
          <w:p>
            <w:pPr>
              <w:spacing w:after="40"/>
            </w:pPr>
            <w:r/>
            <w:r>
              <w:rPr>
                <w:b/>
                <w:sz w:val="18"/>
              </w:rPr>
              <w:t>Situation</w:t>
            </w:r>
          </w:p>
        </w:tc>
        <w:tc>
          <w:tcPr>
            <w:tcW w:type="dxa" w:w="850"/>
          </w:tcPr>
          <w:p>
            <w:pPr>
              <w:spacing w:after="40"/>
            </w:pPr>
            <w:r/>
            <w:r>
              <w:rPr>
                <w:b/>
                <w:sz w:val="18"/>
              </w:rPr>
              <w:t>Code</w:t>
            </w:r>
          </w:p>
        </w:tc>
        <w:tc>
          <w:tcPr>
            <w:tcW w:type="dxa" w:w="3402"/>
          </w:tcPr>
          <w:p>
            <w:pPr>
              <w:spacing w:after="40"/>
            </w:pPr>
            <w:r/>
            <w:r>
              <w:rPr>
                <w:b/>
                <w:sz w:val="18"/>
              </w:rPr>
              <w:t>Message renvoyé</w:t>
            </w:r>
          </w:p>
        </w:tc>
        <w:tc>
          <w:tcPr>
            <w:tcW w:type="dxa" w:w="3685"/>
          </w:tcPr>
          <w:p>
            <w:pPr>
              <w:spacing w:after="40"/>
            </w:pPr>
            <w:r/>
            <w:r>
              <w:rPr>
                <w:b/>
                <w:sz w:val="18"/>
              </w:rPr>
              <w:t>Ce que l'écran en fait</w:t>
            </w:r>
          </w:p>
        </w:tc>
      </w:tr>
      <w:tr>
        <w:tc>
          <w:tcPr>
            <w:tcW w:type="dxa" w:w="1701"/>
          </w:tcPr>
          <w:p>
            <w:pPr>
              <w:spacing w:after="40"/>
            </w:pPr>
            <w:r/>
            <w:r>
              <w:rPr>
                <w:sz w:val="18"/>
              </w:rPr>
              <w:t>Dépôt sans fichier</w:t>
            </w:r>
          </w:p>
        </w:tc>
        <w:tc>
          <w:tcPr>
            <w:tcW w:type="dxa" w:w="850"/>
          </w:tcPr>
          <w:p>
            <w:pPr>
              <w:spacing w:after="40"/>
            </w:pPr>
            <w:r/>
            <w:r>
              <w:rPr>
                <w:sz w:val="18"/>
              </w:rPr>
              <w:t>400</w:t>
            </w:r>
          </w:p>
        </w:tc>
        <w:tc>
          <w:tcPr>
            <w:tcW w:type="dxa" w:w="3402"/>
          </w:tcPr>
          <w:p>
            <w:pPr>
              <w:spacing w:after="40"/>
            </w:pPr>
            <w:r/>
            <w:r>
              <w:rPr>
                <w:sz w:val="18"/>
              </w:rPr>
              <w:t>Le fichier est obligatoire</w:t>
            </w:r>
          </w:p>
        </w:tc>
        <w:tc>
          <w:tcPr>
            <w:tcW w:type="dxa" w:w="3685"/>
          </w:tcPr>
          <w:p>
            <w:pPr>
              <w:spacing w:after="40"/>
            </w:pPr>
            <w:r/>
            <w:r>
              <w:rPr>
                <w:sz w:val="18"/>
              </w:rPr>
              <w:t>Message affiché sous le formulaire de dépôt ; la fenêtre reste ouverte</w:t>
            </w:r>
          </w:p>
        </w:tc>
      </w:tr>
      <w:tr>
        <w:tc>
          <w:tcPr>
            <w:tcW w:type="dxa" w:w="1701"/>
          </w:tcPr>
          <w:p>
            <w:pPr>
              <w:spacing w:after="40"/>
            </w:pPr>
            <w:r/>
            <w:r>
              <w:rPr>
                <w:sz w:val="18"/>
              </w:rPr>
              <w:t>Type de document inconnu</w:t>
            </w:r>
          </w:p>
        </w:tc>
        <w:tc>
          <w:tcPr>
            <w:tcW w:type="dxa" w:w="850"/>
          </w:tcPr>
          <w:p>
            <w:pPr>
              <w:spacing w:after="40"/>
            </w:pPr>
            <w:r/>
            <w:r>
              <w:rPr>
                <w:sz w:val="18"/>
              </w:rPr>
              <w:t>404</w:t>
            </w:r>
          </w:p>
        </w:tc>
        <w:tc>
          <w:tcPr>
            <w:tcW w:type="dxa" w:w="3402"/>
          </w:tcPr>
          <w:p>
            <w:pPr>
              <w:spacing w:after="40"/>
            </w:pPr>
            <w:r/>
            <w:r>
              <w:rPr>
                <w:sz w:val="18"/>
              </w:rPr>
              <w:t>Type de document introuvable : {identifiant}</w:t>
            </w:r>
          </w:p>
        </w:tc>
        <w:tc>
          <w:tcPr>
            <w:tcW w:type="dxa" w:w="3685"/>
          </w:tcPr>
          <w:p>
            <w:pPr>
              <w:spacing w:after="40"/>
            </w:pPr>
            <w:r/>
            <w:r>
              <w:rPr>
                <w:sz w:val="18"/>
              </w:rPr>
              <w:t>Message affiché ; le sélecteur est rechargé à la prochaine ouverture</w:t>
            </w:r>
          </w:p>
        </w:tc>
      </w:tr>
      <w:tr>
        <w:tc>
          <w:tcPr>
            <w:tcW w:type="dxa" w:w="1701"/>
          </w:tcPr>
          <w:p>
            <w:pPr>
              <w:spacing w:after="40"/>
            </w:pPr>
            <w:r/>
            <w:r>
              <w:rPr>
                <w:sz w:val="18"/>
              </w:rPr>
              <w:t>Type en corbeille</w:t>
            </w:r>
          </w:p>
        </w:tc>
        <w:tc>
          <w:tcPr>
            <w:tcW w:type="dxa" w:w="850"/>
          </w:tcPr>
          <w:p>
            <w:pPr>
              <w:spacing w:after="40"/>
            </w:pPr>
            <w:r/>
            <w:r>
              <w:rPr>
                <w:sz w:val="18"/>
              </w:rPr>
              <w:t>400</w:t>
            </w:r>
          </w:p>
        </w:tc>
        <w:tc>
          <w:tcPr>
            <w:tcW w:type="dxa" w:w="3402"/>
          </w:tcPr>
          <w:p>
            <w:pPr>
              <w:spacing w:after="40"/>
            </w:pPr>
            <w:r/>
            <w:r>
              <w:rPr>
                <w:sz w:val="18"/>
              </w:rPr>
              <w:t>Le type de document « X » est en corbeille : dépôt impossible.</w:t>
            </w:r>
          </w:p>
        </w:tc>
        <w:tc>
          <w:tcPr>
            <w:tcW w:type="dxa" w:w="3685"/>
          </w:tcPr>
          <w:p>
            <w:pPr>
              <w:spacing w:after="40"/>
            </w:pPr>
            <w:r/>
            <w:r>
              <w:rPr>
                <w:sz w:val="18"/>
              </w:rPr>
              <w:t>Message affiché tel quel</w:t>
            </w:r>
          </w:p>
        </w:tc>
      </w:tr>
      <w:tr>
        <w:tc>
          <w:tcPr>
            <w:tcW w:type="dxa" w:w="1701"/>
          </w:tcPr>
          <w:p>
            <w:pPr>
              <w:spacing w:after="40"/>
            </w:pPr>
            <w:r/>
            <w:r>
              <w:rPr>
                <w:sz w:val="18"/>
              </w:rPr>
              <w:t>Format non autorisé</w:t>
            </w:r>
          </w:p>
        </w:tc>
        <w:tc>
          <w:tcPr>
            <w:tcW w:type="dxa" w:w="850"/>
          </w:tcPr>
          <w:p>
            <w:pPr>
              <w:spacing w:after="40"/>
            </w:pPr>
            <w:r/>
            <w:r>
              <w:rPr>
                <w:sz w:val="18"/>
              </w:rPr>
              <w:t>400</w:t>
            </w:r>
          </w:p>
        </w:tc>
        <w:tc>
          <w:tcPr>
            <w:tcW w:type="dxa" w:w="3402"/>
          </w:tcPr>
          <w:p>
            <w:pPr>
              <w:spacing w:after="40"/>
            </w:pPr>
            <w:r/>
            <w:r>
              <w:rPr>
                <w:sz w:val="18"/>
              </w:rPr>
              <w:t>Format « .ext » non autorisé (autorisés : pdf, docx)</w:t>
            </w:r>
          </w:p>
        </w:tc>
        <w:tc>
          <w:tcPr>
            <w:tcW w:type="dxa" w:w="3685"/>
          </w:tcPr>
          <w:p>
            <w:pPr>
              <w:spacing w:after="40"/>
            </w:pPr>
            <w:r/>
            <w:r>
              <w:rPr>
                <w:sz w:val="18"/>
              </w:rPr>
              <w:t>En pratique intercepté avant l'envoi ; le message local énonce les formats acceptés</w:t>
            </w:r>
          </w:p>
        </w:tc>
      </w:tr>
      <w:tr>
        <w:tc>
          <w:tcPr>
            <w:tcW w:type="dxa" w:w="1701"/>
          </w:tcPr>
          <w:p>
            <w:pPr>
              <w:spacing w:after="40"/>
            </w:pPr>
            <w:r/>
            <w:r>
              <w:rPr>
                <w:sz w:val="18"/>
              </w:rPr>
              <w:t>Fichier trop volumineux</w:t>
            </w:r>
          </w:p>
        </w:tc>
        <w:tc>
          <w:tcPr>
            <w:tcW w:type="dxa" w:w="850"/>
          </w:tcPr>
          <w:p>
            <w:pPr>
              <w:spacing w:after="40"/>
            </w:pPr>
            <w:r/>
            <w:r>
              <w:rPr>
                <w:sz w:val="18"/>
              </w:rPr>
              <w:t>400</w:t>
            </w:r>
          </w:p>
        </w:tc>
        <w:tc>
          <w:tcPr>
            <w:tcW w:type="dxa" w:w="3402"/>
          </w:tcPr>
          <w:p>
            <w:pPr>
              <w:spacing w:after="40"/>
            </w:pPr>
            <w:r/>
            <w:r>
              <w:rPr>
                <w:sz w:val="18"/>
              </w:rPr>
              <w:t>Fichier trop volumineux (max N Mo)</w:t>
            </w:r>
          </w:p>
        </w:tc>
        <w:tc>
          <w:tcPr>
            <w:tcW w:type="dxa" w:w="3685"/>
          </w:tcPr>
          <w:p>
            <w:pPr>
              <w:spacing w:after="40"/>
            </w:pPr>
            <w:r/>
            <w:r>
              <w:rPr>
                <w:sz w:val="18"/>
              </w:rPr>
              <w:t>Idem ; le message local affiche la taille en unité lisible</w:t>
            </w:r>
          </w:p>
        </w:tc>
      </w:tr>
      <w:tr>
        <w:tc>
          <w:tcPr>
            <w:tcW w:type="dxa" w:w="1701"/>
          </w:tcPr>
          <w:p>
            <w:pPr>
              <w:spacing w:after="40"/>
            </w:pPr>
            <w:r/>
            <w:r>
              <w:rPr>
                <w:sz w:val="18"/>
              </w:rPr>
              <w:t>Nom de plus de 255 caractères</w:t>
            </w:r>
          </w:p>
        </w:tc>
        <w:tc>
          <w:tcPr>
            <w:tcW w:type="dxa" w:w="850"/>
          </w:tcPr>
          <w:p>
            <w:pPr>
              <w:spacing w:after="40"/>
            </w:pPr>
            <w:r/>
            <w:r>
              <w:rPr>
                <w:sz w:val="18"/>
              </w:rPr>
              <w:t>400</w:t>
            </w:r>
          </w:p>
        </w:tc>
        <w:tc>
          <w:tcPr>
            <w:tcW w:type="dxa" w:w="3402"/>
          </w:tcPr>
          <w:p>
            <w:pPr>
              <w:spacing w:after="40"/>
            </w:pPr>
            <w:r/>
            <w:r>
              <w:rPr>
                <w:sz w:val="18"/>
              </w:rPr>
              <w:t>Le champ « nom du document » ne peut pas dépasser 255 caractères (reçu : N).</w:t>
            </w:r>
          </w:p>
        </w:tc>
        <w:tc>
          <w:tcPr>
            <w:tcW w:type="dxa" w:w="3685"/>
          </w:tcPr>
          <w:p>
            <w:pPr>
              <w:spacing w:after="40"/>
            </w:pPr>
            <w:r/>
            <w:r>
              <w:rPr>
                <w:sz w:val="18"/>
              </w:rPr>
              <w:t>Message affiché sous le champ</w:t>
            </w:r>
          </w:p>
        </w:tc>
      </w:tr>
      <w:tr>
        <w:tc>
          <w:tcPr>
            <w:tcW w:type="dxa" w:w="1701"/>
          </w:tcPr>
          <w:p>
            <w:pPr>
              <w:spacing w:after="40"/>
            </w:pPr>
            <w:r/>
            <w:r>
              <w:rPr>
                <w:sz w:val="18"/>
              </w:rPr>
              <w:t>Date d'expiration mal formée</w:t>
            </w:r>
          </w:p>
        </w:tc>
        <w:tc>
          <w:tcPr>
            <w:tcW w:type="dxa" w:w="850"/>
          </w:tcPr>
          <w:p>
            <w:pPr>
              <w:spacing w:after="40"/>
            </w:pPr>
            <w:r/>
            <w:r>
              <w:rPr>
                <w:sz w:val="18"/>
              </w:rPr>
              <w:t>400</w:t>
            </w:r>
          </w:p>
        </w:tc>
        <w:tc>
          <w:tcPr>
            <w:tcW w:type="dxa" w:w="3402"/>
          </w:tcPr>
          <w:p>
            <w:pPr>
              <w:spacing w:after="40"/>
            </w:pPr>
            <w:r/>
            <w:r>
              <w:rPr>
                <w:sz w:val="18"/>
              </w:rPr>
              <w:t>Le champ « date d'expiration » attend une date au format AAAA-MM-JJ (reçu : « X »).</w:t>
            </w:r>
          </w:p>
        </w:tc>
        <w:tc>
          <w:tcPr>
            <w:tcW w:type="dxa" w:w="3685"/>
          </w:tcPr>
          <w:p>
            <w:pPr>
              <w:spacing w:after="40"/>
            </w:pPr>
            <w:r/>
            <w:r>
              <w:rPr>
                <w:sz w:val="18"/>
              </w:rPr>
              <w:t>Message affiché sous le champ</w:t>
            </w:r>
          </w:p>
        </w:tc>
      </w:tr>
      <w:tr>
        <w:tc>
          <w:tcPr>
            <w:tcW w:type="dxa" w:w="1701"/>
          </w:tcPr>
          <w:p>
            <w:pPr>
              <w:spacing w:after="40"/>
            </w:pPr>
            <w:r/>
            <w:r>
              <w:rPr>
                <w:sz w:val="18"/>
              </w:rPr>
              <w:t>Écriture sur document en corbeille</w:t>
            </w:r>
          </w:p>
        </w:tc>
        <w:tc>
          <w:tcPr>
            <w:tcW w:type="dxa" w:w="850"/>
          </w:tcPr>
          <w:p>
            <w:pPr>
              <w:spacing w:after="40"/>
            </w:pPr>
            <w:r/>
            <w:r>
              <w:rPr>
                <w:sz w:val="18"/>
              </w:rPr>
              <w:t>400</w:t>
            </w:r>
          </w:p>
        </w:tc>
        <w:tc>
          <w:tcPr>
            <w:tcW w:type="dxa" w:w="3402"/>
          </w:tcPr>
          <w:p>
            <w:pPr>
              <w:spacing w:after="40"/>
            </w:pPr>
            <w:r/>
            <w:r>
              <w:rPr>
                <w:sz w:val="18"/>
              </w:rPr>
              <w:t>Document en corbeille : {opération} impossible. Restaurez-le d'abord.</w:t>
            </w:r>
          </w:p>
        </w:tc>
        <w:tc>
          <w:tcPr>
            <w:tcW w:type="dxa" w:w="3685"/>
          </w:tcPr>
          <w:p>
            <w:pPr>
              <w:spacing w:after="40"/>
            </w:pPr>
            <w:r/>
            <w:r>
              <w:rPr>
                <w:sz w:val="18"/>
              </w:rPr>
              <w:t>Message affiché ; l'écran d'archive n'expose pas ces actions</w:t>
            </w:r>
          </w:p>
        </w:tc>
      </w:tr>
      <w:tr>
        <w:tc>
          <w:tcPr>
            <w:tcW w:type="dxa" w:w="1701"/>
          </w:tcPr>
          <w:p>
            <w:pPr>
              <w:spacing w:after="40"/>
            </w:pPr>
            <w:r/>
            <w:r>
              <w:rPr>
                <w:sz w:val="18"/>
              </w:rPr>
              <w:t>Écriture sur document verrouillé</w:t>
            </w:r>
          </w:p>
        </w:tc>
        <w:tc>
          <w:tcPr>
            <w:tcW w:type="dxa" w:w="850"/>
          </w:tcPr>
          <w:p>
            <w:pPr>
              <w:spacing w:after="40"/>
            </w:pPr>
            <w:r/>
            <w:r>
              <w:rPr>
                <w:sz w:val="18"/>
              </w:rPr>
              <w:t>400</w:t>
            </w:r>
          </w:p>
        </w:tc>
        <w:tc>
          <w:tcPr>
            <w:tcW w:type="dxa" w:w="3402"/>
          </w:tcPr>
          <w:p>
            <w:pPr>
              <w:spacing w:after="40"/>
            </w:pPr>
            <w:r/>
            <w:r>
              <w:rPr>
                <w:sz w:val="18"/>
              </w:rPr>
              <w:t>Document verrouille : modification impossible / nouvelle version impossible / indexation impossible</w:t>
            </w:r>
          </w:p>
        </w:tc>
        <w:tc>
          <w:tcPr>
            <w:tcW w:type="dxa" w:w="3685"/>
          </w:tcPr>
          <w:p>
            <w:pPr>
              <w:spacing w:after="40"/>
            </w:pPr>
            <w:r/>
            <w:r>
              <w:rPr>
                <w:sz w:val="18"/>
              </w:rPr>
              <w:t>Message affiché ; la fiche propose la levée du verrou</w:t>
            </w:r>
          </w:p>
        </w:tc>
      </w:tr>
      <w:tr>
        <w:tc>
          <w:tcPr>
            <w:tcW w:type="dxa" w:w="1701"/>
          </w:tcPr>
          <w:p>
            <w:pPr>
              <w:spacing w:after="40"/>
            </w:pPr>
            <w:r/>
            <w:r>
              <w:rPr>
                <w:sz w:val="18"/>
              </w:rPr>
              <w:t>Version étrangère au document</w:t>
            </w:r>
          </w:p>
        </w:tc>
        <w:tc>
          <w:tcPr>
            <w:tcW w:type="dxa" w:w="850"/>
          </w:tcPr>
          <w:p>
            <w:pPr>
              <w:spacing w:after="40"/>
            </w:pPr>
            <w:r/>
            <w:r>
              <w:rPr>
                <w:sz w:val="18"/>
              </w:rPr>
              <w:t>400</w:t>
            </w:r>
          </w:p>
        </w:tc>
        <w:tc>
          <w:tcPr>
            <w:tcW w:type="dxa" w:w="3402"/>
          </w:tcPr>
          <w:p>
            <w:pPr>
              <w:spacing w:after="40"/>
            </w:pPr>
            <w:r/>
            <w:r>
              <w:rPr>
                <w:sz w:val="18"/>
              </w:rPr>
              <w:t>Cette version n'appartient pas au document</w:t>
            </w:r>
          </w:p>
        </w:tc>
        <w:tc>
          <w:tcPr>
            <w:tcW w:type="dxa" w:w="3685"/>
          </w:tcPr>
          <w:p>
            <w:pPr>
              <w:spacing w:after="40"/>
            </w:pPr>
            <w:r/>
            <w:r>
              <w:rPr>
                <w:sz w:val="18"/>
              </w:rPr>
              <w:t>Message affiché ; ne devrait pas survenir depuis l'écran</w:t>
            </w:r>
          </w:p>
        </w:tc>
      </w:tr>
      <w:tr>
        <w:tc>
          <w:tcPr>
            <w:tcW w:type="dxa" w:w="1701"/>
          </w:tcPr>
          <w:p>
            <w:pPr>
              <w:spacing w:after="40"/>
            </w:pPr>
            <w:r/>
            <w:r>
              <w:rPr>
                <w:sz w:val="18"/>
              </w:rPr>
              <w:t>Document ou version inconnus</w:t>
            </w:r>
          </w:p>
        </w:tc>
        <w:tc>
          <w:tcPr>
            <w:tcW w:type="dxa" w:w="850"/>
          </w:tcPr>
          <w:p>
            <w:pPr>
              <w:spacing w:after="40"/>
            </w:pPr>
            <w:r/>
            <w:r>
              <w:rPr>
                <w:sz w:val="18"/>
              </w:rPr>
              <w:t>404</w:t>
            </w:r>
          </w:p>
        </w:tc>
        <w:tc>
          <w:tcPr>
            <w:tcW w:type="dxa" w:w="3402"/>
          </w:tcPr>
          <w:p>
            <w:pPr>
              <w:spacing w:after="40"/>
            </w:pPr>
            <w:r/>
            <w:r>
              <w:rPr>
                <w:sz w:val="18"/>
              </w:rPr>
              <w:t>Document introuvable : {id} / Version introuvable : {id}</w:t>
            </w:r>
          </w:p>
        </w:tc>
        <w:tc>
          <w:tcPr>
            <w:tcW w:type="dxa" w:w="3685"/>
          </w:tcPr>
          <w:p>
            <w:pPr>
              <w:spacing w:after="40"/>
            </w:pPr>
            <w:r/>
            <w:r>
              <w:rPr>
                <w:sz w:val="18"/>
              </w:rPr>
              <w:t>Message affiché ; la liste est rechargée</w:t>
            </w:r>
          </w:p>
        </w:tc>
      </w:tr>
      <w:tr>
        <w:tc>
          <w:tcPr>
            <w:tcW w:type="dxa" w:w="1701"/>
          </w:tcPr>
          <w:p>
            <w:pPr>
              <w:spacing w:after="40"/>
            </w:pPr>
            <w:r/>
            <w:r>
              <w:rPr>
                <w:sz w:val="18"/>
              </w:rPr>
              <w:t>Numéro de page invalide</w:t>
            </w:r>
          </w:p>
        </w:tc>
        <w:tc>
          <w:tcPr>
            <w:tcW w:type="dxa" w:w="850"/>
          </w:tcPr>
          <w:p>
            <w:pPr>
              <w:spacing w:after="40"/>
            </w:pPr>
            <w:r/>
            <w:r>
              <w:rPr>
                <w:sz w:val="18"/>
              </w:rPr>
              <w:t>400</w:t>
            </w:r>
          </w:p>
        </w:tc>
        <w:tc>
          <w:tcPr>
            <w:tcW w:type="dxa" w:w="3402"/>
          </w:tcPr>
          <w:p>
            <w:pPr>
              <w:spacing w:after="40"/>
            </w:pPr>
            <w:r/>
            <w:r>
              <w:rPr>
                <w:sz w:val="18"/>
              </w:rPr>
              <w:t>Le numéro de page ne peut pas être négatif (reçu : N). / Numéro de page hors limites : au plus N pour une taille de page de M (reçu : P).</w:t>
            </w:r>
          </w:p>
        </w:tc>
        <w:tc>
          <w:tcPr>
            <w:tcW w:type="dxa" w:w="3685"/>
          </w:tcPr>
          <w:p>
            <w:pPr>
              <w:spacing w:after="40"/>
            </w:pPr>
            <w:r/>
            <w:r>
              <w:rPr>
                <w:sz w:val="18"/>
              </w:rPr>
              <w:t>Ne devrait pas survenir depuis le paginateur</w:t>
            </w:r>
          </w:p>
        </w:tc>
      </w:tr>
      <w:tr>
        <w:tc>
          <w:tcPr>
            <w:tcW w:type="dxa" w:w="1701"/>
          </w:tcPr>
          <w:p>
            <w:pPr>
              <w:spacing w:after="40"/>
            </w:pPr>
            <w:r/>
            <w:r>
              <w:rPr>
                <w:sz w:val="18"/>
              </w:rPr>
              <w:t>Contrainte de base violée</w:t>
            </w:r>
          </w:p>
        </w:tc>
        <w:tc>
          <w:tcPr>
            <w:tcW w:type="dxa" w:w="850"/>
          </w:tcPr>
          <w:p>
            <w:pPr>
              <w:spacing w:after="40"/>
            </w:pPr>
            <w:r/>
            <w:r>
              <w:rPr>
                <w:sz w:val="18"/>
              </w:rPr>
              <w:t>400</w:t>
            </w:r>
          </w:p>
        </w:tc>
        <w:tc>
          <w:tcPr>
            <w:tcW w:type="dxa" w:w="3402"/>
          </w:tcPr>
          <w:p>
            <w:pPr>
              <w:spacing w:after="40"/>
            </w:pPr>
            <w:r/>
            <w:r>
              <w:rPr>
                <w:sz w:val="18"/>
              </w:rPr>
              <w:t>Donnée refusée par la base : une valeur dépasse la longueur autorisée pour sa colonne (255 caractères pour un champ texte). / cette valeur est déjà utilisée. / un champ obligatoire n'a pas été renseigné. / contrainte d'intégrité violée.</w:t>
            </w:r>
          </w:p>
        </w:tc>
        <w:tc>
          <w:tcPr>
            <w:tcW w:type="dxa" w:w="3685"/>
          </w:tcPr>
          <w:p>
            <w:pPr>
              <w:spacing w:after="40"/>
            </w:pPr>
            <w:r/>
            <w:r>
              <w:rPr>
                <w:sz w:val="18"/>
              </w:rPr>
              <w:t>Message affiché ; filet de sécurité, le message SQL brut n'est jamais recopié</w:t>
            </w:r>
          </w:p>
        </w:tc>
      </w:tr>
      <w:tr>
        <w:tc>
          <w:tcPr>
            <w:tcW w:type="dxa" w:w="1701"/>
          </w:tcPr>
          <w:p>
            <w:pPr>
              <w:spacing w:after="40"/>
            </w:pPr>
            <w:r/>
            <w:r>
              <w:rPr>
                <w:sz w:val="18"/>
              </w:rPr>
              <w:t>Verrou non obtenu (attente, interblocage)</w:t>
            </w:r>
          </w:p>
        </w:tc>
        <w:tc>
          <w:tcPr>
            <w:tcW w:type="dxa" w:w="850"/>
          </w:tcPr>
          <w:p>
            <w:pPr>
              <w:spacing w:after="40"/>
            </w:pPr>
            <w:r/>
            <w:r>
              <w:rPr>
                <w:sz w:val="18"/>
              </w:rPr>
              <w:t>409</w:t>
            </w:r>
          </w:p>
        </w:tc>
        <w:tc>
          <w:tcPr>
            <w:tcW w:type="dxa" w:w="3402"/>
          </w:tcPr>
          <w:p>
            <w:pPr>
              <w:spacing w:after="40"/>
            </w:pPr>
            <w:r/>
            <w:r>
              <w:rPr>
                <w:sz w:val="18"/>
              </w:rPr>
              <w:t>Le document est en cours de modification par une autre requête. Réessayez.</w:t>
            </w:r>
          </w:p>
        </w:tc>
        <w:tc>
          <w:tcPr>
            <w:tcW w:type="dxa" w:w="3685"/>
          </w:tcPr>
          <w:p>
            <w:pPr>
              <w:spacing w:after="40"/>
            </w:pPr>
            <w:r/>
            <w:r>
              <w:rPr>
                <w:sz w:val="18"/>
              </w:rPr>
              <w:t>Message affiché ; l'opération peut être rejouée telle quelle</w:t>
            </w:r>
          </w:p>
        </w:tc>
      </w:tr>
      <w:tr>
        <w:tc>
          <w:tcPr>
            <w:tcW w:type="dxa" w:w="1701"/>
          </w:tcPr>
          <w:p>
            <w:pPr>
              <w:spacing w:after="40"/>
            </w:pPr>
            <w:r/>
            <w:r>
              <w:rPr>
                <w:sz w:val="18"/>
              </w:rPr>
              <w:t>Jeton absent, invalide ou expiré</w:t>
            </w:r>
          </w:p>
        </w:tc>
        <w:tc>
          <w:tcPr>
            <w:tcW w:type="dxa" w:w="850"/>
          </w:tcPr>
          <w:p>
            <w:pPr>
              <w:spacing w:after="40"/>
            </w:pPr>
            <w:r/>
            <w:r>
              <w:rPr>
                <w:sz w:val="18"/>
              </w:rPr>
              <w:t>401</w:t>
            </w:r>
          </w:p>
        </w:tc>
        <w:tc>
          <w:tcPr>
            <w:tcW w:type="dxa" w:w="3402"/>
          </w:tcPr>
          <w:p>
            <w:pPr>
              <w:spacing w:after="40"/>
            </w:pPr>
            <w:r/>
            <w:r>
              <w:rPr>
                <w:sz w:val="18"/>
              </w:rPr>
              <w:t>Corps vide</w:t>
            </w:r>
          </w:p>
        </w:tc>
        <w:tc>
          <w:tcPr>
            <w:tcW w:type="dxa" w:w="3685"/>
          </w:tcPr>
          <w:p>
            <w:pPr>
              <w:spacing w:after="40"/>
            </w:pPr>
            <w:r/>
            <w:r>
              <w:rPr>
                <w:sz w:val="18"/>
              </w:rPr>
              <w:t>L'intercepteur ferme la session et renvoie vers la connexion ; aucun message supplémentaire n'est affiché</w:t>
            </w:r>
          </w:p>
        </w:tc>
      </w:tr>
      <w:tr>
        <w:tc>
          <w:tcPr>
            <w:tcW w:type="dxa" w:w="1701"/>
          </w:tcPr>
          <w:p>
            <w:pPr>
              <w:spacing w:after="40"/>
            </w:pPr>
            <w:r/>
            <w:r>
              <w:rPr>
                <w:sz w:val="18"/>
              </w:rPr>
              <w:t>Échec de téléchargement</w:t>
            </w:r>
          </w:p>
        </w:tc>
        <w:tc>
          <w:tcPr>
            <w:tcW w:type="dxa" w:w="850"/>
          </w:tcPr>
          <w:p>
            <w:pPr>
              <w:spacing w:after="40"/>
            </w:pPr>
            <w:r/>
            <w:r>
              <w:rPr>
                <w:sz w:val="18"/>
              </w:rPr>
              <w:t>0 / 403 / 404 / autre</w:t>
            </w:r>
          </w:p>
        </w:tc>
        <w:tc>
          <w:tcPr>
            <w:tcW w:type="dxa" w:w="3402"/>
          </w:tcPr>
          <w:p>
            <w:pPr>
              <w:spacing w:after="40"/>
            </w:pPr>
            <w:r/>
            <w:r>
              <w:rPr>
                <w:sz w:val="18"/>
              </w:rPr>
              <w:t>Le corps n'est pas exploitable : la réponse a été lue en binaire</w:t>
            </w:r>
          </w:p>
        </w:tc>
        <w:tc>
          <w:tcPr>
            <w:tcW w:type="dxa" w:w="3685"/>
          </w:tcPr>
          <w:p>
            <w:pPr>
              <w:spacing w:after="40"/>
            </w:pPr>
            <w:r/>
            <w:r>
              <w:rPr>
                <w:sz w:val="18"/>
              </w:rPr>
              <w:t>L'écran raisonne sur le seul code : « Serveur injoignable : téléchargement impossible. », « Vous n'avez pas l'autorisation de télécharger ce document. », « Ce document n'est plus disponible au téléchargement. », sinon « Téléchargement impossible. Réessayez dans un instant. »</w:t>
            </w:r>
          </w:p>
        </w:tc>
      </w:tr>
      <w:tr>
        <w:tc>
          <w:tcPr>
            <w:tcW w:type="dxa" w:w="1701"/>
          </w:tcPr>
          <w:p>
            <w:pPr>
              <w:spacing w:after="40"/>
            </w:pPr>
            <w:r/>
            <w:r>
              <w:rPr>
                <w:sz w:val="18"/>
              </w:rPr>
              <w:t>Envoi interrompu en cours de dépôt</w:t>
            </w:r>
          </w:p>
        </w:tc>
        <w:tc>
          <w:tcPr>
            <w:tcW w:type="dxa" w:w="850"/>
          </w:tcPr>
          <w:p>
            <w:pPr>
              <w:spacing w:after="40"/>
            </w:pPr>
            <w:r/>
            <w:r>
              <w:rPr>
                <w:sz w:val="18"/>
              </w:rPr>
              <w:t>0</w:t>
            </w:r>
          </w:p>
        </w:tc>
        <w:tc>
          <w:tcPr>
            <w:tcW w:type="dxa" w:w="3402"/>
          </w:tcPr>
          <w:p>
            <w:pPr>
              <w:spacing w:after="40"/>
            </w:pPr>
            <w:r/>
            <w:r>
              <w:rPr>
                <w:sz w:val="18"/>
              </w:rPr>
              <w:t>Aucun message serveur</w:t>
            </w:r>
          </w:p>
        </w:tc>
        <w:tc>
          <w:tcPr>
            <w:tcW w:type="dxa" w:w="3685"/>
          </w:tcPr>
          <w:p>
            <w:pPr>
              <w:spacing w:after="40"/>
            </w:pPr>
            <w:r/>
            <w:r>
              <w:rPr>
                <w:sz w:val="18"/>
              </w:rPr>
              <w:t>« L'envoi a été interrompu. Vérifiez votre connexion, puis réessayez. »</w:t>
            </w:r>
          </w:p>
        </w:tc>
      </w:tr>
    </w:tbl>
    <w:p>
      <w:pPr>
        <w:spacing w:after="40"/>
      </w:pPr>
    </w:p>
    <w:p>
      <w:r>
        <w:br w:type="page"/>
      </w:r>
    </w:p>
    <w:p>
      <w:pPr>
        <w:pStyle w:val="Heading1"/>
        <w:spacing w:before="360" w:after="160"/>
      </w:pPr>
      <w:r>
        <w:t>7. Ce qui est écrit, et dans quel ordre</w:t>
      </w:r>
    </w:p>
    <w:p>
      <w:r>
        <w:rPr>
          <w:i/>
          <w:color w:val="444444"/>
        </w:rPr>
        <w:t>Le dépôt est la seule opération de l'application qui écrit à la fois en base et sur un support qui n'est pas transactionnel. L'ordre des étapes y est la vraie protection ; la compensation décrite plus bas n'est qu'un filet.</w:t>
      </w:r>
    </w:p>
    <w:p>
      <w:pPr>
        <w:pStyle w:val="Heading2"/>
        <w:spacing w:before="280" w:after="120"/>
      </w:pPr>
      <w:r>
        <w:t>7.1 Le dépôt d'un document</w:t>
      </w:r>
    </w:p>
    <w:p>
      <w:pPr>
        <w:spacing w:after="0" w:before="0" w:line="240" w:lineRule="auto"/>
      </w:pPr>
      <w:r>
        <w:rPr>
          <w:rFonts w:ascii="Consolas" w:hAnsi="Consolas" w:cs="Consolas" w:eastAsia="Consolas"/>
          <w:sz w:val="18"/>
        </w:rPr>
        <w:t xml:space="preserve">  1  Fichier present et non vide ?                      -&gt; non : 400, rien n'est ecrit</w:t>
      </w:r>
    </w:p>
    <w:p>
      <w:pPr>
        <w:spacing w:after="0" w:before="0" w:line="240" w:lineRule="auto"/>
      </w:pPr>
      <w:r>
        <w:rPr>
          <w:rFonts w:ascii="Consolas" w:hAnsi="Consolas" w:cs="Consolas" w:eastAsia="Consolas"/>
          <w:sz w:val="18"/>
        </w:rPr>
        <w:t xml:space="preserve">  2  Chargement du type de document                     -&gt; inconnu : 404</w:t>
      </w:r>
    </w:p>
    <w:p>
      <w:pPr>
        <w:spacing w:after="0" w:before="0" w:line="240" w:lineRule="auto"/>
      </w:pPr>
      <w:r>
        <w:rPr>
          <w:rFonts w:ascii="Consolas" w:hAnsi="Consolas" w:cs="Consolas" w:eastAsia="Consolas"/>
          <w:sz w:val="18"/>
        </w:rPr>
        <w:t xml:space="preserve">  3  Le type est-il vivant (hors corbeille) ?           -&gt; non : 400</w:t>
      </w:r>
    </w:p>
    <w:p>
      <w:pPr>
        <w:spacing w:after="0" w:before="0" w:line="240" w:lineRule="auto"/>
      </w:pPr>
      <w:r>
        <w:rPr>
          <w:rFonts w:ascii="Consolas" w:hAnsi="Consolas" w:cs="Consolas" w:eastAsia="Consolas"/>
          <w:sz w:val="18"/>
        </w:rPr>
        <w:t xml:space="preserve">  4  Extraction de l'extension du nom transmis</w:t>
      </w:r>
    </w:p>
    <w:p>
      <w:pPr>
        <w:spacing w:after="0" w:before="0" w:line="240" w:lineRule="auto"/>
      </w:pPr>
      <w:r>
        <w:rPr>
          <w:rFonts w:ascii="Consolas" w:hAnsi="Consolas" w:cs="Consolas" w:eastAsia="Consolas"/>
          <w:sz w:val="18"/>
        </w:rPr>
        <w:t xml:space="preserve">  5  Controle du format puis de la taille               -&gt; refus : 400</w:t>
      </w:r>
    </w:p>
    <w:p>
      <w:pPr>
        <w:spacing w:after="0" w:before="0" w:line="240" w:lineRule="auto"/>
      </w:pPr>
      <w:r>
        <w:rPr>
          <w:rFonts w:ascii="Consolas" w:hAnsi="Consolas" w:cs="Consolas" w:eastAsia="Consolas"/>
          <w:sz w:val="18"/>
        </w:rPr>
        <w:t xml:space="preserve">  6  Determination du nom : celui fourni, sinon le nom</w:t>
      </w:r>
    </w:p>
    <w:p>
      <w:pPr>
        <w:spacing w:after="0" w:before="0" w:line="240" w:lineRule="auto"/>
      </w:pPr>
      <w:r>
        <w:rPr>
          <w:rFonts w:ascii="Consolas" w:hAnsi="Consolas" w:cs="Consolas" w:eastAsia="Consolas"/>
          <w:sz w:val="18"/>
        </w:rPr>
        <w:t xml:space="preserve">     du fichier sans extension ; controle de longueur   -&gt; refus : 400</w:t>
      </w:r>
    </w:p>
    <w:p>
      <w:pPr>
        <w:spacing w:after="0" w:before="0" w:line="240" w:lineRule="auto"/>
      </w:pPr>
      <w:r>
        <w:rPr>
          <w:rFonts w:ascii="Consolas" w:hAnsi="Consolas" w:cs="Consolas" w:eastAsia="Consolas"/>
          <w:sz w:val="18"/>
        </w:rPr>
        <w:t xml:space="preserve">  7  Analyse de la date d'expiration                    -&gt; refus : 400</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A PARTIR D'ICI, ET SEULEMENT ICI, LE DISQUE EST TOUCHE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8  Ecriture du fichier sous {espace}/{identifiant unique}.{ext}</w:t>
      </w:r>
    </w:p>
    <w:p>
      <w:pPr>
        <w:spacing w:after="0" w:before="0" w:line="240" w:lineRule="auto"/>
      </w:pPr>
      <w:r>
        <w:rPr>
          <w:rFonts w:ascii="Consolas" w:hAnsi="Consolas" w:cs="Consolas" w:eastAsia="Consolas"/>
          <w:sz w:val="18"/>
        </w:rPr>
        <w:t xml:space="preserve">  9  Enregistrement d'une compensation : si la transaction</w:t>
      </w:r>
    </w:p>
    <w:p>
      <w:pPr>
        <w:spacing w:after="0" w:before="0" w:line="240" w:lineRule="auto"/>
      </w:pPr>
      <w:r>
        <w:rPr>
          <w:rFonts w:ascii="Consolas" w:hAnsi="Consolas" w:cs="Consolas" w:eastAsia="Consolas"/>
          <w:sz w:val="18"/>
        </w:rPr>
        <w:t xml:space="preserve">     est annulee, ce fichier sera efface apres coup</w:t>
      </w:r>
    </w:p>
    <w:p>
      <w:pPr>
        <w:spacing w:after="0" w:before="0" w:line="240" w:lineRule="auto"/>
      </w:pPr>
      <w:r>
        <w:rPr>
          <w:rFonts w:ascii="Consolas" w:hAnsi="Consolas" w:cs="Consolas" w:eastAsia="Consolas"/>
          <w:sz w:val="18"/>
        </w:rPr>
        <w:t xml:space="preserve"> 10  Creation de la fiche : nom, espace, type, nom de fichier,</w:t>
      </w:r>
    </w:p>
    <w:p>
      <w:pPr>
        <w:spacing w:after="0" w:before="0" w:line="240" w:lineRule="auto"/>
      </w:pPr>
      <w:r>
        <w:rPr>
          <w:rFonts w:ascii="Consolas" w:hAnsi="Consolas" w:cs="Consolas" w:eastAsia="Consolas"/>
          <w:sz w:val="18"/>
        </w:rPr>
        <w:t xml:space="preserve">     chemin, extension, taille en Ko, date d'expiration</w:t>
      </w:r>
    </w:p>
    <w:p>
      <w:pPr>
        <w:spacing w:after="0" w:before="0" w:line="240" w:lineRule="auto"/>
      </w:pPr>
      <w:r>
        <w:rPr>
          <w:rFonts w:ascii="Consolas" w:hAnsi="Consolas" w:cs="Consolas" w:eastAsia="Consolas"/>
          <w:sz w:val="18"/>
        </w:rPr>
        <w:t xml:space="preserve"> 11  Resolution du createur depuis le jeton (silencieuse si absent)</w:t>
      </w:r>
    </w:p>
    <w:p>
      <w:pPr>
        <w:spacing w:after="0" w:before="0" w:line="240" w:lineRule="auto"/>
      </w:pPr>
      <w:r>
        <w:rPr>
          <w:rFonts w:ascii="Consolas" w:hAnsi="Consolas" w:cs="Consolas" w:eastAsia="Consolas"/>
          <w:sz w:val="18"/>
        </w:rPr>
        <w:t xml:space="preserve"> 12  Rattachement des etiquettes demandees</w:t>
      </w:r>
    </w:p>
    <w:p>
      <w:pPr>
        <w:spacing w:after="0" w:before="0" w:line="240" w:lineRule="auto"/>
      </w:pPr>
      <w:r>
        <w:rPr>
          <w:rFonts w:ascii="Consolas" w:hAnsi="Consolas" w:cs="Consolas" w:eastAsia="Consolas"/>
          <w:sz w:val="18"/>
        </w:rPr>
        <w:t xml:space="preserve"> 13  Enregistrement de la fiche</w:t>
      </w:r>
    </w:p>
    <w:p>
      <w:pPr>
        <w:spacing w:after="0" w:before="0" w:line="240" w:lineRule="auto"/>
      </w:pPr>
      <w:r>
        <w:rPr>
          <w:rFonts w:ascii="Consolas" w:hAnsi="Consolas" w:cs="Consolas" w:eastAsia="Consolas"/>
          <w:sz w:val="18"/>
        </w:rPr>
        <w:t xml:space="preserve"> 14  Creation de la version initiale, marquee principale,</w:t>
      </w:r>
    </w:p>
    <w:p>
      <w:pPr>
        <w:spacing w:after="0" w:before="0" w:line="240" w:lineRule="auto"/>
      </w:pPr>
      <w:r>
        <w:rPr>
          <w:rFonts w:ascii="Consolas" w:hAnsi="Consolas" w:cs="Consolas" w:eastAsia="Consolas"/>
          <w:sz w:val="18"/>
        </w:rPr>
        <w:t xml:space="preserve">     observation « Version initiale »</w:t>
      </w:r>
    </w:p>
    <w:p>
      <w:pPr>
        <w:spacing w:after="0" w:before="0" w:line="240" w:lineRule="auto"/>
      </w:pPr>
      <w:r>
        <w:rPr>
          <w:rFonts w:ascii="Consolas" w:hAnsi="Consolas" w:cs="Consolas" w:eastAsia="Consolas"/>
          <w:sz w:val="18"/>
        </w:rPr>
        <w:t xml:space="preserve"> 15  Report de cette version dans la fiche en memoire</w:t>
      </w:r>
    </w:p>
    <w:p>
      <w:pPr>
        <w:spacing w:after="0" w:before="0" w:line="240" w:lineRule="auto"/>
      </w:pPr>
      <w:r>
        <w:rPr>
          <w:rFonts w:ascii="Consolas" w:hAnsi="Consolas" w:cs="Consolas" w:eastAsia="Consolas"/>
          <w:sz w:val="18"/>
        </w:rPr>
        <w:t xml:space="preserve"> 16  Ouverture du circuit de signature du dossier</w:t>
      </w:r>
    </w:p>
    <w:p>
      <w:pPr>
        <w:spacing w:after="0" w:before="0" w:line="240" w:lineRule="auto"/>
      </w:pPr>
      <w:r>
        <w:rPr>
          <w:rFonts w:ascii="Consolas" w:hAnsi="Consolas" w:cs="Consolas" w:eastAsia="Consolas"/>
          <w:sz w:val="18"/>
        </w:rPr>
        <w:t xml:space="preserve"> 17  Reponse 201 avec la fiche complete</w:t>
      </w:r>
    </w:p>
    <w:p>
      <w:pPr>
        <w:spacing w:after="80"/>
      </w:pPr>
    </w:p>
    <w:p>
      <w:r>
        <w:rPr>
          <w:i w:val="0"/>
        </w:rPr>
        <w:t>Le point le plus important de cette séquence est la position de l'étape 8. Toutes les vérifications qui peuvent échouer sont faites avant elle. Dans une version antérieure, l'écriture du fichier précédait l'analyse de la date d'expiration : une date invalide annulait la transaction de base et laissait le fichier sur le disque. Le résultat était un fichier orphelin qu'aucune fiche ne référençait et qu'aucune route ne permettait d'effacer.</w:t>
      </w:r>
    </w:p>
    <w:p>
      <w:r>
        <w:rPr>
          <w:i w:val="0"/>
        </w:rPr>
        <w:t>Si une étape postérieure à l'écriture du fichier échoue — contrainte de base, panne, interruption — la transaction est annulée dans son ensemble : aucune fiche, aucune version, aucune étape de signature ne subsiste. La compensation enregistrée à l'étape 9 s'exécute après la fin de la transaction, une fois la réponse d'erreur déjà partie, et supprime le fichier. Elle est volontairement silencieuse : échouer bruyamment à cet instant masquerait l'erreur d'origine, la seule qui intéresse l'appelant. Le chemin est confiné sous la racine de stockage avant toute suppression, pour qu'un chemin relatif remontant ne puisse pas effacer un fichier hors de la GED.</w:t>
      </w:r>
    </w:p>
    <w:p>
      <w:pPr>
        <w:pStyle w:val="Heading2"/>
        <w:spacing w:before="280" w:after="120"/>
      </w:pPr>
      <w:r>
        <w:t>7.2 Le versement d'une nouvelle version</w:t>
      </w:r>
    </w:p>
    <w:p>
      <w:pPr>
        <w:spacing w:after="0" w:before="0" w:line="240" w:lineRule="auto"/>
      </w:pPr>
      <w:r>
        <w:rPr>
          <w:rFonts w:ascii="Consolas" w:hAnsi="Consolas" w:cs="Consolas" w:eastAsia="Consolas"/>
          <w:sz w:val="18"/>
        </w:rPr>
        <w:t xml:space="preserve">  1  Fichier present et non vide ?                      -&gt; non : 400</w:t>
      </w:r>
    </w:p>
    <w:p>
      <w:pPr>
        <w:spacing w:after="0" w:before="0" w:line="240" w:lineRule="auto"/>
      </w:pPr>
      <w:r>
        <w:rPr>
          <w:rFonts w:ascii="Consolas" w:hAnsi="Consolas" w:cs="Consolas" w:eastAsia="Consolas"/>
          <w:sz w:val="18"/>
        </w:rPr>
        <w:t xml:space="preserve">  2  Chargement du document AVEC VERROU D'ECRITURE      -&gt; inconnu : 404</w:t>
      </w:r>
    </w:p>
    <w:p>
      <w:pPr>
        <w:spacing w:after="0" w:before="0" w:line="240" w:lineRule="auto"/>
      </w:pPr>
      <w:r>
        <w:rPr>
          <w:rFonts w:ascii="Consolas" w:hAnsi="Consolas" w:cs="Consolas" w:eastAsia="Consolas"/>
          <w:sz w:val="18"/>
        </w:rPr>
        <w:t xml:space="preserve">     (le verrou est pris avant toute lecture des versions)</w:t>
      </w:r>
    </w:p>
    <w:p>
      <w:pPr>
        <w:spacing w:after="0" w:before="0" w:line="240" w:lineRule="auto"/>
      </w:pPr>
      <w:r>
        <w:rPr>
          <w:rFonts w:ascii="Consolas" w:hAnsi="Consolas" w:cs="Consolas" w:eastAsia="Consolas"/>
          <w:sz w:val="18"/>
        </w:rPr>
        <w:t xml:space="preserve">  3  Document en corbeille ?                            -&gt; oui : 400</w:t>
      </w:r>
    </w:p>
    <w:p>
      <w:pPr>
        <w:spacing w:after="0" w:before="0" w:line="240" w:lineRule="auto"/>
      </w:pPr>
      <w:r>
        <w:rPr>
          <w:rFonts w:ascii="Consolas" w:hAnsi="Consolas" w:cs="Consolas" w:eastAsia="Consolas"/>
          <w:sz w:val="18"/>
        </w:rPr>
        <w:t xml:space="preserve">  4  Document verrouille ?                              -&gt; oui : 400</w:t>
      </w:r>
    </w:p>
    <w:p>
      <w:pPr>
        <w:spacing w:after="0" w:before="0" w:line="240" w:lineRule="auto"/>
      </w:pPr>
      <w:r>
        <w:rPr>
          <w:rFonts w:ascii="Consolas" w:hAnsi="Consolas" w:cs="Consolas" w:eastAsia="Consolas"/>
          <w:sz w:val="18"/>
        </w:rPr>
        <w:t xml:space="preserve">  5  Controle du format et de la taille contre le type</w:t>
      </w:r>
    </w:p>
    <w:p>
      <w:pPr>
        <w:spacing w:after="0" w:before="0" w:line="240" w:lineRule="auto"/>
      </w:pPr>
      <w:r>
        <w:rPr>
          <w:rFonts w:ascii="Consolas" w:hAnsi="Consolas" w:cs="Consolas" w:eastAsia="Consolas"/>
          <w:sz w:val="18"/>
        </w:rPr>
        <w:t xml:space="preserve">     porte par le document                              -&gt; refus : 400</w:t>
      </w:r>
    </w:p>
    <w:p>
      <w:pPr>
        <w:spacing w:after="0" w:before="0" w:line="240" w:lineRule="auto"/>
      </w:pPr>
      <w:r>
        <w:rPr>
          <w:rFonts w:ascii="Consolas" w:hAnsi="Consolas" w:cs="Consolas" w:eastAsia="Consolas"/>
          <w:sz w:val="18"/>
        </w:rPr>
        <w:t xml:space="preserve">  6  Ecriture du nouveau fichier sur le disque</w:t>
      </w:r>
    </w:p>
    <w:p>
      <w:pPr>
        <w:spacing w:after="0" w:before="0" w:line="240" w:lineRule="auto"/>
      </w:pPr>
      <w:r>
        <w:rPr>
          <w:rFonts w:ascii="Consolas" w:hAnsi="Consolas" w:cs="Consolas" w:eastAsia="Consolas"/>
          <w:sz w:val="18"/>
        </w:rPr>
        <w:t xml:space="preserve">  7  Enregistrement de la compensation d'annulation</w:t>
      </w:r>
    </w:p>
    <w:p>
      <w:pPr>
        <w:spacing w:after="0" w:before="0" w:line="240" w:lineRule="auto"/>
      </w:pPr>
      <w:r>
        <w:rPr>
          <w:rFonts w:ascii="Consolas" w:hAnsi="Consolas" w:cs="Consolas" w:eastAsia="Consolas"/>
          <w:sz w:val="18"/>
        </w:rPr>
        <w:t xml:space="preserve">  8  Demotion de TOUTES les versions marquees principales</w:t>
      </w:r>
    </w:p>
    <w:p>
      <w:pPr>
        <w:spacing w:after="0" w:before="0" w:line="240" w:lineRule="auto"/>
      </w:pPr>
      <w:r>
        <w:rPr>
          <w:rFonts w:ascii="Consolas" w:hAnsi="Consolas" w:cs="Consolas" w:eastAsia="Consolas"/>
          <w:sz w:val="18"/>
        </w:rPr>
        <w:t xml:space="preserve">  9  Creation de la nouvelle version, marquee principale</w:t>
      </w:r>
    </w:p>
    <w:p>
      <w:pPr>
        <w:spacing w:after="0" w:before="0" w:line="240" w:lineRule="auto"/>
      </w:pPr>
      <w:r>
        <w:rPr>
          <w:rFonts w:ascii="Consolas" w:hAnsi="Consolas" w:cs="Consolas" w:eastAsia="Consolas"/>
          <w:sz w:val="18"/>
        </w:rPr>
        <w:t xml:space="preserve"> 10  Report sur la fiche : nom de fichier, chemin, extension, taille</w:t>
      </w:r>
    </w:p>
    <w:p>
      <w:pPr>
        <w:spacing w:after="0" w:before="0" w:line="240" w:lineRule="auto"/>
      </w:pPr>
      <w:r>
        <w:rPr>
          <w:rFonts w:ascii="Consolas" w:hAnsi="Consolas" w:cs="Consolas" w:eastAsia="Consolas"/>
          <w:sz w:val="18"/>
        </w:rPr>
        <w:t xml:space="preserve"> 11  Enregistrement de la fiche, reponse avec la fiche a jour</w:t>
      </w:r>
    </w:p>
    <w:p>
      <w:pPr>
        <w:spacing w:after="80"/>
      </w:pPr>
    </w:p>
    <w:p>
      <w:r>
        <w:rPr>
          <w:i w:val="0"/>
        </w:rPr>
        <w:t>L'étape 10 est ce qui fait que le téléchargement sert le bon contenu : la fiche porte en permanence le pointeur vers la version courante. Sans elle, le téléchargement continuerait de servir l'ancien fichier alors que la liste des versions afficherait le nouveau.</w:t>
      </w:r>
    </w:p>
    <w:p>
      <w:pPr>
        <w:pStyle w:val="Heading2"/>
        <w:spacing w:before="280" w:after="120"/>
      </w:pPr>
      <w:r>
        <w:t>7.3 La désignation d'une version antérieure</w:t>
      </w:r>
    </w:p>
    <w:p>
      <w:r>
        <w:rPr>
          <w:i w:val="0"/>
        </w:rPr>
        <w:t>La séquence est identique à la précédente, moins l'écriture disque : chargement verrouillé du document, refus s'il est en corbeille, chargement de la version visée, vérification de son appartenance, démotion de toutes les versions principales, promotion de la version visée, puis recopie sur la fiche du nom de fichier, du chemin, de l'extension et de la taille. C'est ce recopiage qui fait que le téléchargement revient effectivement en arrière.</w:t>
      </w:r>
    </w:p>
    <w:p>
      <w:r>
        <w:rPr>
          <w:i w:val="0"/>
        </w:rPr>
        <w:t>Une nuance mérite d'être signalée : cette opération ne vérifie pas le verrou du document. Elle ne crée ni ne détruit aucun contenu — elle déplace un pointeur entre des fichiers déjà présents — mais elle change le fichier servi au téléchargement d'une pièce déclarée définitive. Ce point est repris en section 10.</w:t>
      </w:r>
    </w:p>
    <w:p>
      <w:pPr>
        <w:pStyle w:val="Heading2"/>
        <w:spacing w:before="280" w:after="120"/>
      </w:pPr>
      <w:r>
        <w:t>7.4 La mise en corbeille et la restauration</w:t>
      </w:r>
    </w:p>
    <w:p>
      <w:r>
        <w:rPr>
          <w:i w:val="0"/>
        </w:rPr>
        <w:t>Les deux opérations unitaires chargent le document, positionnent l'indicateur de corbeille et s'arrêtent là. Aucun fichier n'est touché, aucune version n'est modifiée, aucune valeur d'index n'est effacée, aucune étape de signature n'est annulée. C'est ce qui rend la restauration exacte : le document revient dans l'état précis où il avait été laissé.</w:t>
      </w:r>
    </w:p>
    <w:p>
      <w:r>
        <w:rPr>
          <w:i w:val="0"/>
        </w:rPr>
        <w:t>Les variantes groupées chargent les lignes concernées en une requête, filtrées sur l'état attendu — non supprimées pour la mise en corbeille, supprimées pour la restauration — et basculent l'indicateur. Un identifiant inconnu, ou déjà dans l'état cible, est simplement absent du résultat : il n'est ni traité, ni signalé.</w:t>
      </w:r>
    </w:p>
    <w:p>
      <w:r>
        <w:br w:type="page"/>
      </w:r>
    </w:p>
    <w:p>
      <w:pPr>
        <w:pStyle w:val="Heading1"/>
        <w:spacing w:before="360" w:after="160"/>
      </w:pPr>
      <w:r>
        <w:t>8. Les effets de bord</w:t>
      </w:r>
    </w:p>
    <w:p>
      <w:pPr>
        <w:pStyle w:val="Heading3"/>
        <w:spacing w:before="200" w:after="80"/>
      </w:pPr>
      <w:r>
        <w:t>Fichiers écrits sur le disque</w:t>
      </w:r>
    </w:p>
    <w:p>
      <w:pPr>
        <w:pStyle w:val="ListBullet"/>
        <w:spacing w:after="60"/>
      </w:pPr>
      <w:r>
        <w:rPr>
          <w:b w:val="0"/>
        </w:rPr>
        <w:t xml:space="preserve">Chaque dépôt et chaque versement écrivent </w:t>
      </w:r>
      <w:r>
        <w:rPr>
          <w:b/>
        </w:rPr>
        <w:t>un fichier de plus</w:t>
      </w:r>
      <w:r>
        <w:rPr>
          <w:b w:val="0"/>
        </w:rPr>
        <w:t xml:space="preserve"> sous la racine de stockage configurée, dans un sous-répertoire nommé d'après l'identifiant de l'espace de travail. Le nom de stockage est un identifiant unique tiré au hasard, suivi de l'extension d'origine : deux fichiers de même nom déposés le même jour ne se recouvrent jamais.</w:t>
      </w:r>
    </w:p>
    <w:p>
      <w:pPr>
        <w:pStyle w:val="ListBullet"/>
        <w:spacing w:after="60"/>
      </w:pPr>
      <w:r>
        <w:rPr>
          <w:b/>
        </w:rPr>
        <w:t>Le stockage ne décroît jamais.</w:t>
      </w:r>
      <w:r>
        <w:rPr>
          <w:b w:val="0"/>
        </w:rPr>
        <w:t xml:space="preserve"> Aucune route n'efface un fichier. La suppression programmée lors d'une annulation de transaction est la seule exception, et elle ne porte que sur un fichier qu'aucune fiche ne référence. La conséquence est à documenter pour l'exploitant : la place occupée croît avec le nombre de dépôts et de versions, mise en corbeille comprise, et une purge éventuelle relève d'une décision manuelle, hors application.</w:t>
      </w:r>
    </w:p>
    <w:p>
      <w:pPr>
        <w:pStyle w:val="ListBullet"/>
        <w:spacing w:after="60"/>
      </w:pPr>
      <w:r>
        <w:rPr>
          <w:b w:val="0"/>
        </w:rPr>
        <w:t>Le répertoire racine est créé au démarrage de l'application ; son absence ou son inaccessibilité empêche le démarrage plutôt que de se manifester au premier dépôt.</w:t>
      </w:r>
    </w:p>
    <w:p>
      <w:pPr>
        <w:pStyle w:val="Heading3"/>
        <w:spacing w:before="200" w:after="80"/>
      </w:pPr>
      <w:r>
        <w:t>Écritures déclenchées dans les autres modules</w:t>
      </w:r>
    </w:p>
    <w:p>
      <w:pPr>
        <w:pStyle w:val="ListBullet"/>
        <w:spacing w:after="60"/>
      </w:pPr>
      <w:r>
        <w:rPr>
          <w:b w:val="0"/>
        </w:rPr>
        <w:t xml:space="preserve">Le dépôt </w:t>
      </w:r>
      <w:r>
        <w:rPr>
          <w:b/>
        </w:rPr>
        <w:t>ouvre le circuit de signature</w:t>
      </w:r>
      <w:r>
        <w:rPr>
          <w:b w:val="0"/>
        </w:rPr>
        <w:t xml:space="preserve"> du dossier : une étape est créée par étape déclarée dans la règle de workflow de l'espace, chacune en attente, avec le libellé et le rang copiés. Le document est alors marqué non actif. Si l'espace ne porte aucune étape, aucune ligne n'est créée et le document est actif immédiatement.</w:t>
      </w:r>
    </w:p>
    <w:p>
      <w:pPr>
        <w:pStyle w:val="ListBullet"/>
        <w:spacing w:after="60"/>
      </w:pPr>
      <w:r>
        <w:rPr>
          <w:b w:val="0"/>
        </w:rPr>
        <w:t xml:space="preserve">Le dépôt </w:t>
      </w:r>
      <w:r>
        <w:rPr>
          <w:b/>
        </w:rPr>
        <w:t>ne crée aucune valeur d'index</w:t>
      </w:r>
      <w:r>
        <w:rPr>
          <w:b w:val="0"/>
        </w:rPr>
        <w:t>. L'écriture des index est une seconde requête, adressée au module d'indexation, décrite au rapport 11.</w:t>
      </w:r>
    </w:p>
    <w:p>
      <w:pPr>
        <w:pStyle w:val="ListBullet"/>
        <w:spacing w:after="60"/>
      </w:pPr>
      <w:r>
        <w:rPr>
          <w:b w:val="0"/>
        </w:rPr>
        <w:t xml:space="preserve">L'écran, et non le serveur, </w:t>
      </w:r>
      <w:r>
        <w:rPr>
          <w:b/>
        </w:rPr>
        <w:t>redemande le compteur d'étapes à traiter</w:t>
      </w:r>
      <w:r>
        <w:rPr>
          <w:b w:val="0"/>
        </w:rPr>
        <w:t xml:space="preserve"> après un dépôt, une suppression ou une restauration, à l'unité comme en lot. C'est ce qui évite que la pastille du menu reste figée pendant que la liste change.</w:t>
      </w:r>
    </w:p>
    <w:p>
      <w:pPr>
        <w:pStyle w:val="Heading3"/>
        <w:spacing w:before="200" w:after="80"/>
      </w:pPr>
      <w:r>
        <w:t>Calculs faits à la lecture</w:t>
      </w:r>
    </w:p>
    <w:p>
      <w:pPr>
        <w:pStyle w:val="ListBullet"/>
        <w:spacing w:after="60"/>
      </w:pPr>
      <w:r>
        <w:rPr>
          <w:b w:val="0"/>
        </w:rPr>
        <w:t>La taille lisible est calculée à chaque réponse à partir de la taille en kilo-octets : « N Ko » en dessous de 1024, sinon une valeur en mégaoctets à une décimale.</w:t>
      </w:r>
    </w:p>
    <w:p>
      <w:pPr>
        <w:pStyle w:val="ListBullet"/>
        <w:spacing w:after="60"/>
      </w:pPr>
      <w:r>
        <w:rPr>
          <w:b w:val="0"/>
        </w:rPr>
        <w:t>Le chemin affiché n'est pas le chemin disque mais un chemin de rangement lisible, composé du nom de l'espace et du libellé du type. Le chemin disque ne dirait rien à un utilisateur et exposerait la structure de stockage.</w:t>
      </w:r>
    </w:p>
    <w:p>
      <w:pPr>
        <w:pStyle w:val="ListBullet"/>
        <w:spacing w:after="60"/>
      </w:pPr>
      <w:r>
        <w:rPr>
          <w:b w:val="0"/>
        </w:rPr>
        <w:t>Le nom proposé au téléchargement est composé du nom du document et de son extension, et l'en-tête de disposition est émis sous deux formes : une forme ASCII assainie pour les clients anciens, et une forme encodée en UTF-8 pour tous les autres. Un guillemet ou une barre oblique inverse dans le nom cassait l'en-tête ; un nom accentué le rendait invalide, le conteneur le laissait tomber en silence et le navigateur enregistrait le fichier sous l'identifiant d'URL.</w:t>
      </w:r>
    </w:p>
    <w:p>
      <w:pPr>
        <w:pStyle w:val="ListBullet"/>
        <w:spacing w:after="60"/>
      </w:pPr>
      <w:r>
        <w:rPr>
          <w:b w:val="0"/>
        </w:rPr>
        <w:t>Les étiquettes et les versions sont lues dans une enveloppe protégée : si la collection n'est pas disponible, une liste vide est renvoyée plutôt qu'une erreur qui priverait la page entière de réponse.</w:t>
      </w:r>
    </w:p>
    <w:p>
      <w:pPr>
        <w:pStyle w:val="Heading3"/>
        <w:spacing w:before="200" w:after="80"/>
      </w:pPr>
      <w:r>
        <w:t>Données qui ne sont jamais supprimées</w:t>
      </w:r>
    </w:p>
    <w:p>
      <w:pPr>
        <w:pStyle w:val="ListBullet"/>
        <w:spacing w:after="60"/>
      </w:pPr>
      <w:r>
        <w:rPr>
          <w:b w:val="0"/>
        </w:rPr>
        <w:t>Les fichiers, comme indiqué plus haut.</w:t>
      </w:r>
    </w:p>
    <w:p>
      <w:pPr>
        <w:pStyle w:val="ListBullet"/>
        <w:spacing w:after="60"/>
      </w:pPr>
      <w:r>
        <w:rPr>
          <w:b w:val="0"/>
        </w:rPr>
        <w:t>Les lignes de version : aucune route ne permet d'en retirer une.</w:t>
      </w:r>
    </w:p>
    <w:p>
      <w:pPr>
        <w:pStyle w:val="ListBullet"/>
        <w:spacing w:after="60"/>
      </w:pPr>
      <w:r>
        <w:rPr>
          <w:b w:val="0"/>
        </w:rPr>
        <w:t>Les valeurs d'index d'un document mis en corbeille.</w:t>
      </w:r>
    </w:p>
    <w:p>
      <w:pPr>
        <w:pStyle w:val="ListBullet"/>
        <w:spacing w:after="60"/>
      </w:pPr>
      <w:r>
        <w:rPr>
          <w:b w:val="0"/>
        </w:rPr>
        <w:t>Les étapes de signature d'un document mis en corbeille.</w:t>
      </w:r>
    </w:p>
    <w:p>
      <w:pPr>
        <w:pStyle w:val="ListBullet"/>
        <w:spacing w:after="60"/>
      </w:pPr>
      <w:r>
        <w:rPr>
          <w:b w:val="0"/>
        </w:rPr>
        <w:t>La fiche elle-même : aucune suppression définitive n'est exposée par l'API.</w:t>
      </w:r>
    </w:p>
    <w:p>
      <w:r>
        <w:br w:type="page"/>
      </w:r>
    </w:p>
    <w:p>
      <w:pPr>
        <w:pStyle w:val="Heading1"/>
        <w:spacing w:before="360" w:after="160"/>
      </w:pPr>
      <w:r>
        <w:t>9. Sécurité et contrôle d'accès</w:t>
      </w:r>
    </w:p>
    <w:p>
      <w:r>
        <w:rPr>
          <w:i w:val="0"/>
        </w:rPr>
        <w:t>L'application ne comporte qu'un compte : celui de l'administrateur. Il n'existe ni rôle, ni permission, ni profil. Les personnes visibles dans l'application — propriétaires d'espaces, approbateurs d'étapes, membres de groupes — sont des employés, c'est-à-dire des données ; elles ne se connectent pas.</w:t>
      </w:r>
    </w:p>
    <w:p>
      <w:r>
        <w:rPr>
          <w:i w:val="0"/>
        </w:rPr>
        <w:t>Concrètement, pour ce module, cela se traduit ainsi :</w:t>
      </w:r>
    </w:p>
    <w:p>
      <w:pPr>
        <w:pStyle w:val="ListNumber"/>
        <w:spacing w:after="60"/>
      </w:pPr>
      <w:r>
        <w:rPr>
          <w:b/>
        </w:rPr>
        <w:t>La seule question posée est « l'appelant est-il authentifié ? »</w:t>
      </w:r>
      <w:r>
        <w:rPr>
          <w:b w:val="0"/>
        </w:rPr>
        <w:t>, et elle l'est dans la chaîne de filtres, pas dans les contrôleurs. Toutes les routes documentaires sont fermées par défaut ; aucune n'est ouverte aux anonymes.</w:t>
      </w:r>
    </w:p>
    <w:p>
      <w:pPr>
        <w:pStyle w:val="ListNumber"/>
        <w:spacing w:after="60"/>
      </w:pPr>
      <w:r>
        <w:rPr>
          <w:b/>
        </w:rPr>
        <w:t>Aucune vérification d'appartenance n'est faite sur un espace de travail.</w:t>
      </w:r>
      <w:r>
        <w:rPr>
          <w:b w:val="0"/>
        </w:rPr>
        <w:t xml:space="preserve"> Le compte unique voit et manipule tout le fonds. Le filtre par espace de la liste est un confort de navigation, pas une restriction.</w:t>
      </w:r>
    </w:p>
    <w:p>
      <w:pPr>
        <w:pStyle w:val="ListNumber"/>
        <w:spacing w:after="60"/>
      </w:pPr>
      <w:r>
        <w:rPr>
          <w:b/>
        </w:rPr>
        <w:t>Les « groupes d'accès » n'accordent aucun droit</w:t>
      </w:r>
      <w:r>
        <w:rPr>
          <w:b w:val="0"/>
        </w:rPr>
        <w:t xml:space="preserve"> malgré leur nom. Ils ne sont consultés par aucune décision de ce module.</w:t>
      </w:r>
    </w:p>
    <w:p>
      <w:pPr>
        <w:pStyle w:val="ListNumber"/>
        <w:spacing w:after="60"/>
      </w:pPr>
      <w:r>
        <w:rPr>
          <w:b/>
        </w:rPr>
        <w:t>L'identité sert à tracer, pas à autoriser.</w:t>
      </w:r>
      <w:r>
        <w:rPr>
          <w:b w:val="0"/>
        </w:rPr>
        <w:t xml:space="preserve"> L'identifiant d'employé porté par le jeton alimente la colonne « Créateur » ; il n'ouvre ni ne ferme aucune opération. C'est pourquoi un identifiant de créateur transmis par le client est ignoré : il n'a jamais eu autorité, mais l'accepter laissait croire le contraire et rendait la colonne déclarative.</w:t>
      </w:r>
    </w:p>
    <w:p>
      <w:pPr>
        <w:pStyle w:val="ListNumber"/>
        <w:spacing w:after="60"/>
      </w:pPr>
      <w:r>
        <w:rPr>
          <w:b/>
        </w:rPr>
        <w:t>Le jeton voyage dans un en-tête, pas dans un cookie.</w:t>
      </w:r>
      <w:r>
        <w:rPr>
          <w:b w:val="0"/>
        </w:rPr>
        <w:t xml:space="preserve"> L'API est sans état, il n'y a donc aucune session serveur et aucune surface d'attaque par requête intersite à couvrir. C'est ce qui justifie la désactivation de la protection correspondante — avec un cookie, ce serait une faute.</w:t>
      </w:r>
    </w:p>
    <w:p>
      <w:pPr>
        <w:pStyle w:val="ListNumber"/>
        <w:spacing w:after="60"/>
      </w:pPr>
      <w:r>
        <w:rPr>
          <w:b/>
        </w:rPr>
        <w:t>Le téléchargement doit passer par l'application.</w:t>
      </w:r>
      <w:r>
        <w:rPr>
          <w:b w:val="0"/>
        </w:rPr>
        <w:t xml:space="preserve"> Une navigation directe vers l'adresse du fichier ne traverse pas la couche qui pose l'en-tête d'autorisation : le serveur répond sans authentification et l'onglet reste blanc. Le contenu est donc récupéré en binaire par le même canal que le reste de l'API, puis confié au navigateur.</w:t>
      </w:r>
    </w:p>
    <w:p>
      <w:pPr>
        <w:pStyle w:val="ListNumber"/>
        <w:spacing w:after="60"/>
      </w:pPr>
      <w:r>
        <w:rPr>
          <w:b/>
        </w:rPr>
        <w:t>Le nom du fichier est assaini deux fois</w:t>
      </w:r>
      <w:r>
        <w:rPr>
          <w:b w:val="0"/>
        </w:rPr>
        <w:t xml:space="preserve"> : côté serveur pour l'en-tête de disposition, côté navigateur avant l'enregistrement, où les caractères interdits par le système de fichiers sont remplacés et la longueur bornée. Le nom vient d'une saisie utilisateur : il ne doit décider ni de l'emplacement, ni du nom de l'enregistrement.</w:t>
      </w:r>
    </w:p>
    <w:p>
      <w:r>
        <w:br w:type="page"/>
      </w:r>
    </w:p>
    <w:p>
      <w:pPr>
        <w:pStyle w:val="Heading1"/>
        <w:spacing w:before="360" w:after="160"/>
      </w:pPr>
      <w:r>
        <w:t>10. Points de vigilance et limites connues</w:t>
      </w:r>
    </w:p>
    <w:p>
      <w:pPr>
        <w:pStyle w:val="Heading2"/>
        <w:spacing w:before="280" w:after="120"/>
      </w:pPr>
      <w:r>
        <w:t>10.1 Comportements à connaître avant exploitation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061"/>
          </w:tcPr>
          <w:p>
            <w:pPr>
              <w:spacing w:after="40"/>
            </w:pPr>
            <w:r/>
            <w:r>
              <w:rPr>
                <w:b/>
                <w:sz w:val="18"/>
              </w:rPr>
              <w:t>Constat</w:t>
            </w:r>
          </w:p>
        </w:tc>
        <w:tc>
          <w:tcPr>
            <w:tcW w:type="dxa" w:w="3175"/>
          </w:tcPr>
          <w:p>
            <w:pPr>
              <w:spacing w:after="40"/>
            </w:pPr>
            <w:r/>
            <w:r>
              <w:rPr>
                <w:b/>
                <w:sz w:val="18"/>
              </w:rPr>
              <w:t>Conséquence</w:t>
            </w:r>
          </w:p>
        </w:tc>
        <w:tc>
          <w:tcPr>
            <w:tcW w:type="dxa" w:w="3402"/>
          </w:tcPr>
          <w:p>
            <w:pPr>
              <w:spacing w:after="40"/>
            </w:pPr>
            <w:r/>
            <w:r>
              <w:rPr>
                <w:b/>
                <w:sz w:val="18"/>
              </w:rPr>
              <w:t>Piste</w:t>
            </w:r>
          </w:p>
        </w:tc>
      </w:tr>
      <w:tr>
        <w:tc>
          <w:tcPr>
            <w:tcW w:type="dxa" w:w="3061"/>
          </w:tcPr>
          <w:p>
            <w:pPr>
              <w:spacing w:after="40"/>
            </w:pPr>
            <w:r/>
            <w:r>
              <w:rPr>
                <w:sz w:val="18"/>
              </w:rPr>
              <w:t>La modification de fiche écrit la date d'expiration inconditionnellement : un corps qui ne la porte pas efface la valeur existante.</w:t>
            </w:r>
          </w:p>
        </w:tc>
        <w:tc>
          <w:tcPr>
            <w:tcW w:type="dxa" w:w="3175"/>
          </w:tcPr>
          <w:p>
            <w:pPr>
              <w:spacing w:after="40"/>
            </w:pPr>
            <w:r/>
            <w:r>
              <w:rPr>
                <w:sz w:val="18"/>
              </w:rPr>
              <w:t>Un appel partiel — ce que le contrat du corps laisse pourtant attendre, tous les champs étant facultatifs — vide la date sans que rien ne le signale.</w:t>
            </w:r>
          </w:p>
        </w:tc>
        <w:tc>
          <w:tcPr>
            <w:tcW w:type="dxa" w:w="3402"/>
          </w:tcPr>
          <w:p>
            <w:pPr>
              <w:spacing w:after="40"/>
            </w:pPr>
            <w:r/>
            <w:r>
              <w:rPr>
                <w:sz w:val="18"/>
              </w:rPr>
              <w:t>Distinguer « champ absent » de « champ vide » sur cette propriété, comme cela est déjà fait pour le nom, le type et les étiquettes.</w:t>
            </w:r>
          </w:p>
        </w:tc>
      </w:tr>
      <w:tr>
        <w:tc>
          <w:tcPr>
            <w:tcW w:type="dxa" w:w="3061"/>
          </w:tcPr>
          <w:p>
            <w:pPr>
              <w:spacing w:after="40"/>
            </w:pPr>
            <w:r/>
            <w:r>
              <w:rPr>
                <w:sz w:val="18"/>
              </w:rPr>
              <w:t>Les opérations groupées ne rendent aucun compte rendu.</w:t>
            </w:r>
          </w:p>
        </w:tc>
        <w:tc>
          <w:tcPr>
            <w:tcW w:type="dxa" w:w="3175"/>
          </w:tcPr>
          <w:p>
            <w:pPr>
              <w:spacing w:after="40"/>
            </w:pPr>
            <w:r/>
            <w:r>
              <w:rPr>
                <w:sz w:val="18"/>
              </w:rPr>
              <w:t>L'écran annonce le nombre qu'il a envoyé, pas le nombre réellement traité. Un identifiant inconnu ou déjà dans l'état cible est ignoré en silence.</w:t>
            </w:r>
          </w:p>
        </w:tc>
        <w:tc>
          <w:tcPr>
            <w:tcW w:type="dxa" w:w="3402"/>
          </w:tcPr>
          <w:p>
            <w:pPr>
              <w:spacing w:after="40"/>
            </w:pPr>
            <w:r/>
            <w:r>
              <w:rPr>
                <w:sz w:val="18"/>
              </w:rPr>
              <w:t>Renvoyer le nombre de lignes effectivement basculées, et le reprendre dans le message affiché.</w:t>
            </w:r>
          </w:p>
        </w:tc>
      </w:tr>
      <w:tr>
        <w:tc>
          <w:tcPr>
            <w:tcW w:type="dxa" w:w="3061"/>
          </w:tcPr>
          <w:p>
            <w:pPr>
              <w:spacing w:after="40"/>
            </w:pPr>
            <w:r/>
            <w:r>
              <w:rPr>
                <w:sz w:val="18"/>
              </w:rPr>
              <w:t>La désignation d'une version antérieure ne vérifie pas le verrou.</w:t>
            </w:r>
          </w:p>
        </w:tc>
        <w:tc>
          <w:tcPr>
            <w:tcW w:type="dxa" w:w="3175"/>
          </w:tcPr>
          <w:p>
            <w:pPr>
              <w:spacing w:after="40"/>
            </w:pPr>
            <w:r/>
            <w:r>
              <w:rPr>
                <w:sz w:val="18"/>
              </w:rPr>
              <w:t>Un document déclaré définitif peut voir changer le fichier qu'il sert au téléchargement, sans qu'aucune version ne soit créée ni détruite.</w:t>
            </w:r>
          </w:p>
        </w:tc>
        <w:tc>
          <w:tcPr>
            <w:tcW w:type="dxa" w:w="3402"/>
          </w:tcPr>
          <w:p>
            <w:pPr>
              <w:spacing w:after="40"/>
            </w:pPr>
            <w:r/>
            <w:r>
              <w:rPr>
                <w:sz w:val="18"/>
              </w:rPr>
              <w:t>Aligner cette opération sur les autres écritures, ou documenter explicitement l'exception.</w:t>
            </w:r>
          </w:p>
        </w:tc>
      </w:tr>
      <w:tr>
        <w:tc>
          <w:tcPr>
            <w:tcW w:type="dxa" w:w="3061"/>
          </w:tcPr>
          <w:p>
            <w:pPr>
              <w:spacing w:after="40"/>
            </w:pPr>
            <w:r/>
            <w:r>
              <w:rPr>
                <w:sz w:val="18"/>
              </w:rPr>
              <w:t>Le téléchargement n'écarte pas les documents en corbeille.</w:t>
            </w:r>
          </w:p>
        </w:tc>
        <w:tc>
          <w:tcPr>
            <w:tcW w:type="dxa" w:w="3175"/>
          </w:tcPr>
          <w:p>
            <w:pPr>
              <w:spacing w:after="40"/>
            </w:pPr>
            <w:r/>
            <w:r>
              <w:rPr>
                <w:sz w:val="18"/>
              </w:rPr>
              <w:t>Une pièce supprimée reste téléchargeable par son adresse directe.</w:t>
            </w:r>
          </w:p>
        </w:tc>
        <w:tc>
          <w:tcPr>
            <w:tcW w:type="dxa" w:w="3402"/>
          </w:tcPr>
          <w:p>
            <w:pPr>
              <w:spacing w:after="40"/>
            </w:pPr>
            <w:r/>
            <w:r>
              <w:rPr>
                <w:sz w:val="18"/>
              </w:rPr>
              <w:t>Décision à prendre : soit c'est voulu — la corbeille est réversible et la lecture y est ouverte — soit il faut fermer cette porte comme les autres écritures.</w:t>
            </w:r>
          </w:p>
        </w:tc>
      </w:tr>
      <w:tr>
        <w:tc>
          <w:tcPr>
            <w:tcW w:type="dxa" w:w="3061"/>
          </w:tcPr>
          <w:p>
            <w:pPr>
              <w:spacing w:after="40"/>
            </w:pPr>
            <w:r/>
            <w:r>
              <w:rPr>
                <w:sz w:val="18"/>
              </w:rPr>
              <w:t>Le fichier absent du disque sort en erreur serveur.</w:t>
            </w:r>
          </w:p>
        </w:tc>
        <w:tc>
          <w:tcPr>
            <w:tcW w:type="dxa" w:w="3175"/>
          </w:tcPr>
          <w:p>
            <w:pPr>
              <w:spacing w:after="40"/>
            </w:pPr>
            <w:r/>
            <w:r>
              <w:rPr>
                <w:sz w:val="18"/>
              </w:rPr>
              <w:t>Un fichier déplacé ou effacé hors application donne une réponse non interprétée ; l'écran affiche alors un message générique.</w:t>
            </w:r>
          </w:p>
        </w:tc>
        <w:tc>
          <w:tcPr>
            <w:tcW w:type="dxa" w:w="3402"/>
          </w:tcPr>
          <w:p>
            <w:pPr>
              <w:spacing w:after="40"/>
            </w:pPr>
            <w:r/>
            <w:r>
              <w:rPr>
                <w:sz w:val="18"/>
              </w:rPr>
              <w:t>Traduire ce cas en 404 avec un message qui nomme le document.</w:t>
            </w:r>
          </w:p>
        </w:tc>
      </w:tr>
      <w:tr>
        <w:tc>
          <w:tcPr>
            <w:tcW w:type="dxa" w:w="3061"/>
          </w:tcPr>
          <w:p>
            <w:pPr>
              <w:spacing w:after="40"/>
            </w:pPr>
            <w:r/>
            <w:r>
              <w:rPr>
                <w:sz w:val="18"/>
              </w:rPr>
              <w:t>Aucune purge n'est exposée.</w:t>
            </w:r>
          </w:p>
        </w:tc>
        <w:tc>
          <w:tcPr>
            <w:tcW w:type="dxa" w:w="3175"/>
          </w:tcPr>
          <w:p>
            <w:pPr>
              <w:spacing w:after="40"/>
            </w:pPr>
            <w:r/>
            <w:r>
              <w:rPr>
                <w:sz w:val="18"/>
              </w:rPr>
              <w:t>Ni les fichiers, ni les fiches, ni les versions ne peuvent être effacés définitivement par l'API. Le volume ne peut que croître.</w:t>
            </w:r>
          </w:p>
        </w:tc>
        <w:tc>
          <w:tcPr>
            <w:tcW w:type="dxa" w:w="3402"/>
          </w:tcPr>
          <w:p>
            <w:pPr>
              <w:spacing w:after="40"/>
            </w:pPr>
            <w:r/>
            <w:r>
              <w:rPr>
                <w:sz w:val="18"/>
              </w:rPr>
              <w:t>Prévoir une procédure d'exploitation documentée, ou une opération de purge explicitement déclenchée et tracée.</w:t>
            </w:r>
          </w:p>
        </w:tc>
      </w:tr>
      <w:tr>
        <w:tc>
          <w:tcPr>
            <w:tcW w:type="dxa" w:w="3061"/>
          </w:tcPr>
          <w:p>
            <w:pPr>
              <w:spacing w:after="40"/>
            </w:pPr>
            <w:r/>
            <w:r>
              <w:rPr>
                <w:sz w:val="18"/>
              </w:rPr>
              <w:t>La liste et la corbeille ne partagent pas le filtre par espace.</w:t>
            </w:r>
          </w:p>
        </w:tc>
        <w:tc>
          <w:tcPr>
            <w:tcW w:type="dxa" w:w="3175"/>
          </w:tcPr>
          <w:p>
            <w:pPr>
              <w:spacing w:after="40"/>
            </w:pPr>
            <w:r/>
            <w:r>
              <w:rPr>
                <w:sz w:val="18"/>
              </w:rPr>
              <w:t>L'écran d'archive ne peut pas être restreint à un dossier, contrairement à la vue des documents vivants.</w:t>
            </w:r>
          </w:p>
        </w:tc>
        <w:tc>
          <w:tcPr>
            <w:tcW w:type="dxa" w:w="3402"/>
          </w:tcPr>
          <w:p>
            <w:pPr>
              <w:spacing w:after="40"/>
            </w:pPr>
            <w:r/>
            <w:r>
              <w:rPr>
                <w:sz w:val="18"/>
              </w:rPr>
              <w:t>Ajouter le paramètre à la route de corbeille si l'usage le demande.</w:t>
            </w:r>
          </w:p>
        </w:tc>
      </w:tr>
    </w:tbl>
    <w:p>
      <w:pPr>
        <w:spacing w:after="40"/>
      </w:pPr>
    </w:p>
    <w:p>
      <w:pPr>
        <w:pStyle w:val="Heading2"/>
        <w:spacing w:before="280" w:after="120"/>
      </w:pPr>
      <w:r>
        <w:t>10.2 Ce qui n'est pas géré</w:t>
      </w:r>
    </w:p>
    <w:p>
      <w:pPr>
        <w:pStyle w:val="ListBullet"/>
        <w:spacing w:after="60"/>
      </w:pPr>
      <w:r>
        <w:rPr>
          <w:b/>
        </w:rPr>
        <w:t>Aucune vérification d'intégrité du contenu.</w:t>
      </w:r>
      <w:r>
        <w:rPr>
          <w:b w:val="0"/>
        </w:rPr>
        <w:t xml:space="preserve"> Ni empreinte, ni signature électronique, ni contrôle anti-programme malveillant. Le seul filtre est l'extension déclarée par le type, qui porte sur le nom et non sur le contenu réel du fichier.</w:t>
      </w:r>
    </w:p>
    <w:p>
      <w:pPr>
        <w:pStyle w:val="ListBullet"/>
        <w:spacing w:after="60"/>
      </w:pPr>
      <w:r>
        <w:rPr>
          <w:b/>
        </w:rPr>
        <w:t>Aucune déduplication.</w:t>
      </w:r>
      <w:r>
        <w:rPr>
          <w:b w:val="0"/>
        </w:rPr>
        <w:t xml:space="preserve"> Déposer deux fois le même fichier crée deux documents et deux fichiers distincts.</w:t>
      </w:r>
    </w:p>
    <w:p>
      <w:pPr>
        <w:pStyle w:val="ListBullet"/>
        <w:spacing w:after="60"/>
      </w:pPr>
      <w:r>
        <w:rPr>
          <w:b/>
        </w:rPr>
        <w:t>Aucune conséquence attachée à la date d'expiration.</w:t>
      </w:r>
      <w:r>
        <w:rPr>
          <w:b w:val="0"/>
        </w:rPr>
        <w:t xml:space="preserve"> La colonne est stockée, affichée et triable ; aucune tâche ne s'en sert pour alerter, archiver ou masquer.</w:t>
      </w:r>
    </w:p>
    <w:p>
      <w:pPr>
        <w:pStyle w:val="ListBullet"/>
        <w:spacing w:after="60"/>
      </w:pPr>
      <w:r>
        <w:rPr>
          <w:b/>
        </w:rPr>
        <w:t>Aucune journalisation fonctionnelle des accès.</w:t>
      </w:r>
      <w:r>
        <w:rPr>
          <w:b w:val="0"/>
        </w:rPr>
        <w:t xml:space="preserve"> Les colonnes d'audit disent quand la fiche a été créée et modifiée pour la dernière fois, pas qui a téléchargé quoi ni quand.</w:t>
      </w:r>
    </w:p>
    <w:p>
      <w:pPr>
        <w:pStyle w:val="ListBullet"/>
        <w:spacing w:after="60"/>
      </w:pPr>
      <w:r>
        <w:rPr>
          <w:b/>
        </w:rPr>
        <w:t>Aucun historique de la fiche.</w:t>
      </w:r>
      <w:r>
        <w:rPr>
          <w:b w:val="0"/>
        </w:rPr>
        <w:t xml:space="preserve"> Seul le fichier est versionné : un changement de nom, de type ou d'étiquettes écrase la valeur précédente sans conserver de trace.</w:t>
      </w:r>
    </w:p>
    <w:p>
      <w:pPr>
        <w:pStyle w:val="ListBullet"/>
        <w:spacing w:after="60"/>
      </w:pPr>
      <w:r>
        <w:rPr>
          <w:b/>
        </w:rPr>
        <w:t>Aucun déplacement de fichier à la réaffectation.</w:t>
      </w:r>
      <w:r>
        <w:rPr>
          <w:b w:val="0"/>
        </w:rPr>
        <w:t xml:space="preserve"> Changer le type d'un document change son espace de rattachement, mais les fichiers déjà écrits restent dans le sous-répertoire de l'espace d'origine. La cohérence est logique, pas physique.</w:t>
      </w:r>
    </w:p>
    <w:p>
      <w:pPr>
        <w:pStyle w:val="Heading2"/>
        <w:spacing w:before="280" w:after="120"/>
      </w:pPr>
      <w:r>
        <w:t>10.3 Ce qui reste à faire</w:t>
      </w:r>
    </w:p>
    <w:p>
      <w:pPr>
        <w:pStyle w:val="ListNumber"/>
        <w:spacing w:after="60"/>
      </w:pPr>
      <w:r>
        <w:rPr>
          <w:b w:val="0"/>
        </w:rPr>
        <w:t>Trancher le cas de la date d'expiration écrasée, qui est la seule anomalie de ce module à produire une perte de donnée silencieuse.</w:t>
      </w:r>
    </w:p>
    <w:p>
      <w:pPr>
        <w:pStyle w:val="ListNumber"/>
        <w:spacing w:after="60"/>
      </w:pPr>
      <w:r>
        <w:rPr>
          <w:b w:val="0"/>
        </w:rPr>
        <w:t>Doter les opérations groupées d'un compte rendu, afin que le message affiché corresponde à ce qui s'est réellement passé.</w:t>
      </w:r>
    </w:p>
    <w:p>
      <w:pPr>
        <w:pStyle w:val="ListNumber"/>
        <w:spacing w:after="60"/>
      </w:pPr>
      <w:r>
        <w:rPr>
          <w:b w:val="0"/>
        </w:rPr>
        <w:t>Écrire, à destination de l'exploitant, la note de dimensionnement du stockage : volumétrie attendue, croissance liée aux versions, absence de purge automatique.</w:t>
      </w:r>
    </w:p>
    <w:p>
      <w:pPr>
        <w:pStyle w:val="ListNumber"/>
        <w:spacing w:after="60"/>
      </w:pPr>
      <w:r>
        <w:rPr>
          <w:b w:val="0"/>
        </w:rPr>
        <w:t>Décider du régime de téléchargement des documents en corbeille, et l'aligner sur la règle générale du module.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Page </w:t>
    </w:r>
    <w:r>
      <w:rPr>
        <w:color w:val="666666"/>
        <w:sz w:val="18"/>
      </w:rPr>
      <w:fldChar w:fldCharType="begin"/>
      <w:instrText xml:space="preserve">PAGE</w:instrText>
      <w:fldChar w:fldCharType="end"/>
    </w:r>
    <w:r>
      <w:rPr>
        <w:color w:val="666666"/>
        <w:sz w:val="18"/>
      </w:rPr>
      <w:t xml:space="preserve"> sur </w:t>
    </w:r>
    <w:r>
      <w:rPr>
        <w:color w:val="666666"/>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