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4"/>
          <w:sz w:val="32"/>
        </w:rPr>
        <w:t>GED Marchica Med</w:t>
      </w:r>
    </w:p>
    <w:p>
      <w:pPr>
        <w:jc w:val="center"/>
      </w:pPr>
      <w:r>
        <w:rPr>
          <w:b/>
          <w:sz w:val="56"/>
        </w:rPr>
        <w:t>Rapport backend</w:t>
      </w:r>
    </w:p>
    <w:p>
      <w:pPr>
        <w:jc w:val="center"/>
      </w:pPr>
      <w:r>
        <w:rPr>
          <w:color w:val="444444"/>
          <w:sz w:val="36"/>
        </w:rPr>
        <w:t>11 — Dépôt et indexation</w:t>
      </w:r>
    </w:p>
    <w:p/>
    <w:p>
      <w:pPr>
        <w:jc w:val="center"/>
      </w:pPr>
      <w:r>
        <w:rPr>
          <w:i/>
          <w:color w:val="444444"/>
          <w:sz w:val="24"/>
        </w:rPr>
        <w:t>Indexation, analyse, lecture du contenu, composition du nom et stockage du fichier</w:t>
      </w:r>
    </w:p>
    <w:p/>
    <w:p/>
    <w:p/>
    <w:p/>
    <w:p/>
    <w:p/>
    <w:p>
      <w:pPr>
        <w:jc w:val="center"/>
      </w:pPr>
      <w:r>
        <w:rPr>
          <w:b/>
          <w:color w:val="444444"/>
          <w:sz w:val="22"/>
        </w:rPr>
        <w:t>Volet backend — ce que le serveur fait derrière l'écran</w:t>
      </w:r>
    </w:p>
    <w:p>
      <w:pPr>
        <w:jc w:val="center"/>
      </w:pPr>
      <w:r>
        <w:rPr>
          <w:b w:val="0"/>
          <w:color w:val="444444"/>
          <w:sz w:val="22"/>
        </w:rPr>
        <w:t>Destinataire : responsable technique / architecte</w:t>
      </w:r>
    </w:p>
    <w:p>
      <w:pPr>
        <w:jc w:val="center"/>
      </w:pPr>
      <w:r>
        <w:rPr>
          <w:b w:val="0"/>
          <w:color w:val="444444"/>
          <w:sz w:val="22"/>
        </w:rPr>
        <w:t>Application : GED Marchica Med</w:t>
      </w:r>
    </w:p>
    <w:p>
      <w:pPr>
        <w:jc w:val="center"/>
      </w:pPr>
      <w:r>
        <w:rPr>
          <w:b w:val="0"/>
          <w:color w:val="444444"/>
          <w:sz w:val="22"/>
        </w:rPr>
        <w:t>Socle technique : Spring Boot, Java 17, JPA/Hibernate, MySQL, Flyway</w:t>
      </w:r>
    </w:p>
    <w:p>
      <w:pPr>
        <w:jc w:val="center"/>
      </w:pPr>
      <w:r>
        <w:rPr>
          <w:b w:val="0"/>
          <w:color w:val="444444"/>
          <w:sz w:val="22"/>
        </w:rPr>
        <w:t>Date d'édition : 13 août 2026</w:t>
      </w:r>
    </w:p>
    <w:p>
      <w:r>
        <w:br w:type="page"/>
      </w:r>
    </w:p>
    <w:p>
      <w:pPr>
        <w:pStyle w:val="Heading1"/>
        <w:spacing w:after="240"/>
      </w:pPr>
      <w:r>
        <w:t>Sommaire</w:t>
      </w:r>
    </w:p>
    <w:p>
      <w:pPr>
        <w:spacing w:after="40"/>
        <w:ind w:left="0"/>
      </w:pPr>
      <w:r>
        <w:rPr>
          <w:b/>
          <w:sz w:val="22"/>
        </w:rPr>
        <w:t>1. Rôle du serveur pour cette interface</w:t>
      </w:r>
    </w:p>
    <w:p>
      <w:pPr>
        <w:spacing w:after="40"/>
        <w:ind w:left="340"/>
      </w:pPr>
      <w:r>
        <w:rPr>
          <w:b w:val="0"/>
          <w:color w:val="444444"/>
          <w:sz w:val="20"/>
        </w:rPr>
        <w:t>1.1 Deux requêtes, une seule intention</w:t>
      </w:r>
    </w:p>
    <w:p>
      <w:pPr>
        <w:spacing w:after="40"/>
        <w:ind w:left="340"/>
      </w:pPr>
      <w:r>
        <w:rPr>
          <w:b w:val="0"/>
          <w:color w:val="444444"/>
          <w:sz w:val="20"/>
        </w:rPr>
        <w:t>1.2 Ce que le serveur fournit</w:t>
      </w:r>
    </w:p>
    <w:p>
      <w:pPr>
        <w:spacing w:after="40"/>
        <w:ind w:left="340"/>
      </w:pPr>
      <w:r>
        <w:rPr>
          <w:b w:val="0"/>
          <w:color w:val="444444"/>
          <w:sz w:val="20"/>
        </w:rPr>
        <w:t>1.3 Ce que le serveur garantit</w:t>
      </w:r>
    </w:p>
    <w:p>
      <w:pPr>
        <w:spacing w:after="40"/>
        <w:ind w:left="0"/>
      </w:pPr>
      <w:r>
        <w:rPr>
          <w:b/>
          <w:sz w:val="22"/>
        </w:rPr>
        <w:t>2. Les données conservées</w:t>
      </w:r>
    </w:p>
    <w:p>
      <w:pPr>
        <w:spacing w:after="40"/>
        <w:ind w:left="340"/>
      </w:pPr>
      <w:r>
        <w:rPr>
          <w:b w:val="0"/>
          <w:color w:val="444444"/>
          <w:sz w:val="20"/>
        </w:rPr>
        <w:t>2.1 La valeur d'index</w:t>
      </w:r>
    </w:p>
    <w:p>
      <w:pPr>
        <w:spacing w:after="40"/>
        <w:ind w:left="340"/>
      </w:pPr>
      <w:r>
        <w:rPr>
          <w:b w:val="0"/>
          <w:color w:val="444444"/>
          <w:sz w:val="20"/>
        </w:rPr>
        <w:t>2.2 Ce qui est écrit sur la fiche du document</w:t>
      </w:r>
    </w:p>
    <w:p>
      <w:pPr>
        <w:spacing w:after="40"/>
        <w:ind w:left="340"/>
      </w:pPr>
      <w:r>
        <w:rPr>
          <w:b w:val="0"/>
          <w:color w:val="444444"/>
          <w:sz w:val="20"/>
        </w:rPr>
        <w:t>2.3 Ce qui n'est jamais conservé</w:t>
      </w:r>
    </w:p>
    <w:p>
      <w:pPr>
        <w:spacing w:after="40"/>
        <w:ind w:left="0"/>
      </w:pPr>
      <w:r>
        <w:rPr>
          <w:b/>
          <w:sz w:val="22"/>
        </w:rPr>
        <w:t>3. Les relations</w:t>
      </w:r>
    </w:p>
    <w:p>
      <w:pPr>
        <w:spacing w:after="40"/>
        <w:ind w:left="340"/>
      </w:pPr>
      <w:r>
        <w:rPr>
          <w:b w:val="0"/>
          <w:color w:val="444444"/>
          <w:sz w:val="20"/>
        </w:rPr>
        <w:t>3.1 Schéma de la chaîne de paramétrage</w:t>
      </w:r>
    </w:p>
    <w:p>
      <w:pPr>
        <w:spacing w:after="40"/>
        <w:ind w:left="340"/>
      </w:pPr>
      <w:r>
        <w:rPr>
          <w:b w:val="0"/>
          <w:color w:val="444444"/>
          <w:sz w:val="20"/>
        </w:rPr>
        <w:t>3.2 Sens des liens et disparition de l'objet lié</w:t>
      </w:r>
    </w:p>
    <w:p>
      <w:pPr>
        <w:spacing w:after="40"/>
        <w:ind w:left="0"/>
      </w:pPr>
      <w:r>
        <w:rPr>
          <w:b/>
          <w:sz w:val="22"/>
        </w:rPr>
        <w:t>4. Les opérations disponibles</w:t>
      </w:r>
    </w:p>
    <w:p>
      <w:pPr>
        <w:spacing w:after="40"/>
        <w:ind w:left="340"/>
      </w:pPr>
      <w:r>
        <w:rPr>
          <w:b w:val="0"/>
          <w:color w:val="444444"/>
          <w:sz w:val="20"/>
        </w:rPr>
        <w:t>4.1 Les champs à renseigner</w:t>
      </w:r>
    </w:p>
    <w:p>
      <w:pPr>
        <w:spacing w:after="40"/>
        <w:ind w:left="340"/>
      </w:pPr>
      <w:r>
        <w:rPr>
          <w:b w:val="0"/>
          <w:color w:val="444444"/>
          <w:sz w:val="20"/>
        </w:rPr>
        <w:t>4.2 L'analyse et l'aperçu</w:t>
      </w:r>
    </w:p>
    <w:p>
      <w:pPr>
        <w:spacing w:after="40"/>
        <w:ind w:left="340"/>
      </w:pPr>
      <w:r>
        <w:rPr>
          <w:b w:val="0"/>
          <w:color w:val="444444"/>
          <w:sz w:val="20"/>
        </w:rPr>
        <w:t>4.3 L'écriture des valeurs</w:t>
      </w:r>
    </w:p>
    <w:p>
      <w:pPr>
        <w:spacing w:after="40"/>
        <w:ind w:left="340"/>
      </w:pPr>
      <w:r>
        <w:rPr>
          <w:b w:val="0"/>
          <w:color w:val="444444"/>
          <w:sz w:val="20"/>
        </w:rPr>
        <w:t>4.4 La recherche par index</w:t>
      </w:r>
    </w:p>
    <w:p>
      <w:pPr>
        <w:spacing w:after="40"/>
        <w:ind w:left="340"/>
      </w:pPr>
      <w:r>
        <w:rPr>
          <w:b w:val="0"/>
          <w:color w:val="444444"/>
          <w:sz w:val="20"/>
        </w:rPr>
        <w:t>4.5 La lecture du contenu</w:t>
      </w:r>
    </w:p>
    <w:p>
      <w:pPr>
        <w:spacing w:after="40"/>
        <w:ind w:left="0"/>
      </w:pPr>
      <w:r>
        <w:rPr>
          <w:b/>
          <w:sz w:val="22"/>
        </w:rPr>
        <w:t>5. Les règles vérifiées côté serveur</w:t>
      </w:r>
    </w:p>
    <w:p>
      <w:pPr>
        <w:spacing w:after="40"/>
        <w:ind w:left="340"/>
      </w:pPr>
      <w:r>
        <w:rPr>
          <w:b w:val="0"/>
          <w:color w:val="444444"/>
          <w:sz w:val="20"/>
        </w:rPr>
        <w:t>5.1 Règles partagées avec l'écran</w:t>
      </w:r>
    </w:p>
    <w:p>
      <w:pPr>
        <w:spacing w:after="40"/>
        <w:ind w:left="340"/>
      </w:pPr>
      <w:r>
        <w:rPr>
          <w:b w:val="0"/>
          <w:color w:val="444444"/>
          <w:sz w:val="20"/>
        </w:rPr>
        <w:t>5.2 Règles qui n'existent que côté serveur</w:t>
      </w:r>
    </w:p>
    <w:p>
      <w:pPr>
        <w:spacing w:after="40"/>
        <w:ind w:left="340"/>
      </w:pPr>
      <w:r>
        <w:rPr>
          <w:b w:val="0"/>
          <w:color w:val="444444"/>
          <w:sz w:val="20"/>
        </w:rPr>
        <w:t>5.3 Les règles de déduction</w:t>
      </w:r>
    </w:p>
    <w:p>
      <w:pPr>
        <w:spacing w:after="40"/>
        <w:ind w:left="0"/>
      </w:pPr>
      <w:r>
        <w:rPr>
          <w:b/>
          <w:sz w:val="22"/>
        </w:rPr>
        <w:t>6. Les erreurs et les réponses</w:t>
      </w:r>
    </w:p>
    <w:p>
      <w:pPr>
        <w:spacing w:after="40"/>
        <w:ind w:left="0"/>
      </w:pPr>
      <w:r>
        <w:rPr>
          <w:b/>
          <w:sz w:val="22"/>
        </w:rPr>
        <w:t>7. Ce qui est écrit, et dans quel ordre</w:t>
      </w:r>
    </w:p>
    <w:p>
      <w:pPr>
        <w:spacing w:after="40"/>
        <w:ind w:left="340"/>
      </w:pPr>
      <w:r>
        <w:rPr>
          <w:b w:val="0"/>
          <w:color w:val="444444"/>
          <w:sz w:val="20"/>
        </w:rPr>
        <w:t>7.1 Vue d'ensemble du parcours de dépôt</w:t>
      </w:r>
    </w:p>
    <w:p>
      <w:pPr>
        <w:spacing w:after="40"/>
        <w:ind w:left="340"/>
      </w:pPr>
      <w:r>
        <w:rPr>
          <w:b w:val="0"/>
          <w:color w:val="444444"/>
          <w:sz w:val="20"/>
        </w:rPr>
        <w:t>7.2 L'aperçu : la lecture sans écriture</w:t>
      </w:r>
    </w:p>
    <w:p>
      <w:pPr>
        <w:spacing w:after="40"/>
        <w:ind w:left="340"/>
      </w:pPr>
      <w:r>
        <w:rPr>
          <w:b w:val="0"/>
          <w:color w:val="444444"/>
          <w:sz w:val="20"/>
        </w:rPr>
        <w:t>7.3 L'écriture des valeurs d'index</w:t>
      </w:r>
    </w:p>
    <w:p>
      <w:pPr>
        <w:spacing w:after="40"/>
        <w:ind w:left="340"/>
      </w:pPr>
      <w:r>
        <w:rPr>
          <w:b w:val="0"/>
          <w:color w:val="444444"/>
          <w:sz w:val="20"/>
        </w:rPr>
        <w:t>7.4 Les trois issues du dépôt</w:t>
      </w:r>
    </w:p>
    <w:p>
      <w:pPr>
        <w:spacing w:after="40"/>
        <w:ind w:left="0"/>
      </w:pPr>
      <w:r>
        <w:rPr>
          <w:b/>
          <w:sz w:val="22"/>
        </w:rPr>
        <w:t>8. Les effets de bord</w:t>
      </w:r>
    </w:p>
    <w:p>
      <w:pPr>
        <w:spacing w:after="40"/>
        <w:ind w:left="340"/>
      </w:pPr>
      <w:r>
        <w:rPr>
          <w:b w:val="0"/>
          <w:color w:val="444444"/>
          <w:sz w:val="20"/>
        </w:rPr>
        <w:t>8.1 La chaîne d'extraction du texte</w:t>
      </w:r>
    </w:p>
    <w:p>
      <w:pPr>
        <w:spacing w:after="40"/>
        <w:ind w:left="340"/>
      </w:pPr>
      <w:r>
        <w:rPr>
          <w:b w:val="0"/>
          <w:color w:val="444444"/>
          <w:sz w:val="20"/>
        </w:rPr>
        <w:t>8.2 Fichiers temporaires et processus externes</w:t>
      </w:r>
    </w:p>
    <w:p>
      <w:pPr>
        <w:spacing w:after="40"/>
        <w:ind w:left="340"/>
      </w:pPr>
      <w:r>
        <w:rPr>
          <w:b w:val="0"/>
          <w:color w:val="444444"/>
          <w:sz w:val="20"/>
        </w:rPr>
        <w:t>8.3 Renommage du document</w:t>
      </w:r>
    </w:p>
    <w:p>
      <w:pPr>
        <w:spacing w:after="40"/>
        <w:ind w:left="0"/>
      </w:pPr>
      <w:r>
        <w:rPr>
          <w:b/>
          <w:sz w:val="22"/>
        </w:rPr>
        <w:t>9. Sécurité et contrôle d'accès</w:t>
      </w:r>
    </w:p>
    <w:p>
      <w:pPr>
        <w:spacing w:after="40"/>
        <w:ind w:left="0"/>
      </w:pPr>
      <w:r>
        <w:rPr>
          <w:b/>
          <w:sz w:val="22"/>
        </w:rPr>
        <w:t>10. Points de vigilance et limites connues</w:t>
      </w:r>
    </w:p>
    <w:p>
      <w:r>
        <w:br w:type="page"/>
      </w:r>
    </w:p>
    <w:p>
      <w:pPr>
        <w:pStyle w:val="Heading1"/>
        <w:spacing w:before="360" w:after="160"/>
      </w:pPr>
      <w:r>
        <w:t>1. Rôle du serveur pour cette interface</w:t>
      </w:r>
    </w:p>
    <w:p>
      <w:r>
        <w:rPr>
          <w:i/>
          <w:color w:val="444444"/>
        </w:rPr>
        <w:t>C'est l'écran le plus important du produit, et c'est aussi celui dont le comportement serveur est le plus étalé : trois modules y participent — le dépôt documentaire, l'indexation, et la chaîne de lecture du contenu — pour un seul geste utilisateur.</w:t>
      </w:r>
    </w:p>
    <w:p>
      <w:pPr>
        <w:pStyle w:val="Heading2"/>
        <w:spacing w:before="280" w:after="120"/>
      </w:pPr>
      <w:r>
        <w:t>1.1 Deux requêtes, une seule intention</w:t>
      </w:r>
    </w:p>
    <w:p>
      <w:r>
        <w:rPr>
          <w:i w:val="0"/>
        </w:rPr>
        <w:t>La règle fondatrice de l'écran est qu'un seul bouton écrit. Côté serveur, ce bouton se traduit par deux requêtes successives, et il est essentiel de comprendre pourquoi elles ne sont pas fusionnées.</w:t>
      </w:r>
    </w:p>
    <w:p>
      <w:pPr>
        <w:pStyle w:val="ListBullet"/>
        <w:spacing w:after="60"/>
      </w:pPr>
      <w:r>
        <w:rPr>
          <w:b w:val="0"/>
        </w:rPr>
        <w:t xml:space="preserve">La première est le </w:t>
      </w:r>
      <w:r>
        <w:rPr>
          <w:b/>
        </w:rPr>
        <w:t>dépôt</w:t>
      </w:r>
      <w:r>
        <w:rPr>
          <w:b w:val="0"/>
        </w:rPr>
        <w:t xml:space="preserve"> : elle transporte le fichier, crée la fiche, écrit le fichier sur le disque, crée la version initiale et ouvre le circuit de signature. Elle est décrite en détail au rapport 10.</w:t>
      </w:r>
    </w:p>
    <w:p>
      <w:pPr>
        <w:pStyle w:val="ListBullet"/>
        <w:spacing w:after="60"/>
      </w:pPr>
      <w:r>
        <w:rPr>
          <w:b w:val="0"/>
        </w:rPr>
        <w:t>La seconde est l'</w:t>
      </w:r>
      <w:r>
        <w:rPr>
          <w:b/>
        </w:rPr>
        <w:t>écriture des valeurs d'index</w:t>
      </w:r>
      <w:r>
        <w:rPr>
          <w:b w:val="0"/>
        </w:rPr>
        <w:t xml:space="preserve"> : elle transporte les valeurs saisies ou corrigées, les confronte au plan d'indexation du type, les enregistre, puis recompose la référence et le nom du document.</w:t>
      </w:r>
    </w:p>
    <w:p>
      <w:r>
        <w:rPr>
          <w:i w:val="0"/>
        </w:rPr>
        <w:t>Les deux requêtes portent des transactions distinctes. C'est ce qui rend possible la troisième issue du dépôt, « à indexer » : le fichier est entré dans le fonds, mais ses index n'ont pas pu être écrits. L'écran l'annonce franchement plutôt que de supprimer un document déjà déposé, ce qui serait pire que de le laisser incomplet.</w:t>
      </w:r>
    </w:p>
    <w:p>
      <w:pPr>
        <w:pStyle w:val="Heading2"/>
        <w:spacing w:before="280" w:after="120"/>
      </w:pPr>
      <w:r>
        <w:t>1.2 Ce que le serveur fournit</w:t>
      </w:r>
    </w:p>
    <w:p>
      <w:pPr>
        <w:pStyle w:val="ListBullet"/>
        <w:spacing w:after="60"/>
      </w:pPr>
      <w:r>
        <w:rPr>
          <w:b/>
        </w:rPr>
        <w:t>Les champs à renseigner</w:t>
      </w:r>
      <w:r>
        <w:rPr>
          <w:b w:val="0"/>
        </w:rPr>
        <w:t xml:space="preserve"> pour un document donné, dérivés du plan d'indexation de son type, corbeille exclue.</w:t>
      </w:r>
    </w:p>
    <w:p>
      <w:pPr>
        <w:pStyle w:val="ListBullet"/>
        <w:spacing w:after="60"/>
      </w:pPr>
      <w:r>
        <w:rPr>
          <w:b/>
        </w:rPr>
        <w:t>Un aperçu</w:t>
      </w:r>
      <w:r>
        <w:rPr>
          <w:b w:val="0"/>
        </w:rPr>
        <w:t>, avant tout dépôt : le serveur reçoit le fichier en cours de sélection, en déduit ce qu'il peut, et rend des propositions accompagnées de leur provenance et, le cas échéant, du motif pour lequel il n'a pas conclu. Rien n'est écrit.</w:t>
      </w:r>
    </w:p>
    <w:p>
      <w:pPr>
        <w:pStyle w:val="ListBullet"/>
        <w:spacing w:after="60"/>
      </w:pPr>
      <w:r>
        <w:rPr>
          <w:b/>
        </w:rPr>
        <w:t>Une analyse</w:t>
      </w:r>
      <w:r>
        <w:rPr>
          <w:b w:val="0"/>
        </w:rPr>
        <w:t>, après dépôt : la même mécanique appliquée à un document déjà présent, avec en plus les valeurs déjà enregistrées et la référence qui serait composée.</w:t>
      </w:r>
    </w:p>
    <w:p>
      <w:pPr>
        <w:pStyle w:val="ListBullet"/>
        <w:spacing w:after="60"/>
      </w:pPr>
      <w:r>
        <w:rPr>
          <w:b/>
        </w:rPr>
        <w:t>L'écriture des valeurs</w:t>
      </w:r>
      <w:r>
        <w:rPr>
          <w:b w:val="0"/>
        </w:rPr>
        <w:t>, seule opération d'écriture du module.</w:t>
      </w:r>
    </w:p>
    <w:p>
      <w:pPr>
        <w:pStyle w:val="ListBullet"/>
        <w:spacing w:after="60"/>
      </w:pPr>
      <w:r>
        <w:rPr>
          <w:b/>
        </w:rPr>
        <w:t>La recherche par index</w:t>
      </w:r>
      <w:r>
        <w:rPr>
          <w:b w:val="0"/>
        </w:rPr>
        <w:t>, multicritère, avec regroupement facultatif.</w:t>
      </w:r>
    </w:p>
    <w:p>
      <w:pPr>
        <w:pStyle w:val="ListBullet"/>
        <w:spacing w:after="60"/>
      </w:pPr>
      <w:r>
        <w:rPr>
          <w:b/>
        </w:rPr>
        <w:t>L'état de la chaîne de lecture du contenu</w:t>
      </w:r>
      <w:r>
        <w:rPr>
          <w:b w:val="0"/>
        </w:rPr>
        <w:t>, consulté par la fenêtre de dépôt pour savoir si elle peut proposer l'indexation automatique.</w:t>
      </w:r>
    </w:p>
    <w:p>
      <w:pPr>
        <w:pStyle w:val="Heading2"/>
        <w:spacing w:before="280" w:after="120"/>
      </w:pPr>
      <w:r>
        <w:t>1.3 Ce que le serveur garantit</w:t>
      </w:r>
    </w:p>
    <w:p>
      <w:pPr>
        <w:pStyle w:val="ListNumber"/>
        <w:spacing w:after="60"/>
      </w:pPr>
      <w:r>
        <w:rPr>
          <w:b/>
        </w:rPr>
        <w:t>L'aperçu et l'analyse n'écrivent rien.</w:t>
      </w:r>
      <w:r>
        <w:rPr>
          <w:b w:val="0"/>
        </w:rPr>
        <w:t xml:space="preserve"> Aucune valeur déduite n'atteint la base avant la confirmation explicite de l'opérateur. L'écran ne peut donc pas laisser derrière lui un document renommé avec des informations que personne n'a validées.</w:t>
      </w:r>
    </w:p>
    <w:p>
      <w:pPr>
        <w:pStyle w:val="ListNumber"/>
        <w:spacing w:after="60"/>
      </w:pPr>
      <w:r>
        <w:rPr>
          <w:b/>
        </w:rPr>
        <w:t>Le plan du type fait autorité.</w:t>
      </w:r>
      <w:r>
        <w:rPr>
          <w:b w:val="0"/>
        </w:rPr>
        <w:t xml:space="preserve"> Il dit ce qu'on a le droit d'écrire et ce qu'on est tenu de renseigner. Une valeur étrangère au plan est refusée, et un index obligatoire absent du corps est traité comme un index non renseigné.</w:t>
      </w:r>
    </w:p>
    <w:p>
      <w:pPr>
        <w:pStyle w:val="ListNumber"/>
        <w:spacing w:after="60"/>
      </w:pPr>
      <w:r>
        <w:rPr>
          <w:b/>
        </w:rPr>
        <w:t>La lecture automatique n'a aucun passe-droit.</w:t>
      </w:r>
      <w:r>
        <w:rPr>
          <w:b w:val="0"/>
        </w:rPr>
        <w:t xml:space="preserve"> Une valeur déduite du contenu est confrontée au type de l'index exactement comme une valeur saisie à la main. Ce qui ne passe pas est signalé, jamais deviné.</w:t>
      </w:r>
    </w:p>
    <w:p>
      <w:pPr>
        <w:pStyle w:val="ListNumber"/>
        <w:spacing w:after="60"/>
      </w:pPr>
      <w:r>
        <w:rPr>
          <w:b/>
        </w:rPr>
        <w:t>La provenance est toujours dite.</w:t>
      </w:r>
      <w:r>
        <w:rPr>
          <w:b w:val="0"/>
        </w:rPr>
        <w:t xml:space="preserve"> Chaque proposition indique si elle vient du nom du fichier ou du contenu, et la réponse porte la manière dont le contenu a été lu : couche texte native, reconnaissance optique, ou rien. Taire la différence reviendrait à faire passer une reconnaissance faillible pour une donnée sûre.</w:t>
      </w:r>
    </w:p>
    <w:p>
      <w:pPr>
        <w:pStyle w:val="ListNumber"/>
        <w:spacing w:after="60"/>
      </w:pPr>
      <w:r>
        <w:rPr>
          <w:b/>
        </w:rPr>
        <w:t>Les règles de découpage vivent au serveur.</w:t>
      </w:r>
      <w:r>
        <w:rPr>
          <w:b w:val="0"/>
        </w:rPr>
        <w:t xml:space="preserve"> Séparateur du plan, ordre des index, contrôle de type, normalisation des dates, composition du nom : tout est calculé au même endroit, et l'aperçu emprunte exactement le même code que l'analyse. Les réimplémenter dans le navigateur les ferait diverger au premier changement de règle.</w:t>
      </w:r>
    </w:p>
    <w:p>
      <w:pPr>
        <w:pStyle w:val="ListNumber"/>
        <w:spacing w:after="60"/>
      </w:pPr>
      <w:r>
        <w:rPr>
          <w:b/>
        </w:rPr>
        <w:t>Le fichier soumis à l'aperçu n'est pas conservé.</w:t>
      </w:r>
      <w:r>
        <w:rPr>
          <w:b w:val="0"/>
        </w:rPr>
        <w:t xml:space="preserve"> Il est recopié dans un temporaire, lu, puis supprimé quoi qu'il arrive. Il n'a pas été confié à la GED, il ne doit rien laisser derrière lui.</w:t>
      </w:r>
    </w:p>
    <w:p>
      <w:r>
        <w:br w:type="page"/>
      </w:r>
    </w:p>
    <w:p>
      <w:pPr>
        <w:pStyle w:val="Heading1"/>
        <w:spacing w:before="360" w:after="160"/>
      </w:pPr>
      <w:r>
        <w:t>2. Les données conservées</w:t>
      </w:r>
    </w:p>
    <w:p>
      <w:pPr>
        <w:pStyle w:val="Heading2"/>
        <w:spacing w:before="280" w:after="120"/>
      </w:pPr>
      <w:r>
        <w:t>2.1 La valeur d'index</w:t>
      </w:r>
    </w:p>
    <w:p>
      <w:r>
        <w:rPr>
          <w:i w:val="0"/>
        </w:rPr>
        <w:t>Une seule table est propre à ce module : document_index_values. Elle relie un document, un index et une valeur. C'est la pièce qui manquait à la chaîne de paramétrage : jusqu'à son introduction, les index et les plans n'existaient qu'en configuration, et aucune valeur n'était conservée. Elle rend enfin effectives les options « obligatoire », « indexé pour recherche » et « index de groupage » portées par l'index.</w:t>
      </w:r>
    </w:p>
    <w:tbl>
      <w:tblPr>
        <w:tblStyle w:val="LightGrid-Accent1"/>
        <w:tblW w:type="auto" w:w="0"/>
        <w:tblLayout w:type="autofit"/>
        <w:tblLook w:firstColumn="1" w:firstRow="1" w:lastColumn="0" w:lastRow="0" w:noHBand="0" w:noVBand="1" w:val="04A0"/>
      </w:tblPr>
      <w:tblGrid>
        <w:gridCol w:w="1606"/>
        <w:gridCol w:w="1606"/>
        <w:gridCol w:w="1606"/>
        <w:gridCol w:w="1606"/>
        <w:gridCol w:w="1606"/>
        <w:gridCol w:w="1606"/>
      </w:tblGrid>
      <w:tr>
        <w:tc>
          <w:tcPr>
            <w:tcW w:type="dxa" w:w="1701"/>
          </w:tcPr>
          <w:p>
            <w:pPr>
              <w:spacing w:after="40"/>
            </w:pPr>
            <w:r/>
            <w:r>
              <w:rPr>
                <w:b/>
                <w:sz w:val="18"/>
              </w:rPr>
              <w:t>Nom métier</w:t>
            </w:r>
          </w:p>
        </w:tc>
        <w:tc>
          <w:tcPr>
            <w:tcW w:type="dxa" w:w="1361"/>
          </w:tcPr>
          <w:p>
            <w:pPr>
              <w:spacing w:after="40"/>
            </w:pPr>
            <w:r/>
            <w:r>
              <w:rPr>
                <w:b/>
                <w:sz w:val="18"/>
              </w:rPr>
              <w:t>Nature</w:t>
            </w:r>
          </w:p>
        </w:tc>
        <w:tc>
          <w:tcPr>
            <w:tcW w:type="dxa" w:w="624"/>
          </w:tcPr>
          <w:p>
            <w:pPr>
              <w:spacing w:after="40"/>
            </w:pPr>
            <w:r/>
            <w:r>
              <w:rPr>
                <w:b/>
                <w:sz w:val="18"/>
              </w:rPr>
              <w:t>Oblig.</w:t>
            </w:r>
          </w:p>
        </w:tc>
        <w:tc>
          <w:tcPr>
            <w:tcW w:type="dxa" w:w="1701"/>
          </w:tcPr>
          <w:p>
            <w:pPr>
              <w:spacing w:after="40"/>
            </w:pPr>
            <w:r/>
            <w:r>
              <w:rPr>
                <w:b/>
                <w:sz w:val="18"/>
              </w:rPr>
              <w:t>Valeur par défaut</w:t>
            </w:r>
          </w:p>
        </w:tc>
        <w:tc>
          <w:tcPr>
            <w:tcW w:type="dxa" w:w="1134"/>
          </w:tcPr>
          <w:p>
            <w:pPr>
              <w:spacing w:after="40"/>
            </w:pPr>
            <w:r/>
            <w:r>
              <w:rPr>
                <w:b/>
                <w:sz w:val="18"/>
              </w:rPr>
              <w:t>Unicité</w:t>
            </w:r>
          </w:p>
        </w:tc>
        <w:tc>
          <w:tcPr>
            <w:tcW w:type="dxa" w:w="3118"/>
          </w:tcPr>
          <w:p>
            <w:pPr>
              <w:spacing w:after="40"/>
            </w:pPr>
            <w:r/>
            <w:r>
              <w:rPr>
                <w:b/>
                <w:sz w:val="18"/>
              </w:rPr>
              <w:t>Relation / usage</w:t>
            </w:r>
          </w:p>
        </w:tc>
      </w:tr>
      <w:tr>
        <w:tc>
          <w:tcPr>
            <w:tcW w:type="dxa" w:w="1701"/>
          </w:tcPr>
          <w:p>
            <w:pPr>
              <w:spacing w:after="40"/>
            </w:pPr>
            <w:r/>
            <w:r>
              <w:rPr>
                <w:sz w:val="18"/>
              </w:rPr>
              <w:t>Identifiant</w:t>
            </w:r>
          </w:p>
        </w:tc>
        <w:tc>
          <w:tcPr>
            <w:tcW w:type="dxa" w:w="1361"/>
          </w:tcPr>
          <w:p>
            <w:pPr>
              <w:spacing w:after="40"/>
            </w:pPr>
            <w:r/>
            <w:r>
              <w:rPr>
                <w:sz w:val="18"/>
              </w:rPr>
              <w:t>Entier auto-incrémenté</w:t>
            </w:r>
          </w:p>
        </w:tc>
        <w:tc>
          <w:tcPr>
            <w:tcW w:type="dxa" w:w="624"/>
          </w:tcPr>
          <w:p>
            <w:pPr>
              <w:spacing w:after="40"/>
            </w:pPr>
            <w:r/>
            <w:r>
              <w:rPr>
                <w:sz w:val="18"/>
              </w:rPr>
              <w:t>oui</w:t>
            </w:r>
          </w:p>
        </w:tc>
        <w:tc>
          <w:tcPr>
            <w:tcW w:type="dxa" w:w="1701"/>
          </w:tcPr>
          <w:p>
            <w:pPr>
              <w:spacing w:after="40"/>
            </w:pPr>
            <w:r/>
            <w:r>
              <w:rPr>
                <w:sz w:val="18"/>
              </w:rPr>
              <w:t>Attribué par la base</w:t>
            </w:r>
          </w:p>
        </w:tc>
        <w:tc>
          <w:tcPr>
            <w:tcW w:type="dxa" w:w="1134"/>
          </w:tcPr>
          <w:p>
            <w:pPr>
              <w:spacing w:after="40"/>
            </w:pPr>
            <w:r/>
            <w:r>
              <w:rPr>
                <w:sz w:val="18"/>
              </w:rPr>
              <w:t>Clé primaire</w:t>
            </w:r>
          </w:p>
        </w:tc>
        <w:tc>
          <w:tcPr>
            <w:tcW w:type="dxa" w:w="3118"/>
          </w:tcPr>
          <w:p>
            <w:pPr>
              <w:spacing w:after="40"/>
            </w:pPr>
            <w:r/>
            <w:r>
              <w:rPr>
                <w:sz w:val="18"/>
              </w:rPr>
              <w:t>—</w:t>
            </w:r>
          </w:p>
        </w:tc>
      </w:tr>
      <w:tr>
        <w:tc>
          <w:tcPr>
            <w:tcW w:type="dxa" w:w="1701"/>
          </w:tcPr>
          <w:p>
            <w:pPr>
              <w:spacing w:after="40"/>
            </w:pPr>
            <w:r/>
            <w:r>
              <w:rPr>
                <w:sz w:val="18"/>
              </w:rPr>
              <w:t>Document</w:t>
            </w:r>
          </w:p>
        </w:tc>
        <w:tc>
          <w:tcPr>
            <w:tcW w:type="dxa" w:w="1361"/>
          </w:tcPr>
          <w:p>
            <w:pPr>
              <w:spacing w:after="40"/>
            </w:pPr>
            <w:r/>
            <w:r>
              <w:rPr>
                <w:sz w:val="18"/>
              </w:rPr>
              <w:t>Référence</w:t>
            </w:r>
          </w:p>
        </w:tc>
        <w:tc>
          <w:tcPr>
            <w:tcW w:type="dxa" w:w="624"/>
          </w:tcPr>
          <w:p>
            <w:pPr>
              <w:spacing w:after="40"/>
            </w:pPr>
            <w:r/>
            <w:r>
              <w:rPr>
                <w:sz w:val="18"/>
              </w:rPr>
              <w:t>oui</w:t>
            </w:r>
          </w:p>
        </w:tc>
        <w:tc>
          <w:tcPr>
            <w:tcW w:type="dxa" w:w="1701"/>
          </w:tcPr>
          <w:p>
            <w:pPr>
              <w:spacing w:after="40"/>
            </w:pPr>
            <w:r/>
            <w:r>
              <w:rPr>
                <w:sz w:val="18"/>
              </w:rPr>
              <w:t>Aucune</w:t>
            </w:r>
          </w:p>
        </w:tc>
        <w:tc>
          <w:tcPr>
            <w:tcW w:type="dxa" w:w="1134"/>
          </w:tcPr>
          <w:p>
            <w:pPr>
              <w:spacing w:after="40"/>
            </w:pPr>
            <w:r/>
            <w:r>
              <w:rPr>
                <w:sz w:val="18"/>
              </w:rPr>
              <w:t>Voir ci-dessous</w:t>
            </w:r>
          </w:p>
        </w:tc>
        <w:tc>
          <w:tcPr>
            <w:tcW w:type="dxa" w:w="3118"/>
          </w:tcPr>
          <w:p>
            <w:pPr>
              <w:spacing w:after="40"/>
            </w:pPr>
            <w:r/>
            <w:r>
              <w:rPr>
                <w:sz w:val="18"/>
              </w:rPr>
              <w:t>Vers documents_file ; la valeur n'existe que rattachée à un document</w:t>
            </w:r>
          </w:p>
        </w:tc>
      </w:tr>
      <w:tr>
        <w:tc>
          <w:tcPr>
            <w:tcW w:type="dxa" w:w="1701"/>
          </w:tcPr>
          <w:p>
            <w:pPr>
              <w:spacing w:after="40"/>
            </w:pPr>
            <w:r/>
            <w:r>
              <w:rPr>
                <w:sz w:val="18"/>
              </w:rPr>
              <w:t>Index</w:t>
            </w:r>
          </w:p>
        </w:tc>
        <w:tc>
          <w:tcPr>
            <w:tcW w:type="dxa" w:w="1361"/>
          </w:tcPr>
          <w:p>
            <w:pPr>
              <w:spacing w:after="40"/>
            </w:pPr>
            <w:r/>
            <w:r>
              <w:rPr>
                <w:sz w:val="18"/>
              </w:rPr>
              <w:t>Référence</w:t>
            </w:r>
          </w:p>
        </w:tc>
        <w:tc>
          <w:tcPr>
            <w:tcW w:type="dxa" w:w="624"/>
          </w:tcPr>
          <w:p>
            <w:pPr>
              <w:spacing w:after="40"/>
            </w:pPr>
            <w:r/>
            <w:r>
              <w:rPr>
                <w:sz w:val="18"/>
              </w:rPr>
              <w:t>oui</w:t>
            </w:r>
          </w:p>
        </w:tc>
        <w:tc>
          <w:tcPr>
            <w:tcW w:type="dxa" w:w="1701"/>
          </w:tcPr>
          <w:p>
            <w:pPr>
              <w:spacing w:after="40"/>
            </w:pPr>
            <w:r/>
            <w:r>
              <w:rPr>
                <w:sz w:val="18"/>
              </w:rPr>
              <w:t>Aucune</w:t>
            </w:r>
          </w:p>
        </w:tc>
        <w:tc>
          <w:tcPr>
            <w:tcW w:type="dxa" w:w="1134"/>
          </w:tcPr>
          <w:p>
            <w:pPr>
              <w:spacing w:after="40"/>
            </w:pPr>
            <w:r/>
            <w:r>
              <w:rPr>
                <w:sz w:val="18"/>
              </w:rPr>
              <w:t>Voir ci-dessous</w:t>
            </w:r>
          </w:p>
        </w:tc>
        <w:tc>
          <w:tcPr>
            <w:tcW w:type="dxa" w:w="3118"/>
          </w:tcPr>
          <w:p>
            <w:pPr>
              <w:spacing w:after="40"/>
            </w:pPr>
            <w:r/>
            <w:r>
              <w:rPr>
                <w:sz w:val="18"/>
              </w:rPr>
              <w:t>Vers indices ; détermine le libellé, le type et les options</w:t>
            </w:r>
          </w:p>
        </w:tc>
      </w:tr>
      <w:tr>
        <w:tc>
          <w:tcPr>
            <w:tcW w:type="dxa" w:w="1701"/>
          </w:tcPr>
          <w:p>
            <w:pPr>
              <w:spacing w:after="40"/>
            </w:pPr>
            <w:r/>
            <w:r>
              <w:rPr>
                <w:sz w:val="18"/>
              </w:rPr>
              <w:t>Valeur</w:t>
            </w:r>
          </w:p>
        </w:tc>
        <w:tc>
          <w:tcPr>
            <w:tcW w:type="dxa" w:w="1361"/>
          </w:tcPr>
          <w:p>
            <w:pPr>
              <w:spacing w:after="40"/>
            </w:pPr>
            <w:r/>
            <w:r>
              <w:rPr>
                <w:sz w:val="18"/>
              </w:rPr>
              <w:t>Texte long</w:t>
            </w:r>
          </w:p>
        </w:tc>
        <w:tc>
          <w:tcPr>
            <w:tcW w:type="dxa" w:w="624"/>
          </w:tcPr>
          <w:p>
            <w:pPr>
              <w:spacing w:after="40"/>
            </w:pPr>
            <w:r/>
            <w:r>
              <w:rPr>
                <w:sz w:val="18"/>
              </w:rPr>
              <w:t>non</w:t>
            </w:r>
          </w:p>
        </w:tc>
        <w:tc>
          <w:tcPr>
            <w:tcW w:type="dxa" w:w="1701"/>
          </w:tcPr>
          <w:p>
            <w:pPr>
              <w:spacing w:after="40"/>
            </w:pPr>
            <w:r/>
            <w:r>
              <w:rPr>
                <w:sz w:val="18"/>
              </w:rPr>
              <w:t>Aucune</w:t>
            </w:r>
          </w:p>
        </w:tc>
        <w:tc>
          <w:tcPr>
            <w:tcW w:type="dxa" w:w="1134"/>
          </w:tcPr>
          <w:p>
            <w:pPr>
              <w:spacing w:after="40"/>
            </w:pPr>
            <w:r/>
            <w:r>
              <w:rPr>
                <w:sz w:val="18"/>
              </w:rPr>
              <w:t>non</w:t>
            </w:r>
          </w:p>
        </w:tc>
        <w:tc>
          <w:tcPr>
            <w:tcW w:type="dxa" w:w="3118"/>
          </w:tcPr>
          <w:p>
            <w:pPr>
              <w:spacing w:after="40"/>
            </w:pPr>
            <w:r/>
            <w:r>
              <w:rPr>
                <w:sz w:val="18"/>
              </w:rPr>
              <w:t>Stockée en texte quel que soit le type de l'index</w:t>
            </w:r>
          </w:p>
        </w:tc>
      </w:tr>
      <w:tr>
        <w:tc>
          <w:tcPr>
            <w:tcW w:type="dxa" w:w="1701"/>
          </w:tcPr>
          <w:p>
            <w:pPr>
              <w:spacing w:after="40"/>
            </w:pPr>
            <w:r/>
            <w:r>
              <w:rPr>
                <w:sz w:val="18"/>
              </w:rPr>
              <w:t>Paire document / index</w:t>
            </w:r>
          </w:p>
        </w:tc>
        <w:tc>
          <w:tcPr>
            <w:tcW w:type="dxa" w:w="1361"/>
          </w:tcPr>
          <w:p>
            <w:pPr>
              <w:spacing w:after="40"/>
            </w:pPr>
            <w:r/>
            <w:r>
              <w:rPr>
                <w:sz w:val="18"/>
              </w:rPr>
              <w:t>Contrainte</w:t>
            </w:r>
          </w:p>
        </w:tc>
        <w:tc>
          <w:tcPr>
            <w:tcW w:type="dxa" w:w="624"/>
          </w:tcPr>
          <w:p>
            <w:pPr>
              <w:spacing w:after="40"/>
            </w:pPr>
            <w:r/>
            <w:r>
              <w:rPr>
                <w:sz w:val="18"/>
              </w:rPr>
              <w:t>—</w:t>
            </w:r>
          </w:p>
        </w:tc>
        <w:tc>
          <w:tcPr>
            <w:tcW w:type="dxa" w:w="1701"/>
          </w:tcPr>
          <w:p>
            <w:pPr>
              <w:spacing w:after="40"/>
            </w:pPr>
            <w:r/>
            <w:r>
              <w:rPr>
                <w:sz w:val="18"/>
              </w:rPr>
              <w:t>—</w:t>
            </w:r>
          </w:p>
        </w:tc>
        <w:tc>
          <w:tcPr>
            <w:tcW w:type="dxa" w:w="1134"/>
          </w:tcPr>
          <w:p>
            <w:pPr>
              <w:spacing w:after="40"/>
            </w:pPr>
            <w:r/>
            <w:r>
              <w:rPr>
                <w:sz w:val="18"/>
              </w:rPr>
              <w:t>**Unique**</w:t>
            </w:r>
          </w:p>
        </w:tc>
        <w:tc>
          <w:tcPr>
            <w:tcW w:type="dxa" w:w="3118"/>
          </w:tcPr>
          <w:p>
            <w:pPr>
              <w:spacing w:after="40"/>
            </w:pPr>
            <w:r/>
            <w:r>
              <w:rPr>
                <w:sz w:val="18"/>
              </w:rPr>
              <w:t>Un document ne peut porter qu'une seule valeur par index</w:t>
            </w:r>
          </w:p>
        </w:tc>
      </w:tr>
      <w:tr>
        <w:tc>
          <w:tcPr>
            <w:tcW w:type="dxa" w:w="1701"/>
          </w:tcPr>
          <w:p>
            <w:pPr>
              <w:spacing w:after="40"/>
            </w:pPr>
            <w:r/>
            <w:r>
              <w:rPr>
                <w:sz w:val="18"/>
              </w:rPr>
              <w:t>Créé le / Modifié le</w:t>
            </w:r>
          </w:p>
        </w:tc>
        <w:tc>
          <w:tcPr>
            <w:tcW w:type="dxa" w:w="1361"/>
          </w:tcPr>
          <w:p>
            <w:pPr>
              <w:spacing w:after="40"/>
            </w:pPr>
            <w:r/>
            <w:r>
              <w:rPr>
                <w:sz w:val="18"/>
              </w:rPr>
              <w:t>Horodatages</w:t>
            </w:r>
          </w:p>
        </w:tc>
        <w:tc>
          <w:tcPr>
            <w:tcW w:type="dxa" w:w="624"/>
          </w:tcPr>
          <w:p>
            <w:pPr>
              <w:spacing w:after="40"/>
            </w:pPr>
            <w:r/>
            <w:r>
              <w:rPr>
                <w:sz w:val="18"/>
              </w:rPr>
              <w:t>auto</w:t>
            </w:r>
          </w:p>
        </w:tc>
        <w:tc>
          <w:tcPr>
            <w:tcW w:type="dxa" w:w="1701"/>
          </w:tcPr>
          <w:p>
            <w:pPr>
              <w:spacing w:after="40"/>
            </w:pPr>
            <w:r/>
            <w:r>
              <w:rPr>
                <w:sz w:val="18"/>
              </w:rPr>
              <w:t>Renseignés par la persistance</w:t>
            </w:r>
          </w:p>
        </w:tc>
        <w:tc>
          <w:tcPr>
            <w:tcW w:type="dxa" w:w="1134"/>
          </w:tcPr>
          <w:p>
            <w:pPr>
              <w:spacing w:after="40"/>
            </w:pPr>
            <w:r/>
            <w:r>
              <w:rPr>
                <w:sz w:val="18"/>
              </w:rPr>
              <w:t>—</w:t>
            </w:r>
          </w:p>
        </w:tc>
        <w:tc>
          <w:tcPr>
            <w:tcW w:type="dxa" w:w="3118"/>
          </w:tcPr>
          <w:p>
            <w:pPr>
              <w:spacing w:after="40"/>
            </w:pPr>
            <w:r/>
            <w:r>
              <w:rPr>
                <w:sz w:val="18"/>
              </w:rPr>
              <w:t>Colonnes d'audit communes</w:t>
            </w:r>
          </w:p>
        </w:tc>
      </w:tr>
    </w:tbl>
    <w:p>
      <w:pPr>
        <w:spacing w:after="40"/>
      </w:pPr>
    </w:p>
    <w:p>
      <w:r>
        <w:rPr>
          <w:i w:val="0"/>
        </w:rPr>
        <w:t>Le stockage en texte, quel que soit le type déclaré de l'index, appelle une précision : les dates sont conservées au format année-mois-jour. Ce n'est pas une commodité d'affichage, c'est ce qui permet la recherche par plage — dans cette écriture, l'ordre alphabétique coïncide avec l'ordre chronologique, et la comparaison de chaînes suffit à borner un intervalle.</w:t>
      </w:r>
    </w:p>
    <w:p>
      <w:r>
        <w:rPr>
          <w:i w:val="0"/>
        </w:rPr>
        <w:t>La table porte un index de base sur la colonne d'index, qui sert de point d'entrée au filtrage de recherche et à la jointure vers les documents.</w:t>
      </w:r>
    </w:p>
    <w:p>
      <w:pPr>
        <w:pStyle w:val="Heading2"/>
        <w:spacing w:before="280" w:after="120"/>
      </w:pPr>
      <w:r>
        <w:t>2.2 Ce qui est écrit sur la fiche du document</w:t>
      </w:r>
    </w:p>
    <w:p>
      <w:r>
        <w:rPr>
          <w:i w:val="0"/>
        </w:rPr>
        <w:t>L'écriture des valeurs modifie deux colonnes de la fiche du document, qui appartiennent au module documentaire mais ne sont jamais renseignées par lui :</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1814"/>
          </w:tcPr>
          <w:p>
            <w:pPr>
              <w:spacing w:after="40"/>
            </w:pPr>
            <w:r/>
            <w:r>
              <w:rPr>
                <w:b/>
                <w:sz w:val="18"/>
              </w:rPr>
              <w:t>Colonne</w:t>
            </w:r>
          </w:p>
        </w:tc>
        <w:tc>
          <w:tcPr>
            <w:tcW w:type="dxa" w:w="2721"/>
          </w:tcPr>
          <w:p>
            <w:pPr>
              <w:spacing w:after="40"/>
            </w:pPr>
            <w:r/>
            <w:r>
              <w:rPr>
                <w:b/>
                <w:sz w:val="18"/>
              </w:rPr>
              <w:t>Quand elle est écrite</w:t>
            </w:r>
          </w:p>
        </w:tc>
        <w:tc>
          <w:tcPr>
            <w:tcW w:type="dxa" w:w="4535"/>
          </w:tcPr>
          <w:p>
            <w:pPr>
              <w:spacing w:after="40"/>
            </w:pPr>
            <w:r/>
            <w:r>
              <w:rPr>
                <w:b/>
                <w:sz w:val="18"/>
              </w:rPr>
              <w:t>Ce qu'elle contient</w:t>
            </w:r>
          </w:p>
        </w:tc>
      </w:tr>
      <w:tr>
        <w:tc>
          <w:tcPr>
            <w:tcW w:type="dxa" w:w="1814"/>
          </w:tcPr>
          <w:p>
            <w:pPr>
              <w:spacing w:after="40"/>
            </w:pPr>
            <w:r/>
            <w:r>
              <w:rPr>
                <w:sz w:val="18"/>
              </w:rPr>
              <w:t>Référence composée</w:t>
            </w:r>
          </w:p>
        </w:tc>
        <w:tc>
          <w:tcPr>
            <w:tcW w:type="dxa" w:w="2721"/>
          </w:tcPr>
          <w:p>
            <w:pPr>
              <w:spacing w:after="40"/>
            </w:pPr>
            <w:r/>
            <w:r>
              <w:rPr>
                <w:sz w:val="18"/>
              </w:rPr>
              <w:t>À chaque écriture de valeurs ayant effectivement porté sur au moins une ligne</w:t>
            </w:r>
          </w:p>
        </w:tc>
        <w:tc>
          <w:tcPr>
            <w:tcW w:type="dxa" w:w="4535"/>
          </w:tcPr>
          <w:p>
            <w:pPr>
              <w:spacing w:after="40"/>
            </w:pPr>
            <w:r/>
            <w:r>
              <w:rPr>
                <w:sz w:val="18"/>
              </w:rPr>
              <w:t>Les jetons de la charte de nommage, résolus puis joints par le séparateur du plan, en majuscules si la charte l'exige. Vide tant qu'aucune indexation n'a été confirmée.</w:t>
            </w:r>
          </w:p>
        </w:tc>
      </w:tr>
      <w:tr>
        <w:tc>
          <w:tcPr>
            <w:tcW w:type="dxa" w:w="1814"/>
          </w:tcPr>
          <w:p>
            <w:pPr>
              <w:spacing w:after="40"/>
            </w:pPr>
            <w:r/>
            <w:r>
              <w:rPr>
                <w:sz w:val="18"/>
              </w:rPr>
              <w:t>Nom du document</w:t>
            </w:r>
          </w:p>
        </w:tc>
        <w:tc>
          <w:tcPr>
            <w:tcW w:type="dxa" w:w="2721"/>
          </w:tcPr>
          <w:p>
            <w:pPr>
              <w:spacing w:after="40"/>
            </w:pPr>
            <w:r/>
            <w:r>
              <w:rPr>
                <w:sz w:val="18"/>
              </w:rPr>
              <w:t>Dans les mêmes conditions, et seulement si la charte n'est pas manuelle</w:t>
            </w:r>
          </w:p>
        </w:tc>
        <w:tc>
          <w:tcPr>
            <w:tcW w:type="dxa" w:w="4535"/>
          </w:tcPr>
          <w:p>
            <w:pPr>
              <w:spacing w:after="40"/>
            </w:pPr>
            <w:r/>
            <w:r>
              <w:rPr>
                <w:sz w:val="18"/>
              </w:rPr>
              <w:t>La référence composée, recopiée telle quelle. En mode manuel, le nom saisi par l'opérateur reste intact.</w:t>
            </w:r>
          </w:p>
        </w:tc>
      </w:tr>
    </w:tbl>
    <w:p>
      <w:pPr>
        <w:spacing w:after="40"/>
      </w:pPr>
    </w:p>
    <w:p>
      <w:r>
        <w:rPr>
          <w:i w:val="0"/>
        </w:rPr>
        <w:t>Cette recomposition est conditionnée à une écriture réelle. Une requête au corps vide ne recompose rien. La condition n'est pas cosmétique : sans elle, un corps vide remplaçait le nom du document par les seuls jetons système suivis de points d'interrogation — une chaîne du type « 260811_105301_?_? » — c'est-à-dire détruisait le nom sans qu'aucune donnée n'ait été fournie.</w:t>
      </w:r>
    </w:p>
    <w:p>
      <w:pPr>
        <w:pStyle w:val="Heading2"/>
        <w:spacing w:before="280" w:after="120"/>
      </w:pPr>
      <w:r>
        <w:t>2.3 Ce qui n'est jamais conservé</w:t>
      </w:r>
    </w:p>
    <w:p>
      <w:pPr>
        <w:pStyle w:val="ListBullet"/>
        <w:spacing w:after="60"/>
      </w:pPr>
      <w:r>
        <w:rPr>
          <w:b/>
        </w:rPr>
        <w:t>Le texte extrait du document.</w:t>
      </w:r>
      <w:r>
        <w:rPr>
          <w:b w:val="0"/>
        </w:rPr>
        <w:t xml:space="preserve"> Ni la couche texte lue, ni le résultat de la reconnaissance optique, ni les positions de mots ne sont stockés. Chaque analyse relit le fichier.</w:t>
      </w:r>
    </w:p>
    <w:p>
      <w:pPr>
        <w:pStyle w:val="ListBullet"/>
        <w:spacing w:after="60"/>
      </w:pPr>
      <w:r>
        <w:rPr>
          <w:b/>
        </w:rPr>
        <w:t>Les propositions.</w:t>
      </w:r>
      <w:r>
        <w:rPr>
          <w:b w:val="0"/>
        </w:rPr>
        <w:t xml:space="preserve"> L'aperçu et l'analyse produisent des réponses éphémères. Rien ne distingue, en base, une valeur qui vient d'une déduction acceptée d'une valeur saisie à la main.</w:t>
      </w:r>
    </w:p>
    <w:p>
      <w:pPr>
        <w:pStyle w:val="ListBullet"/>
        <w:spacing w:after="60"/>
      </w:pPr>
      <w:r>
        <w:rPr>
          <w:b/>
        </w:rPr>
        <w:t>Les fichiers temporaires.</w:t>
      </w:r>
      <w:r>
        <w:rPr>
          <w:b w:val="0"/>
        </w:rPr>
        <w:t xml:space="preserve"> La copie de travail de l'aperçu et les pages rendues en image avant reconnaissance sont supprimées à la fin du traitement.</w:t>
      </w:r>
    </w:p>
    <w:p>
      <w:pPr>
        <w:pStyle w:val="ListBullet"/>
        <w:spacing w:after="60"/>
      </w:pPr>
      <w:r>
        <w:rPr>
          <w:b/>
        </w:rPr>
        <w:t>Le fait qu'un document reste à indexer.</w:t>
      </w:r>
      <w:r>
        <w:rPr>
          <w:b w:val="0"/>
        </w:rPr>
        <w:t xml:space="preserve"> Aucun indicateur ne le marque : l'état se déduit de l'absence de valeurs face à un plan qui en attend.</w:t>
      </w:r>
    </w:p>
    <w:p>
      <w:r>
        <w:br w:type="page"/>
      </w:r>
    </w:p>
    <w:p>
      <w:pPr>
        <w:pStyle w:val="Heading1"/>
        <w:spacing w:before="360" w:after="160"/>
      </w:pPr>
      <w:r>
        <w:t>3. Les relations</w:t>
      </w:r>
    </w:p>
    <w:p>
      <w:pPr>
        <w:pStyle w:val="Heading2"/>
        <w:spacing w:before="280" w:after="120"/>
      </w:pPr>
      <w:r>
        <w:t>3.1 Schéma de la chaîne de paramétrage</w:t>
      </w:r>
    </w:p>
    <w:p>
      <w:pPr>
        <w:spacing w:after="0" w:before="0" w:line="240" w:lineRule="auto"/>
      </w:pPr>
      <w:r>
        <w:rPr>
          <w:rFonts w:ascii="Consolas" w:hAnsi="Consolas" w:cs="Consolas" w:eastAsia="Consolas"/>
          <w:sz w:val="18"/>
        </w:rPr>
        <w:t xml:space="preserve">   CHAINE DE PARAMETRAGE (amont)                    DONNEES (aval)</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INDEX   |  type, options, obligatoire,       |   VALEUR D'INDEX   |</w:t>
      </w:r>
    </w:p>
    <w:p>
      <w:pPr>
        <w:spacing w:after="0" w:before="0" w:line="240" w:lineRule="auto"/>
      </w:pPr>
      <w:r>
        <w:rPr>
          <w:rFonts w:ascii="Consolas" w:hAnsi="Consolas" w:cs="Consolas" w:eastAsia="Consolas"/>
          <w:sz w:val="18"/>
        </w:rPr>
        <w:t xml:space="preserve">   |  indices  |  indexe pour recherche,      n     |  document_index_   |</w:t>
      </w:r>
    </w:p>
    <w:p>
      <w:pPr>
        <w:spacing w:after="0" w:before="0" w:line="240" w:lineRule="auto"/>
      </w:pPr>
      <w:r>
        <w:rPr>
          <w:rFonts w:ascii="Consolas" w:hAnsi="Consolas" w:cs="Consolas" w:eastAsia="Consolas"/>
          <w:sz w:val="18"/>
        </w:rPr>
        <w:t xml:space="preserve">   +-----+-----+  index de groupage        &lt;--------+       values       |</w:t>
      </w:r>
    </w:p>
    <w:p>
      <w:pPr>
        <w:spacing w:after="0" w:before="0" w:line="240" w:lineRule="auto"/>
      </w:pPr>
      <w:r>
        <w:rPr>
          <w:rFonts w:ascii="Consolas" w:hAnsi="Consolas" w:cs="Consolas" w:eastAsia="Consolas"/>
          <w:sz w:val="18"/>
        </w:rPr>
        <w:t xml:space="preserve">         | n                                        +---------+----------+</w:t>
      </w:r>
    </w:p>
    <w:p>
      <w:pPr>
        <w:spacing w:after="0" w:before="0" w:line="240" w:lineRule="auto"/>
      </w:pPr>
      <w:r>
        <w:rPr>
          <w:rFonts w:ascii="Consolas" w:hAnsi="Consolas" w:cs="Consolas" w:eastAsia="Consolas"/>
          <w:sz w:val="18"/>
        </w:rPr>
        <w:t xml:space="preserve">         | (ordonne, position)                                | n</w:t>
      </w:r>
    </w:p>
    <w:p>
      <w:pPr>
        <w:spacing w:after="0" w:before="0" w:line="240" w:lineRule="auto"/>
      </w:pPr>
      <w:r>
        <w:rPr>
          <w:rFonts w:ascii="Consolas" w:hAnsi="Consolas" w:cs="Consolas" w:eastAsia="Consolas"/>
          <w:sz w:val="18"/>
        </w:rPr>
        <w:t xml:space="preserve">         v                                                    |</w:t>
      </w:r>
    </w:p>
    <w:p>
      <w:pPr>
        <w:spacing w:after="0" w:before="0" w:line="240" w:lineRule="auto"/>
      </w:pPr>
      <w:r>
        <w:rPr>
          <w:rFonts w:ascii="Consolas" w:hAnsi="Consolas" w:cs="Consolas" w:eastAsia="Consolas"/>
          <w:sz w:val="18"/>
        </w:rPr>
        <w:t xml:space="preserve">   +-------------------------+                                | 1</w:t>
      </w:r>
    </w:p>
    <w:p>
      <w:pPr>
        <w:spacing w:after="0" w:before="0" w:line="240" w:lineRule="auto"/>
      </w:pPr>
      <w:r>
        <w:rPr>
          <w:rFonts w:ascii="Consolas" w:hAnsi="Consolas" w:cs="Consolas" w:eastAsia="Consolas"/>
          <w:sz w:val="18"/>
        </w:rPr>
        <w:t xml:space="preserve">   |    PLAN D'INDEXATION    |                                 v</w:t>
      </w:r>
    </w:p>
    <w:p>
      <w:pPr>
        <w:spacing w:after="0" w:before="0" w:line="240" w:lineRule="auto"/>
      </w:pPr>
      <w:r>
        <w:rPr>
          <w:rFonts w:ascii="Consolas" w:hAnsi="Consolas" w:cs="Consolas" w:eastAsia="Consolas"/>
          <w:sz w:val="18"/>
        </w:rPr>
        <w:t xml:space="preserve">   |  separateur, majuscule, |                       +--------------------+</w:t>
      </w:r>
    </w:p>
    <w:p>
      <w:pPr>
        <w:spacing w:after="0" w:before="0" w:line="240" w:lineRule="auto"/>
      </w:pPr>
      <w:r>
        <w:rPr>
          <w:rFonts w:ascii="Consolas" w:hAnsi="Consolas" w:cs="Consolas" w:eastAsia="Consolas"/>
          <w:sz w:val="18"/>
        </w:rPr>
        <w:t xml:space="preserve">   |  manuel, charte         |                       |     DOCUMENT       |</w:t>
      </w:r>
    </w:p>
    <w:p>
      <w:pPr>
        <w:spacing w:after="0" w:before="0" w:line="240" w:lineRule="auto"/>
      </w:pPr>
      <w:r>
        <w:rPr>
          <w:rFonts w:ascii="Consolas" w:hAnsi="Consolas" w:cs="Consolas" w:eastAsia="Consolas"/>
          <w:sz w:val="18"/>
        </w:rPr>
        <w:t xml:space="preserve">   +-----------+-------------+                       |  nom, reference    |</w:t>
      </w:r>
    </w:p>
    <w:p>
      <w:pPr>
        <w:spacing w:after="0" w:before="0" w:line="240" w:lineRule="auto"/>
      </w:pPr>
      <w:r>
        <w:rPr>
          <w:rFonts w:ascii="Consolas" w:hAnsi="Consolas" w:cs="Consolas" w:eastAsia="Consolas"/>
          <w:sz w:val="18"/>
        </w:rPr>
        <w:t xml:space="preserve">               | 1                                   +---------+----------+</w:t>
      </w:r>
    </w:p>
    <w:p>
      <w:pPr>
        <w:spacing w:after="0" w:before="0" w:line="240" w:lineRule="auto"/>
      </w:pPr>
      <w:r>
        <w:rPr>
          <w:rFonts w:ascii="Consolas" w:hAnsi="Consolas" w:cs="Consolas" w:eastAsia="Consolas"/>
          <w:sz w:val="18"/>
        </w:rPr>
        <w:t xml:space="preserve">               |                                               | n</w:t>
      </w:r>
    </w:p>
    <w:p>
      <w:pPr>
        <w:spacing w:after="0" w:before="0" w:line="240" w:lineRule="auto"/>
      </w:pPr>
      <w:r>
        <w:rPr>
          <w:rFonts w:ascii="Consolas" w:hAnsi="Consolas" w:cs="Consolas" w:eastAsia="Consolas"/>
          <w:sz w:val="18"/>
        </w:rPr>
        <w:t xml:space="preserve">               | n                                             |</w:t>
      </w:r>
    </w:p>
    <w:p>
      <w:pPr>
        <w:spacing w:after="0" w:before="0" w:line="240" w:lineRule="auto"/>
      </w:pPr>
      <w:r>
        <w:rPr>
          <w:rFonts w:ascii="Consolas" w:hAnsi="Consolas" w:cs="Consolas" w:eastAsia="Consolas"/>
          <w:sz w:val="18"/>
        </w:rPr>
        <w:t xml:space="preserve">   +-----------+-------------+   1                             | 1</w:t>
      </w:r>
    </w:p>
    <w:p>
      <w:pPr>
        <w:spacing w:after="0" w:before="0" w:line="240" w:lineRule="auto"/>
      </w:pPr>
      <w:r>
        <w:rPr>
          <w:rFonts w:ascii="Consolas" w:hAnsi="Consolas" w:cs="Consolas" w:eastAsia="Consolas"/>
          <w:sz w:val="18"/>
        </w:rPr>
        <w:t xml:space="preserve">   |    TYPE DE DOCUMENT     +---------------------------------+</w:t>
      </w:r>
    </w:p>
    <w:p>
      <w:pPr>
        <w:spacing w:after="0" w:before="0" w:line="240" w:lineRule="auto"/>
      </w:pPr>
      <w:r>
        <w:rPr>
          <w:rFonts w:ascii="Consolas" w:hAnsi="Consolas" w:cs="Consolas" w:eastAsia="Consolas"/>
          <w:sz w:val="18"/>
        </w:rPr>
        <w:t xml:space="preserve">   |  formats, taille max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n</w:t>
      </w:r>
    </w:p>
    <w:p>
      <w:pPr>
        <w:spacing w:after="0" w:before="0" w:line="240" w:lineRule="auto"/>
      </w:pPr>
      <w:r>
        <w:rPr>
          <w:rFonts w:ascii="Consolas" w:hAnsi="Consolas" w:cs="Consolas" w:eastAsia="Consolas"/>
          <w:sz w:val="18"/>
        </w:rPr>
        <w:t xml:space="preserve">               | 1</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ESPACE DE TRAVAIL     |  --&gt; regle de workflow --&gt; circuit de signature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Lecture : le TYPE porte le plan ; le PLAN ordonne des index et decide du</w:t>
      </w:r>
    </w:p>
    <w:p>
      <w:pPr>
        <w:spacing w:after="0" w:before="0" w:line="240" w:lineRule="auto"/>
      </w:pPr>
      <w:r>
        <w:rPr>
          <w:rFonts w:ascii="Consolas" w:hAnsi="Consolas" w:cs="Consolas" w:eastAsia="Consolas"/>
          <w:sz w:val="18"/>
        </w:rPr>
        <w:t xml:space="preserve">   nommage ; l'INDEX decrit un champ ; la VALEUR relie un index a un document.</w:t>
      </w:r>
    </w:p>
    <w:p>
      <w:pPr>
        <w:spacing w:after="0" w:before="0" w:line="240" w:lineRule="auto"/>
      </w:pPr>
      <w:r>
        <w:rPr>
          <w:rFonts w:ascii="Consolas" w:hAnsi="Consolas" w:cs="Consolas" w:eastAsia="Consolas"/>
          <w:sz w:val="18"/>
        </w:rPr>
        <w:t xml:space="preserve">   L'apercu part du TYPE (le document n'existe pas encore) ; l'analyse part du</w:t>
      </w:r>
    </w:p>
    <w:p>
      <w:pPr>
        <w:spacing w:after="0" w:before="0" w:line="240" w:lineRule="auto"/>
      </w:pPr>
      <w:r>
        <w:rPr>
          <w:rFonts w:ascii="Consolas" w:hAnsi="Consolas" w:cs="Consolas" w:eastAsia="Consolas"/>
          <w:sz w:val="18"/>
        </w:rPr>
        <w:t xml:space="preserve">   DOCUMENT (le type est alors connu par sa fiche).</w:t>
      </w:r>
    </w:p>
    <w:p>
      <w:pPr>
        <w:spacing w:after="80"/>
      </w:pPr>
    </w:p>
    <w:p>
      <w:pPr>
        <w:pStyle w:val="Heading2"/>
        <w:spacing w:before="280" w:after="120"/>
      </w:pPr>
      <w:r>
        <w:t>3.2 Sens des liens et disparition de l'objet lié</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1701"/>
          </w:tcPr>
          <w:p>
            <w:pPr>
              <w:spacing w:after="40"/>
            </w:pPr>
            <w:r/>
            <w:r>
              <w:rPr>
                <w:b/>
                <w:sz w:val="18"/>
              </w:rPr>
              <w:t>Objet lié</w:t>
            </w:r>
          </w:p>
        </w:tc>
        <w:tc>
          <w:tcPr>
            <w:tcW w:type="dxa" w:w="1928"/>
          </w:tcPr>
          <w:p>
            <w:pPr>
              <w:spacing w:after="40"/>
            </w:pPr>
            <w:r/>
            <w:r>
              <w:rPr>
                <w:b/>
                <w:sz w:val="18"/>
              </w:rPr>
              <w:t>Sens</w:t>
            </w:r>
          </w:p>
        </w:tc>
        <w:tc>
          <w:tcPr>
            <w:tcW w:type="dxa" w:w="5443"/>
          </w:tcPr>
          <w:p>
            <w:pPr>
              <w:spacing w:after="40"/>
            </w:pPr>
            <w:r/>
            <w:r>
              <w:rPr>
                <w:b/>
                <w:sz w:val="18"/>
              </w:rPr>
              <w:t>Ce qui se passe quand il disparaît</w:t>
            </w:r>
          </w:p>
        </w:tc>
      </w:tr>
      <w:tr>
        <w:tc>
          <w:tcPr>
            <w:tcW w:type="dxa" w:w="1701"/>
          </w:tcPr>
          <w:p>
            <w:pPr>
              <w:spacing w:after="40"/>
            </w:pPr>
            <w:r/>
            <w:r>
              <w:rPr>
                <w:sz w:val="18"/>
              </w:rPr>
              <w:t>Index</w:t>
            </w:r>
          </w:p>
        </w:tc>
        <w:tc>
          <w:tcPr>
            <w:tcW w:type="dxa" w:w="1928"/>
          </w:tcPr>
          <w:p>
            <w:pPr>
              <w:spacing w:after="40"/>
            </w:pPr>
            <w:r/>
            <w:r>
              <w:rPr>
                <w:sz w:val="18"/>
              </w:rPr>
              <w:t>La valeur référence l'index</w:t>
            </w:r>
          </w:p>
        </w:tc>
        <w:tc>
          <w:tcPr>
            <w:tcW w:type="dxa" w:w="5443"/>
          </w:tcPr>
          <w:p>
            <w:pPr>
              <w:spacing w:after="40"/>
            </w:pPr>
            <w:r/>
            <w:r>
              <w:rPr>
                <w:sz w:val="18"/>
              </w:rPr>
              <w:t>Un index mis en corbeille est écarté du plan à la lecture : il ne paraît plus dans les champs à renseigner, ni dans les critères de recherche, ni dans les jetons résolus. Les valeurs déjà écrites subsistent en base mais deviennent invisibles.</w:t>
            </w:r>
          </w:p>
        </w:tc>
      </w:tr>
      <w:tr>
        <w:tc>
          <w:tcPr>
            <w:tcW w:type="dxa" w:w="1701"/>
          </w:tcPr>
          <w:p>
            <w:pPr>
              <w:spacing w:after="40"/>
            </w:pPr>
            <w:r/>
            <w:r>
              <w:rPr>
                <w:sz w:val="18"/>
              </w:rPr>
              <w:t>Plan d'indexation</w:t>
            </w:r>
          </w:p>
        </w:tc>
        <w:tc>
          <w:tcPr>
            <w:tcW w:type="dxa" w:w="1928"/>
          </w:tcPr>
          <w:p>
            <w:pPr>
              <w:spacing w:after="40"/>
            </w:pPr>
            <w:r/>
            <w:r>
              <w:rPr>
                <w:sz w:val="18"/>
              </w:rPr>
              <w:t>Le type référence le plan</w:t>
            </w:r>
          </w:p>
        </w:tc>
        <w:tc>
          <w:tcPr>
            <w:tcW w:type="dxa" w:w="5443"/>
          </w:tcPr>
          <w:p>
            <w:pPr>
              <w:spacing w:after="40"/>
            </w:pPr>
            <w:r/>
            <w:r>
              <w:rPr>
                <w:sz w:val="18"/>
              </w:rPr>
              <w:t>Un type sans plan produit un aperçu « sans plan » : aucune table de champs, aucun nom composé, et le document est déposé sans aucun index. Ce n'est pas une erreur, c'est l'une des trois issues prévues.</w:t>
            </w:r>
          </w:p>
        </w:tc>
      </w:tr>
      <w:tr>
        <w:tc>
          <w:tcPr>
            <w:tcW w:type="dxa" w:w="1701"/>
          </w:tcPr>
          <w:p>
            <w:pPr>
              <w:spacing w:after="40"/>
            </w:pPr>
            <w:r/>
            <w:r>
              <w:rPr>
                <w:sz w:val="18"/>
              </w:rPr>
              <w:t>Type de document</w:t>
            </w:r>
          </w:p>
        </w:tc>
        <w:tc>
          <w:tcPr>
            <w:tcW w:type="dxa" w:w="1928"/>
          </w:tcPr>
          <w:p>
            <w:pPr>
              <w:spacing w:after="40"/>
            </w:pPr>
            <w:r/>
            <w:r>
              <w:rPr>
                <w:sz w:val="18"/>
              </w:rPr>
              <w:t>Le document référence le type</w:t>
            </w:r>
          </w:p>
        </w:tc>
        <w:tc>
          <w:tcPr>
            <w:tcW w:type="dxa" w:w="5443"/>
          </w:tcPr>
          <w:p>
            <w:pPr>
              <w:spacing w:after="40"/>
            </w:pPr>
            <w:r/>
            <w:r>
              <w:rPr>
                <w:sz w:val="18"/>
              </w:rPr>
              <w:t>Un type en corbeille refuse l'aperçu comme le dépôt. Un document déjà déposé conserve son type et reste indexable tant que le plan est lisible.</w:t>
            </w:r>
          </w:p>
        </w:tc>
      </w:tr>
      <w:tr>
        <w:tc>
          <w:tcPr>
            <w:tcW w:type="dxa" w:w="1701"/>
          </w:tcPr>
          <w:p>
            <w:pPr>
              <w:spacing w:after="40"/>
            </w:pPr>
            <w:r/>
            <w:r>
              <w:rPr>
                <w:sz w:val="18"/>
              </w:rPr>
              <w:t>Document</w:t>
            </w:r>
          </w:p>
        </w:tc>
        <w:tc>
          <w:tcPr>
            <w:tcW w:type="dxa" w:w="1928"/>
          </w:tcPr>
          <w:p>
            <w:pPr>
              <w:spacing w:after="40"/>
            </w:pPr>
            <w:r/>
            <w:r>
              <w:rPr>
                <w:sz w:val="18"/>
              </w:rPr>
              <w:t>La valeur référence le document</w:t>
            </w:r>
          </w:p>
        </w:tc>
        <w:tc>
          <w:tcPr>
            <w:tcW w:type="dxa" w:w="5443"/>
          </w:tcPr>
          <w:p>
            <w:pPr>
              <w:spacing w:after="40"/>
            </w:pPr>
            <w:r/>
            <w:r>
              <w:rPr>
                <w:sz w:val="18"/>
              </w:rPr>
              <w:t>Un document en corbeille refuse l'écriture de ses index. Les valeurs déjà écrites ne sont pas effacées : c'est ce qui rend la restauration exacte.</w:t>
            </w:r>
          </w:p>
        </w:tc>
      </w:tr>
      <w:tr>
        <w:tc>
          <w:tcPr>
            <w:tcW w:type="dxa" w:w="1701"/>
          </w:tcPr>
          <w:p>
            <w:pPr>
              <w:spacing w:after="40"/>
            </w:pPr>
            <w:r/>
            <w:r>
              <w:rPr>
                <w:sz w:val="18"/>
              </w:rPr>
              <w:t>Charte de nommage</w:t>
            </w:r>
          </w:p>
        </w:tc>
        <w:tc>
          <w:tcPr>
            <w:tcW w:type="dxa" w:w="1928"/>
          </w:tcPr>
          <w:p>
            <w:pPr>
              <w:spacing w:after="40"/>
            </w:pPr>
            <w:r/>
            <w:r>
              <w:rPr>
                <w:sz w:val="18"/>
              </w:rPr>
              <w:t>Le plan porte la charte</w:t>
            </w:r>
          </w:p>
        </w:tc>
        <w:tc>
          <w:tcPr>
            <w:tcW w:type="dxa" w:w="5443"/>
          </w:tcPr>
          <w:p>
            <w:pPr>
              <w:spacing w:after="40"/>
            </w:pPr>
            <w:r/>
            <w:r>
              <w:rPr>
                <w:sz w:val="18"/>
              </w:rPr>
              <w:t>La charte est stockée sous forme de texte structuré dans une colonne du plan. Illisible, elle est traitée comme vide : la composition retombe alors sur les index du plan dans leur ordre. Un plan mal formé n'empêche jamais d'afficher la liste.</w:t>
            </w:r>
          </w:p>
        </w:tc>
      </w:tr>
      <w:tr>
        <w:tc>
          <w:tcPr>
            <w:tcW w:type="dxa" w:w="1701"/>
          </w:tcPr>
          <w:p>
            <w:pPr>
              <w:spacing w:after="40"/>
            </w:pPr>
            <w:r/>
            <w:r>
              <w:rPr>
                <w:sz w:val="18"/>
              </w:rPr>
              <w:t>Jeton système</w:t>
            </w:r>
          </w:p>
        </w:tc>
        <w:tc>
          <w:tcPr>
            <w:tcW w:type="dxa" w:w="1928"/>
          </w:tcPr>
          <w:p>
            <w:pPr>
              <w:spacing w:after="40"/>
            </w:pPr>
            <w:r/>
            <w:r>
              <w:rPr>
                <w:sz w:val="18"/>
              </w:rPr>
              <w:t>La charte peut porter des jetons</w:t>
            </w:r>
          </w:p>
        </w:tc>
        <w:tc>
          <w:tcPr>
            <w:tcW w:type="dxa" w:w="5443"/>
          </w:tcPr>
          <w:p>
            <w:pPr>
              <w:spacing w:after="40"/>
            </w:pPr>
            <w:r/>
            <w:r>
              <w:rPr>
                <w:sz w:val="18"/>
              </w:rPr>
              <w:t>Les jetons de date et d'heure ne correspondent à aucune table : ils sont résolus à l'instant de la composition. Ils ne peuvent donc pas disparaître, mais ils produisent une valeur différente à chaque appel.</w:t>
            </w:r>
          </w:p>
        </w:tc>
      </w:tr>
    </w:tbl>
    <w:p>
      <w:pPr>
        <w:spacing w:after="40"/>
      </w:pPr>
    </w:p>
    <w:p>
      <w:r>
        <w:br w:type="page"/>
      </w:r>
    </w:p>
    <w:p>
      <w:pPr>
        <w:pStyle w:val="Heading1"/>
        <w:spacing w:before="360" w:after="160"/>
      </w:pPr>
      <w:r>
        <w:t>4. Les opérations disponibles</w:t>
      </w:r>
    </w:p>
    <w:p>
      <w:r>
        <w:rPr>
          <w:i/>
          <w:color w:val="444444"/>
        </w:rPr>
        <w:t>Les opérations d'indexation sont regroupées sous la base /api/v1/indexation ; la lecture du contenu est exposée séparément sous /api/v1/ocr. Le dépôt lui-même relève de /api/v1/documents et figure au rapport 10.</w:t>
      </w:r>
    </w:p>
    <w:p>
      <w:pPr>
        <w:pStyle w:val="Heading2"/>
        <w:spacing w:before="280" w:after="120"/>
      </w:pPr>
      <w:r>
        <w:t>4.1 Les champs à renseigner</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2041"/>
          </w:tcPr>
          <w:p>
            <w:pPr>
              <w:spacing w:after="40"/>
            </w:pPr>
            <w:r/>
            <w:r>
              <w:rPr>
                <w:b/>
                <w:sz w:val="18"/>
              </w:rPr>
              <w:t>Opération</w:t>
            </w:r>
          </w:p>
        </w:tc>
        <w:tc>
          <w:tcPr>
            <w:tcW w:type="dxa" w:w="1701"/>
          </w:tcPr>
          <w:p>
            <w:pPr>
              <w:spacing w:after="40"/>
            </w:pPr>
            <w:r/>
            <w:r>
              <w:rPr>
                <w:b/>
                <w:sz w:val="18"/>
              </w:rPr>
              <w:t>Ce qu'elle fait</w:t>
            </w:r>
          </w:p>
        </w:tc>
        <w:tc>
          <w:tcPr>
            <w:tcW w:type="dxa" w:w="1474"/>
          </w:tcPr>
          <w:p>
            <w:pPr>
              <w:spacing w:after="40"/>
            </w:pPr>
            <w:r/>
            <w:r>
              <w:rPr>
                <w:b/>
                <w:sz w:val="18"/>
              </w:rPr>
              <w:t>Entrée exigée</w:t>
            </w:r>
          </w:p>
        </w:tc>
        <w:tc>
          <w:tcPr>
            <w:tcW w:type="dxa" w:w="3061"/>
          </w:tcPr>
          <w:p>
            <w:pPr>
              <w:spacing w:after="40"/>
            </w:pPr>
            <w:r/>
            <w:r>
              <w:rPr>
                <w:b/>
                <w:sz w:val="18"/>
              </w:rPr>
              <w:t>Ce qu'elle renvoie</w:t>
            </w:r>
          </w:p>
        </w:tc>
        <w:tc>
          <w:tcPr>
            <w:tcW w:type="dxa" w:w="1361"/>
          </w:tcPr>
          <w:p>
            <w:pPr>
              <w:spacing w:after="40"/>
            </w:pPr>
            <w:r/>
            <w:r>
              <w:rPr>
                <w:b/>
                <w:sz w:val="18"/>
              </w:rPr>
              <w:t>Ce qu'elle refuse</w:t>
            </w:r>
          </w:p>
        </w:tc>
      </w:tr>
      <w:tr>
        <w:tc>
          <w:tcPr>
            <w:tcW w:type="dxa" w:w="2041"/>
          </w:tcPr>
          <w:p>
            <w:pPr>
              <w:spacing w:after="40"/>
            </w:pPr>
            <w:r/>
            <w:r>
              <w:rPr>
                <w:sz w:val="18"/>
              </w:rPr>
              <w:t>GET /documents/{id}/champs</w:t>
            </w:r>
          </w:p>
        </w:tc>
        <w:tc>
          <w:tcPr>
            <w:tcW w:type="dxa" w:w="1701"/>
          </w:tcPr>
          <w:p>
            <w:pPr>
              <w:spacing w:after="40"/>
            </w:pPr>
            <w:r/>
            <w:r>
              <w:rPr>
                <w:sz w:val="18"/>
              </w:rPr>
              <w:t>Liste les champs attendus pour ce document</w:t>
            </w:r>
          </w:p>
        </w:tc>
        <w:tc>
          <w:tcPr>
            <w:tcW w:type="dxa" w:w="1474"/>
          </w:tcPr>
          <w:p>
            <w:pPr>
              <w:spacing w:after="40"/>
            </w:pPr>
            <w:r/>
            <w:r>
              <w:rPr>
                <w:sz w:val="18"/>
              </w:rPr>
              <w:t>Identifiant du document</w:t>
            </w:r>
          </w:p>
        </w:tc>
        <w:tc>
          <w:tcPr>
            <w:tcW w:type="dxa" w:w="3061"/>
          </w:tcPr>
          <w:p>
            <w:pPr>
              <w:spacing w:after="40"/>
            </w:pPr>
            <w:r/>
            <w:r>
              <w:rPr>
                <w:sz w:val="18"/>
              </w:rPr>
              <w:t>Un descripteur par index du plan : identifiant, code, libellé, type, options de liste, indicateur de groupage. Liste vide si le type n'a pas de plan.</w:t>
            </w:r>
          </w:p>
        </w:tc>
        <w:tc>
          <w:tcPr>
            <w:tcW w:type="dxa" w:w="1361"/>
          </w:tcPr>
          <w:p>
            <w:pPr>
              <w:spacing w:after="40"/>
            </w:pPr>
            <w:r/>
            <w:r>
              <w:rPr>
                <w:sz w:val="18"/>
              </w:rPr>
              <w:t>Un document inconnu (404)</w:t>
            </w:r>
          </w:p>
        </w:tc>
      </w:tr>
      <w:tr>
        <w:tc>
          <w:tcPr>
            <w:tcW w:type="dxa" w:w="2041"/>
          </w:tcPr>
          <w:p>
            <w:pPr>
              <w:spacing w:after="40"/>
            </w:pPr>
            <w:r/>
            <w:r>
              <w:rPr>
                <w:sz w:val="18"/>
              </w:rPr>
              <w:t>GET /criteres</w:t>
            </w:r>
          </w:p>
        </w:tc>
        <w:tc>
          <w:tcPr>
            <w:tcW w:type="dxa" w:w="1701"/>
          </w:tcPr>
          <w:p>
            <w:pPr>
              <w:spacing w:after="40"/>
            </w:pPr>
            <w:r/>
            <w:r>
              <w:rPr>
                <w:sz w:val="18"/>
              </w:rPr>
              <w:t>Liste les critères de recherche disponibles</w:t>
            </w:r>
          </w:p>
        </w:tc>
        <w:tc>
          <w:tcPr>
            <w:tcW w:type="dxa" w:w="1474"/>
          </w:tcPr>
          <w:p>
            <w:pPr>
              <w:spacing w:after="40"/>
            </w:pPr>
            <w:r/>
            <w:r>
              <w:rPr>
                <w:sz w:val="18"/>
              </w:rPr>
              <w:t>Aucune</w:t>
            </w:r>
          </w:p>
        </w:tc>
        <w:tc>
          <w:tcPr>
            <w:tcW w:type="dxa" w:w="3061"/>
          </w:tcPr>
          <w:p>
            <w:pPr>
              <w:spacing w:after="40"/>
            </w:pPr>
            <w:r/>
            <w:r>
              <w:rPr>
                <w:sz w:val="18"/>
              </w:rPr>
              <w:t>Les index vivants cochés « indexé pour recherche », dans le même format</w:t>
            </w:r>
          </w:p>
        </w:tc>
        <w:tc>
          <w:tcPr>
            <w:tcW w:type="dxa" w:w="1361"/>
          </w:tcPr>
          <w:p>
            <w:pPr>
              <w:spacing w:after="40"/>
            </w:pPr>
            <w:r/>
            <w:r>
              <w:rPr>
                <w:sz w:val="18"/>
              </w:rPr>
              <w:t>Rien</w:t>
            </w:r>
          </w:p>
        </w:tc>
      </w:tr>
      <w:tr>
        <w:tc>
          <w:tcPr>
            <w:tcW w:type="dxa" w:w="2041"/>
          </w:tcPr>
          <w:p>
            <w:pPr>
              <w:spacing w:after="40"/>
            </w:pPr>
            <w:r/>
            <w:r>
              <w:rPr>
                <w:sz w:val="18"/>
              </w:rPr>
              <w:t>GET /groupages</w:t>
            </w:r>
          </w:p>
        </w:tc>
        <w:tc>
          <w:tcPr>
            <w:tcW w:type="dxa" w:w="1701"/>
          </w:tcPr>
          <w:p>
            <w:pPr>
              <w:spacing w:after="40"/>
            </w:pPr>
            <w:r/>
            <w:r>
              <w:rPr>
                <w:sz w:val="18"/>
              </w:rPr>
              <w:t>Liste les index utilisables pour regrouper</w:t>
            </w:r>
          </w:p>
        </w:tc>
        <w:tc>
          <w:tcPr>
            <w:tcW w:type="dxa" w:w="1474"/>
          </w:tcPr>
          <w:p>
            <w:pPr>
              <w:spacing w:after="40"/>
            </w:pPr>
            <w:r/>
            <w:r>
              <w:rPr>
                <w:sz w:val="18"/>
              </w:rPr>
              <w:t>Aucune</w:t>
            </w:r>
          </w:p>
        </w:tc>
        <w:tc>
          <w:tcPr>
            <w:tcW w:type="dxa" w:w="3061"/>
          </w:tcPr>
          <w:p>
            <w:pPr>
              <w:spacing w:after="40"/>
            </w:pPr>
            <w:r/>
            <w:r>
              <w:rPr>
                <w:sz w:val="18"/>
              </w:rPr>
              <w:t>Les index vivants cochés « index de groupage »</w:t>
            </w:r>
          </w:p>
        </w:tc>
        <w:tc>
          <w:tcPr>
            <w:tcW w:type="dxa" w:w="1361"/>
          </w:tcPr>
          <w:p>
            <w:pPr>
              <w:spacing w:after="40"/>
            </w:pPr>
            <w:r/>
            <w:r>
              <w:rPr>
                <w:sz w:val="18"/>
              </w:rPr>
              <w:t>Rien</w:t>
            </w:r>
          </w:p>
        </w:tc>
      </w:tr>
      <w:tr>
        <w:tc>
          <w:tcPr>
            <w:tcW w:type="dxa" w:w="2041"/>
          </w:tcPr>
          <w:p>
            <w:pPr>
              <w:spacing w:after="40"/>
            </w:pPr>
            <w:r/>
            <w:r>
              <w:rPr>
                <w:sz w:val="18"/>
              </w:rPr>
              <w:t>GET /documents/{id}</w:t>
            </w:r>
          </w:p>
        </w:tc>
        <w:tc>
          <w:tcPr>
            <w:tcW w:type="dxa" w:w="1701"/>
          </w:tcPr>
          <w:p>
            <w:pPr>
              <w:spacing w:after="40"/>
            </w:pPr>
            <w:r/>
            <w:r>
              <w:rPr>
                <w:sz w:val="18"/>
              </w:rPr>
              <w:t>Valeurs actuellement portées par un document</w:t>
            </w:r>
          </w:p>
        </w:tc>
        <w:tc>
          <w:tcPr>
            <w:tcW w:type="dxa" w:w="1474"/>
          </w:tcPr>
          <w:p>
            <w:pPr>
              <w:spacing w:after="40"/>
            </w:pPr>
            <w:r/>
            <w:r>
              <w:rPr>
                <w:sz w:val="18"/>
              </w:rPr>
              <w:t>Identifiant du document</w:t>
            </w:r>
          </w:p>
        </w:tc>
        <w:tc>
          <w:tcPr>
            <w:tcW w:type="dxa" w:w="3061"/>
          </w:tcPr>
          <w:p>
            <w:pPr>
              <w:spacing w:after="40"/>
            </w:pPr>
            <w:r/>
            <w:r>
              <w:rPr>
                <w:sz w:val="18"/>
              </w:rPr>
              <w:t>Une ligne par valeur : identifiant d'index, code, libellé, valeur</w:t>
            </w:r>
          </w:p>
        </w:tc>
        <w:tc>
          <w:tcPr>
            <w:tcW w:type="dxa" w:w="1361"/>
          </w:tcPr>
          <w:p>
            <w:pPr>
              <w:spacing w:after="40"/>
            </w:pPr>
            <w:r/>
            <w:r>
              <w:rPr>
                <w:sz w:val="18"/>
              </w:rPr>
              <w:t>Un document inconnu (404)</w:t>
            </w:r>
          </w:p>
        </w:tc>
      </w:tr>
    </w:tbl>
    <w:p>
      <w:pPr>
        <w:spacing w:after="40"/>
      </w:pPr>
    </w:p>
    <w:p>
      <w:r>
        <w:rPr>
          <w:i w:val="0"/>
        </w:rPr>
        <w:t>Le fait que les critères de recherche soient dérivés des index, et non codés en dur, est le mécanisme central de ce module : ajouter un index coché « indexé pour recherche » suffit à faire apparaître un nouveau critère dans l'écran de recherche, sans aucune intervention.</w:t>
      </w:r>
    </w:p>
    <w:p>
      <w:pPr>
        <w:pStyle w:val="Heading2"/>
        <w:spacing w:before="280" w:after="120"/>
      </w:pPr>
      <w:r>
        <w:t>4.2 L'analyse et l'aperçu</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pPr>
              <w:spacing w:after="40"/>
            </w:pPr>
            <w:r/>
            <w:r>
              <w:rPr>
                <w:b/>
                <w:sz w:val="18"/>
              </w:rPr>
              <w:t>Opération</w:t>
            </w:r>
          </w:p>
        </w:tc>
        <w:tc>
          <w:tcPr>
            <w:tcW w:type="dxa" w:w="1701"/>
          </w:tcPr>
          <w:p>
            <w:pPr>
              <w:spacing w:after="40"/>
            </w:pPr>
            <w:r/>
            <w:r>
              <w:rPr>
                <w:b/>
                <w:sz w:val="18"/>
              </w:rPr>
              <w:t>Ce qu'elle fait</w:t>
            </w:r>
          </w:p>
        </w:tc>
        <w:tc>
          <w:tcPr>
            <w:tcW w:type="dxa" w:w="2041"/>
          </w:tcPr>
          <w:p>
            <w:pPr>
              <w:spacing w:after="40"/>
            </w:pPr>
            <w:r/>
            <w:r>
              <w:rPr>
                <w:b/>
                <w:sz w:val="18"/>
              </w:rPr>
              <w:t>Entrée exigée</w:t>
            </w:r>
          </w:p>
        </w:tc>
        <w:tc>
          <w:tcPr>
            <w:tcW w:type="dxa" w:w="2494"/>
          </w:tcPr>
          <w:p>
            <w:pPr>
              <w:spacing w:after="40"/>
            </w:pPr>
            <w:r/>
            <w:r>
              <w:rPr>
                <w:b/>
                <w:sz w:val="18"/>
              </w:rPr>
              <w:t>Ce qu'elle renvoie</w:t>
            </w:r>
          </w:p>
        </w:tc>
        <w:tc>
          <w:tcPr>
            <w:tcW w:type="dxa" w:w="1474"/>
          </w:tcPr>
          <w:p>
            <w:pPr>
              <w:spacing w:after="40"/>
            </w:pPr>
            <w:r/>
            <w:r>
              <w:rPr>
                <w:b/>
                <w:sz w:val="18"/>
              </w:rPr>
              <w:t>Ce qu'elle refuse</w:t>
            </w:r>
          </w:p>
        </w:tc>
      </w:tr>
      <w:tr>
        <w:tc>
          <w:tcPr>
            <w:tcW w:type="dxa" w:w="1928"/>
          </w:tcPr>
          <w:p>
            <w:pPr>
              <w:spacing w:after="40"/>
            </w:pPr>
            <w:r/>
            <w:r>
              <w:rPr>
                <w:sz w:val="18"/>
              </w:rPr>
              <w:t>POST /apercu</w:t>
            </w:r>
          </w:p>
        </w:tc>
        <w:tc>
          <w:tcPr>
            <w:tcW w:type="dxa" w:w="1701"/>
          </w:tcPr>
          <w:p>
            <w:pPr>
              <w:spacing w:after="40"/>
            </w:pPr>
            <w:r/>
            <w:r>
              <w:rPr>
                <w:sz w:val="18"/>
              </w:rPr>
              <w:t>Déduit les valeurs d'un fichier **avant** tout dépôt. Aucune écriture.</w:t>
            </w:r>
          </w:p>
        </w:tc>
        <w:tc>
          <w:tcPr>
            <w:tcW w:type="dxa" w:w="2041"/>
          </w:tcPr>
          <w:p>
            <w:pPr>
              <w:spacing w:after="40"/>
            </w:pPr>
            <w:r/>
            <w:r>
              <w:rPr>
                <w:sz w:val="18"/>
              </w:rPr>
              <w:t>Formulaire multipart : identifiant de type obligatoire ; fichier et nom de fichier facultatifs, l'un des deux étant nécessaire pour déduire quoi que ce soit</w:t>
            </w:r>
          </w:p>
        </w:tc>
        <w:tc>
          <w:tcPr>
            <w:tcW w:type="dxa" w:w="2494"/>
          </w:tcPr>
          <w:p>
            <w:pPr>
              <w:spacing w:after="40"/>
            </w:pPr>
            <w:r/>
            <w:r>
              <w:rPr>
                <w:sz w:val="18"/>
              </w:rPr>
              <w:t>Nom du plan, séparateur, une proposition par index, nombre de champs reconnus sur attendus, nom qui serait composé, avertissement de lecture, provenance du texte</w:t>
            </w:r>
          </w:p>
        </w:tc>
        <w:tc>
          <w:tcPr>
            <w:tcW w:type="dxa" w:w="1474"/>
          </w:tcPr>
          <w:p>
            <w:pPr>
              <w:spacing w:after="40"/>
            </w:pPr>
            <w:r/>
            <w:r>
              <w:rPr>
                <w:sz w:val="18"/>
              </w:rPr>
              <w:t>Type inconnu (404), type en corbeille, format non autorisé, fichier trop volumineux</w:t>
            </w:r>
          </w:p>
        </w:tc>
      </w:tr>
      <w:tr>
        <w:tc>
          <w:tcPr>
            <w:tcW w:type="dxa" w:w="1928"/>
          </w:tcPr>
          <w:p>
            <w:pPr>
              <w:spacing w:after="40"/>
            </w:pPr>
            <w:r/>
            <w:r>
              <w:rPr>
                <w:sz w:val="18"/>
              </w:rPr>
              <w:t>GET /documents/{id}/analyse</w:t>
            </w:r>
          </w:p>
        </w:tc>
        <w:tc>
          <w:tcPr>
            <w:tcW w:type="dxa" w:w="1701"/>
          </w:tcPr>
          <w:p>
            <w:pPr>
              <w:spacing w:after="40"/>
            </w:pPr>
            <w:r/>
            <w:r>
              <w:rPr>
                <w:sz w:val="18"/>
              </w:rPr>
              <w:t>Même déduction sur un document déjà déposé</w:t>
            </w:r>
          </w:p>
        </w:tc>
        <w:tc>
          <w:tcPr>
            <w:tcW w:type="dxa" w:w="2041"/>
          </w:tcPr>
          <w:p>
            <w:pPr>
              <w:spacing w:after="40"/>
            </w:pPr>
            <w:r/>
            <w:r>
              <w:rPr>
                <w:sz w:val="18"/>
              </w:rPr>
              <w:t>Identifiant du document</w:t>
            </w:r>
          </w:p>
        </w:tc>
        <w:tc>
          <w:tcPr>
            <w:tcW w:type="dxa" w:w="2494"/>
          </w:tcPr>
          <w:p>
            <w:pPr>
              <w:spacing w:after="40"/>
            </w:pPr>
            <w:r/>
            <w:r>
              <w:rPr>
                <w:sz w:val="18"/>
              </w:rPr>
              <w:t>Tout ce qui précède, plus les segments du nom de fichier, les valeurs déjà enregistrées, la référence proposée, le mode du plan et le détail de lecture</w:t>
            </w:r>
          </w:p>
        </w:tc>
        <w:tc>
          <w:tcPr>
            <w:tcW w:type="dxa" w:w="1474"/>
          </w:tcPr>
          <w:p>
            <w:pPr>
              <w:spacing w:after="40"/>
            </w:pPr>
            <w:r/>
            <w:r>
              <w:rPr>
                <w:sz w:val="18"/>
              </w:rPr>
              <w:t>Document inconnu (404). Un type sans plan rend une réponse vide accompagnée de son motif, non une erreur.</w:t>
            </w:r>
          </w:p>
        </w:tc>
      </w:tr>
    </w:tbl>
    <w:p>
      <w:pPr>
        <w:spacing w:after="40"/>
      </w:pPr>
    </w:p>
    <w:p>
      <w:r>
        <w:rPr>
          <w:i w:val="0"/>
        </w:rPr>
        <w:t>Les deux opérations appliquent les mêmes contraintes de dépôt que le dépôt lui-même. Ce n'a pas toujours été le cas : l'aperçu acceptait n'importe quel fichier, de n'importe quelle taille. Un exécutable de cinquante mégaoctets y passait sans encombre alors que le dépôt qu'il précède l'aurait refusé — et comme l'écran appelle l'aperçu à chaque sélection de fichier, le serveur acceptait de recopier puis de tenter de lire, en boucle, des contenus qu'il n'accepterait jamais.</w:t>
      </w:r>
    </w:p>
    <w:p>
      <w:pPr>
        <w:pStyle w:val="Heading2"/>
        <w:spacing w:before="280" w:after="120"/>
      </w:pPr>
      <w:r>
        <w:t>4.3 L'écriture des valeurs</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701"/>
          </w:tcPr>
          <w:p>
            <w:pPr>
              <w:spacing w:after="40"/>
            </w:pPr>
            <w:r/>
            <w:r>
              <w:rPr>
                <w:b/>
                <w:sz w:val="18"/>
              </w:rPr>
              <w:t>Opération</w:t>
            </w:r>
          </w:p>
        </w:tc>
        <w:tc>
          <w:tcPr>
            <w:tcW w:type="dxa" w:w="1928"/>
          </w:tcPr>
          <w:p>
            <w:pPr>
              <w:spacing w:after="40"/>
            </w:pPr>
            <w:r/>
            <w:r>
              <w:rPr>
                <w:b/>
                <w:sz w:val="18"/>
              </w:rPr>
              <w:t>Ce qu'elle fait</w:t>
            </w:r>
          </w:p>
        </w:tc>
        <w:tc>
          <w:tcPr>
            <w:tcW w:type="dxa" w:w="2268"/>
          </w:tcPr>
          <w:p>
            <w:pPr>
              <w:spacing w:after="40"/>
            </w:pPr>
            <w:r/>
            <w:r>
              <w:rPr>
                <w:b/>
                <w:sz w:val="18"/>
              </w:rPr>
              <w:t>Entrée exigée</w:t>
            </w:r>
          </w:p>
        </w:tc>
        <w:tc>
          <w:tcPr>
            <w:tcW w:type="dxa" w:w="1587"/>
          </w:tcPr>
          <w:p>
            <w:pPr>
              <w:spacing w:after="40"/>
            </w:pPr>
            <w:r/>
            <w:r>
              <w:rPr>
                <w:b/>
                <w:sz w:val="18"/>
              </w:rPr>
              <w:t>Ce qu'elle renvoie</w:t>
            </w:r>
          </w:p>
        </w:tc>
        <w:tc>
          <w:tcPr>
            <w:tcW w:type="dxa" w:w="2154"/>
          </w:tcPr>
          <w:p>
            <w:pPr>
              <w:spacing w:after="40"/>
            </w:pPr>
            <w:r/>
            <w:r>
              <w:rPr>
                <w:b/>
                <w:sz w:val="18"/>
              </w:rPr>
              <w:t>Ce qu'elle refuse</w:t>
            </w:r>
          </w:p>
        </w:tc>
      </w:tr>
      <w:tr>
        <w:tc>
          <w:tcPr>
            <w:tcW w:type="dxa" w:w="1701"/>
          </w:tcPr>
          <w:p>
            <w:pPr>
              <w:spacing w:after="40"/>
            </w:pPr>
            <w:r/>
            <w:r>
              <w:rPr>
                <w:sz w:val="18"/>
              </w:rPr>
              <w:t>PUT /documents/{id}</w:t>
            </w:r>
          </w:p>
        </w:tc>
        <w:tc>
          <w:tcPr>
            <w:tcW w:type="dxa" w:w="1928"/>
          </w:tcPr>
          <w:p>
            <w:pPr>
              <w:spacing w:after="40"/>
            </w:pPr>
            <w:r/>
            <w:r>
              <w:rPr>
                <w:sz w:val="18"/>
              </w:rPr>
              <w:t>Crée, met à jour ou efface les valeurs d'index d'un document, puis recompose la référence et le nom</w:t>
            </w:r>
          </w:p>
        </w:tc>
        <w:tc>
          <w:tcPr>
            <w:tcW w:type="dxa" w:w="2268"/>
          </w:tcPr>
          <w:p>
            <w:pPr>
              <w:spacing w:after="40"/>
            </w:pPr>
            <w:r/>
            <w:r>
              <w:rPr>
                <w:sz w:val="18"/>
              </w:rPr>
              <w:t>Corps portant une liste de couples index / valeur. La liste elle-même est obligatoire ; chaque ligne doit porter un identifiant d'index. La valeur peut être vide ou absente.</w:t>
            </w:r>
          </w:p>
        </w:tc>
        <w:tc>
          <w:tcPr>
            <w:tcW w:type="dxa" w:w="1587"/>
          </w:tcPr>
          <w:p>
            <w:pPr>
              <w:spacing w:after="40"/>
            </w:pPr>
            <w:r/>
            <w:r>
              <w:rPr>
                <w:sz w:val="18"/>
              </w:rPr>
              <w:t>L'état complet des valeurs du document après écriture</w:t>
            </w:r>
          </w:p>
        </w:tc>
        <w:tc>
          <w:tcPr>
            <w:tcW w:type="dxa" w:w="2154"/>
          </w:tcPr>
          <w:p>
            <w:pPr>
              <w:spacing w:after="40"/>
            </w:pPr>
            <w:r/>
            <w:r>
              <w:rPr>
                <w:sz w:val="18"/>
              </w:rPr>
              <w:t>Document inconnu (404), document en corbeille, document verrouillé, index étranger au plan, valeur incompatible avec le type de l'index, index obligatoire non renseigné, nom composé de plus de 255 caractères</w:t>
            </w:r>
          </w:p>
        </w:tc>
      </w:tr>
    </w:tbl>
    <w:p>
      <w:pPr>
        <w:spacing w:after="40"/>
      </w:pPr>
    </w:p>
    <w:p>
      <w:pPr>
        <w:pStyle w:val="Heading2"/>
        <w:spacing w:before="280" w:after="120"/>
      </w:pPr>
      <w:r>
        <w:t>4.4 La recherche par index</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474"/>
          </w:tcPr>
          <w:p>
            <w:pPr>
              <w:spacing w:after="40"/>
            </w:pPr>
            <w:r/>
            <w:r>
              <w:rPr>
                <w:b/>
                <w:sz w:val="18"/>
              </w:rPr>
              <w:t>Opération</w:t>
            </w:r>
          </w:p>
        </w:tc>
        <w:tc>
          <w:tcPr>
            <w:tcW w:type="dxa" w:w="2268"/>
          </w:tcPr>
          <w:p>
            <w:pPr>
              <w:spacing w:after="40"/>
            </w:pPr>
            <w:r/>
            <w:r>
              <w:rPr>
                <w:b/>
                <w:sz w:val="18"/>
              </w:rPr>
              <w:t>Ce qu'elle fait</w:t>
            </w:r>
          </w:p>
        </w:tc>
        <w:tc>
          <w:tcPr>
            <w:tcW w:type="dxa" w:w="1928"/>
          </w:tcPr>
          <w:p>
            <w:pPr>
              <w:spacing w:after="40"/>
            </w:pPr>
            <w:r/>
            <w:r>
              <w:rPr>
                <w:b/>
                <w:sz w:val="18"/>
              </w:rPr>
              <w:t>Entrée exigée</w:t>
            </w:r>
          </w:p>
        </w:tc>
        <w:tc>
          <w:tcPr>
            <w:tcW w:type="dxa" w:w="2608"/>
          </w:tcPr>
          <w:p>
            <w:pPr>
              <w:spacing w:after="40"/>
            </w:pPr>
            <w:r/>
            <w:r>
              <w:rPr>
                <w:b/>
                <w:sz w:val="18"/>
              </w:rPr>
              <w:t>Ce qu'elle renvoie</w:t>
            </w:r>
          </w:p>
        </w:tc>
        <w:tc>
          <w:tcPr>
            <w:tcW w:type="dxa" w:w="1361"/>
          </w:tcPr>
          <w:p>
            <w:pPr>
              <w:spacing w:after="40"/>
            </w:pPr>
            <w:r/>
            <w:r>
              <w:rPr>
                <w:b/>
                <w:sz w:val="18"/>
              </w:rPr>
              <w:t>Ce qu'elle refuse</w:t>
            </w:r>
          </w:p>
        </w:tc>
      </w:tr>
      <w:tr>
        <w:tc>
          <w:tcPr>
            <w:tcW w:type="dxa" w:w="1474"/>
          </w:tcPr>
          <w:p>
            <w:pPr>
              <w:spacing w:after="40"/>
            </w:pPr>
            <w:r/>
            <w:r>
              <w:rPr>
                <w:sz w:val="18"/>
              </w:rPr>
              <w:t>POST /recherche</w:t>
            </w:r>
          </w:p>
        </w:tc>
        <w:tc>
          <w:tcPr>
            <w:tcW w:type="dxa" w:w="2268"/>
          </w:tcPr>
          <w:p>
            <w:pPr>
              <w:spacing w:after="40"/>
            </w:pPr>
            <w:r/>
            <w:r>
              <w:rPr>
                <w:sz w:val="18"/>
              </w:rPr>
              <w:t>Sélectionne les documents vivants qui satisfont **tous** les filtres renseignés, puis les regroupe</w:t>
            </w:r>
          </w:p>
        </w:tc>
        <w:tc>
          <w:tcPr>
            <w:tcW w:type="dxa" w:w="1928"/>
          </w:tcPr>
          <w:p>
            <w:pPr>
              <w:spacing w:after="40"/>
            </w:pPr>
            <w:r/>
            <w:r>
              <w:rPr>
                <w:sz w:val="18"/>
              </w:rPr>
              <w:t>Corps facultatif : espace, type, liste de filtres par index, index de regroupement</w:t>
            </w:r>
          </w:p>
        </w:tc>
        <w:tc>
          <w:tcPr>
            <w:tcW w:type="dxa" w:w="2608"/>
          </w:tcPr>
          <w:p>
            <w:pPr>
              <w:spacing w:after="40"/>
            </w:pPr>
            <w:r/>
            <w:r>
              <w:rPr>
                <w:sz w:val="18"/>
              </w:rPr>
              <w:t>Une liste de groupes, chacun portant son libellé, son total et ses documents avec leurs valeurs. Un seul groupe « Tous » si aucun regroupement n'est demandé.</w:t>
            </w:r>
          </w:p>
        </w:tc>
        <w:tc>
          <w:tcPr>
            <w:tcW w:type="dxa" w:w="1361"/>
          </w:tcPr>
          <w:p>
            <w:pPr>
              <w:spacing w:after="40"/>
            </w:pPr>
            <w:r/>
            <w:r>
              <w:rPr>
                <w:sz w:val="18"/>
              </w:rPr>
              <w:t>Rien : un filtre vide est ignoré, un index de regroupement inconnu est traité comme absent</w:t>
            </w:r>
          </w:p>
        </w:tc>
      </w:tr>
    </w:tbl>
    <w:p>
      <w:pPr>
        <w:spacing w:after="40"/>
      </w:pPr>
    </w:p>
    <w:p>
      <w:r>
        <w:rPr>
          <w:i w:val="0"/>
        </w:rPr>
        <w:t>Le comportement de chaque type de filtre est le suivant :</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1474"/>
          </w:tcPr>
          <w:p>
            <w:pPr>
              <w:spacing w:after="40"/>
            </w:pPr>
            <w:r/>
            <w:r>
              <w:rPr>
                <w:b/>
                <w:sz w:val="18"/>
              </w:rPr>
              <w:t>Type d'index</w:t>
            </w:r>
          </w:p>
        </w:tc>
        <w:tc>
          <w:tcPr>
            <w:tcW w:type="dxa" w:w="1928"/>
          </w:tcPr>
          <w:p>
            <w:pPr>
              <w:spacing w:after="40"/>
            </w:pPr>
            <w:r/>
            <w:r>
              <w:rPr>
                <w:b/>
                <w:sz w:val="18"/>
              </w:rPr>
              <w:t>Champ utilisé</w:t>
            </w:r>
          </w:p>
        </w:tc>
        <w:tc>
          <w:tcPr>
            <w:tcW w:type="dxa" w:w="6236"/>
          </w:tcPr>
          <w:p>
            <w:pPr>
              <w:spacing w:after="40"/>
            </w:pPr>
            <w:r/>
            <w:r>
              <w:rPr>
                <w:b/>
                <w:sz w:val="18"/>
              </w:rPr>
              <w:t>Comparaison</w:t>
            </w:r>
          </w:p>
        </w:tc>
      </w:tr>
      <w:tr>
        <w:tc>
          <w:tcPr>
            <w:tcW w:type="dxa" w:w="1474"/>
          </w:tcPr>
          <w:p>
            <w:pPr>
              <w:spacing w:after="40"/>
            </w:pPr>
            <w:r/>
            <w:r>
              <w:rPr>
                <w:sz w:val="18"/>
              </w:rPr>
              <w:t>TEXTE</w:t>
            </w:r>
          </w:p>
        </w:tc>
        <w:tc>
          <w:tcPr>
            <w:tcW w:type="dxa" w:w="1928"/>
          </w:tcPr>
          <w:p>
            <w:pPr>
              <w:spacing w:after="40"/>
            </w:pPr>
            <w:r/>
            <w:r>
              <w:rPr>
                <w:sz w:val="18"/>
              </w:rPr>
              <w:t>valeur</w:t>
            </w:r>
          </w:p>
        </w:tc>
        <w:tc>
          <w:tcPr>
            <w:tcW w:type="dxa" w:w="6236"/>
          </w:tcPr>
          <w:p>
            <w:pPr>
              <w:spacing w:after="40"/>
            </w:pPr>
            <w:r/>
            <w:r>
              <w:rPr>
                <w:sz w:val="18"/>
              </w:rPr>
              <w:t>Sous-chaîne, sans distinction de casse</w:t>
            </w:r>
          </w:p>
        </w:tc>
      </w:tr>
      <w:tr>
        <w:tc>
          <w:tcPr>
            <w:tcW w:type="dxa" w:w="1474"/>
          </w:tcPr>
          <w:p>
            <w:pPr>
              <w:spacing w:after="40"/>
            </w:pPr>
            <w:r/>
            <w:r>
              <w:rPr>
                <w:sz w:val="18"/>
              </w:rPr>
              <w:t>LISTE</w:t>
            </w:r>
          </w:p>
        </w:tc>
        <w:tc>
          <w:tcPr>
            <w:tcW w:type="dxa" w:w="1928"/>
          </w:tcPr>
          <w:p>
            <w:pPr>
              <w:spacing w:after="40"/>
            </w:pPr>
            <w:r/>
            <w:r>
              <w:rPr>
                <w:sz w:val="18"/>
              </w:rPr>
              <w:t>valeur</w:t>
            </w:r>
          </w:p>
        </w:tc>
        <w:tc>
          <w:tcPr>
            <w:tcW w:type="dxa" w:w="6236"/>
          </w:tcPr>
          <w:p>
            <w:pPr>
              <w:spacing w:after="40"/>
            </w:pPr>
            <w:r/>
            <w:r>
              <w:rPr>
                <w:sz w:val="18"/>
              </w:rPr>
              <w:t>Égalité stricte, sans distinction de casse</w:t>
            </w:r>
          </w:p>
        </w:tc>
      </w:tr>
      <w:tr>
        <w:tc>
          <w:tcPr>
            <w:tcW w:type="dxa" w:w="1474"/>
          </w:tcPr>
          <w:p>
            <w:pPr>
              <w:spacing w:after="40"/>
            </w:pPr>
            <w:r/>
            <w:r>
              <w:rPr>
                <w:sz w:val="18"/>
              </w:rPr>
              <w:t>DATE</w:t>
            </w:r>
          </w:p>
        </w:tc>
        <w:tc>
          <w:tcPr>
            <w:tcW w:type="dxa" w:w="1928"/>
          </w:tcPr>
          <w:p>
            <w:pPr>
              <w:spacing w:after="40"/>
            </w:pPr>
            <w:r/>
            <w:r>
              <w:rPr>
                <w:sz w:val="18"/>
              </w:rPr>
              <w:t>de et / ou à</w:t>
            </w:r>
          </w:p>
        </w:tc>
        <w:tc>
          <w:tcPr>
            <w:tcW w:type="dxa" w:w="6236"/>
          </w:tcPr>
          <w:p>
            <w:pPr>
              <w:spacing w:after="40"/>
            </w:pPr>
            <w:r/>
            <w:r>
              <w:rPr>
                <w:sz w:val="18"/>
              </w:rPr>
              <w:t>Bornes incluses, par comparaison de chaînes — l'écriture année-mois-jour rend l'ordre alphabétique équivalent à l'ordre chronologique</w:t>
            </w:r>
          </w:p>
        </w:tc>
      </w:tr>
      <w:tr>
        <w:tc>
          <w:tcPr>
            <w:tcW w:type="dxa" w:w="1474"/>
          </w:tcPr>
          <w:p>
            <w:pPr>
              <w:spacing w:after="40"/>
            </w:pPr>
            <w:r/>
            <w:r>
              <w:rPr>
                <w:sz w:val="18"/>
              </w:rPr>
              <w:t>NOMBRE</w:t>
            </w:r>
          </w:p>
        </w:tc>
        <w:tc>
          <w:tcPr>
            <w:tcW w:type="dxa" w:w="1928"/>
          </w:tcPr>
          <w:p>
            <w:pPr>
              <w:spacing w:after="40"/>
            </w:pPr>
            <w:r/>
            <w:r>
              <w:rPr>
                <w:sz w:val="18"/>
              </w:rPr>
              <w:t>de et / ou à</w:t>
            </w:r>
          </w:p>
        </w:tc>
        <w:tc>
          <w:tcPr>
            <w:tcW w:type="dxa" w:w="6236"/>
          </w:tcPr>
          <w:p>
            <w:pPr>
              <w:spacing w:after="40"/>
            </w:pPr>
            <w:r/>
            <w:r>
              <w:rPr>
                <w:sz w:val="18"/>
              </w:rPr>
              <w:t>Bornes incluses, après conversion ; la virgule est acceptée comme séparateur décimal</w:t>
            </w:r>
          </w:p>
        </w:tc>
      </w:tr>
    </w:tbl>
    <w:p>
      <w:pPr>
        <w:spacing w:after="40"/>
      </w:pPr>
    </w:p>
    <w:p>
      <w:r>
        <w:rPr>
          <w:i w:val="0"/>
        </w:rPr>
        <w:t>Un document qui ne porte aucune valeur pour un index filtré est écarté. C'est un choix, et il est cohérent : filtrer sur un critère revient à demander les documents pour lesquels ce critère est renseigné.</w:t>
      </w:r>
    </w:p>
    <w:p>
      <w:pPr>
        <w:pStyle w:val="Heading2"/>
        <w:spacing w:before="280" w:after="120"/>
      </w:pPr>
      <w:r>
        <w:t>4.5 La lecture du contenu</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2041"/>
          </w:tcPr>
          <w:p>
            <w:pPr>
              <w:spacing w:after="40"/>
            </w:pPr>
            <w:r/>
            <w:r>
              <w:rPr>
                <w:b/>
                <w:sz w:val="18"/>
              </w:rPr>
              <w:t>Opération</w:t>
            </w:r>
          </w:p>
        </w:tc>
        <w:tc>
          <w:tcPr>
            <w:tcW w:type="dxa" w:w="1701"/>
          </w:tcPr>
          <w:p>
            <w:pPr>
              <w:spacing w:after="40"/>
            </w:pPr>
            <w:r/>
            <w:r>
              <w:rPr>
                <w:b/>
                <w:sz w:val="18"/>
              </w:rPr>
              <w:t>Ce qu'elle fait</w:t>
            </w:r>
          </w:p>
        </w:tc>
        <w:tc>
          <w:tcPr>
            <w:tcW w:type="dxa" w:w="1474"/>
          </w:tcPr>
          <w:p>
            <w:pPr>
              <w:spacing w:after="40"/>
            </w:pPr>
            <w:r/>
            <w:r>
              <w:rPr>
                <w:b/>
                <w:sz w:val="18"/>
              </w:rPr>
              <w:t>Entrée exigée</w:t>
            </w:r>
          </w:p>
        </w:tc>
        <w:tc>
          <w:tcPr>
            <w:tcW w:type="dxa" w:w="2835"/>
          </w:tcPr>
          <w:p>
            <w:pPr>
              <w:spacing w:after="40"/>
            </w:pPr>
            <w:r/>
            <w:r>
              <w:rPr>
                <w:b/>
                <w:sz w:val="18"/>
              </w:rPr>
              <w:t>Ce qu'elle renvoie</w:t>
            </w:r>
          </w:p>
        </w:tc>
        <w:tc>
          <w:tcPr>
            <w:tcW w:type="dxa" w:w="1587"/>
          </w:tcPr>
          <w:p>
            <w:pPr>
              <w:spacing w:after="40"/>
            </w:pPr>
            <w:r/>
            <w:r>
              <w:rPr>
                <w:b/>
                <w:sz w:val="18"/>
              </w:rPr>
              <w:t>Ce qu'elle refuse</w:t>
            </w:r>
          </w:p>
        </w:tc>
      </w:tr>
      <w:tr>
        <w:tc>
          <w:tcPr>
            <w:tcW w:type="dxa" w:w="2041"/>
          </w:tcPr>
          <w:p>
            <w:pPr>
              <w:spacing w:after="40"/>
            </w:pPr>
            <w:r/>
            <w:r>
              <w:rPr>
                <w:sz w:val="18"/>
              </w:rPr>
              <w:t>GET /ocr/documents/{id}/texte</w:t>
            </w:r>
          </w:p>
        </w:tc>
        <w:tc>
          <w:tcPr>
            <w:tcW w:type="dxa" w:w="1701"/>
          </w:tcPr>
          <w:p>
            <w:pPr>
              <w:spacing w:after="40"/>
            </w:pPr>
            <w:r/>
            <w:r>
              <w:rPr>
                <w:sz w:val="18"/>
              </w:rPr>
              <w:t>Lit le contenu d'un document déposé</w:t>
            </w:r>
          </w:p>
        </w:tc>
        <w:tc>
          <w:tcPr>
            <w:tcW w:type="dxa" w:w="1474"/>
          </w:tcPr>
          <w:p>
            <w:pPr>
              <w:spacing w:after="40"/>
            </w:pPr>
            <w:r/>
            <w:r>
              <w:rPr>
                <w:sz w:val="18"/>
              </w:rPr>
              <w:t>Identifiant du document</w:t>
            </w:r>
          </w:p>
        </w:tc>
        <w:tc>
          <w:tcPr>
            <w:tcW w:type="dxa" w:w="2835"/>
          </w:tcPr>
          <w:p>
            <w:pPr>
              <w:spacing w:after="40"/>
            </w:pPr>
            <w:r/>
            <w:r>
              <w:rPr>
                <w:sz w:val="18"/>
              </w:rPr>
              <w:t>Texte, provenance, nombre de pages, détail de diagnostic, positions des mots quand le moteur les a rendues</w:t>
            </w:r>
          </w:p>
        </w:tc>
        <w:tc>
          <w:tcPr>
            <w:tcW w:type="dxa" w:w="1587"/>
          </w:tcPr>
          <w:p>
            <w:pPr>
              <w:spacing w:after="40"/>
            </w:pPr>
            <w:r/>
            <w:r>
              <w:rPr>
                <w:sz w:val="18"/>
              </w:rPr>
              <w:t>Document inconnu (404). Un document sans fichier rend une réponse « aucune provenance » accompagnée de son motif.</w:t>
            </w:r>
          </w:p>
        </w:tc>
      </w:tr>
      <w:tr>
        <w:tc>
          <w:tcPr>
            <w:tcW w:type="dxa" w:w="2041"/>
          </w:tcPr>
          <w:p>
            <w:pPr>
              <w:spacing w:after="40"/>
            </w:pPr>
            <w:r/>
            <w:r>
              <w:rPr>
                <w:sz w:val="18"/>
              </w:rPr>
              <w:t>GET /ocr/diagnostic</w:t>
            </w:r>
          </w:p>
        </w:tc>
        <w:tc>
          <w:tcPr>
            <w:tcW w:type="dxa" w:w="1701"/>
          </w:tcPr>
          <w:p>
            <w:pPr>
              <w:spacing w:after="40"/>
            </w:pPr>
            <w:r/>
            <w:r>
              <w:rPr>
                <w:sz w:val="18"/>
              </w:rPr>
              <w:t>État de la chaîne d'extracteurs</w:t>
            </w:r>
          </w:p>
        </w:tc>
        <w:tc>
          <w:tcPr>
            <w:tcW w:type="dxa" w:w="1474"/>
          </w:tcPr>
          <w:p>
            <w:pPr>
              <w:spacing w:after="40"/>
            </w:pPr>
            <w:r/>
            <w:r>
              <w:rPr>
                <w:sz w:val="18"/>
              </w:rPr>
              <w:t>Aucune</w:t>
            </w:r>
          </w:p>
        </w:tc>
        <w:tc>
          <w:tcPr>
            <w:tcW w:type="dxa" w:w="2835"/>
          </w:tcPr>
          <w:p>
            <w:pPr>
              <w:spacing w:after="40"/>
            </w:pPr>
            <w:r/>
            <w:r>
              <w:rPr>
                <w:sz w:val="18"/>
              </w:rPr>
              <w:t>Un élément par extracteur : nom, priorité, disponibilité réelle sur ce serveur</w:t>
            </w:r>
          </w:p>
        </w:tc>
        <w:tc>
          <w:tcPr>
            <w:tcW w:type="dxa" w:w="1587"/>
          </w:tcPr>
          <w:p>
            <w:pPr>
              <w:spacing w:after="40"/>
            </w:pPr>
            <w:r/>
            <w:r>
              <w:rPr>
                <w:sz w:val="18"/>
              </w:rPr>
              <w:t>Rien</w:t>
            </w:r>
          </w:p>
        </w:tc>
      </w:tr>
      <w:tr>
        <w:tc>
          <w:tcPr>
            <w:tcW w:type="dxa" w:w="2041"/>
          </w:tcPr>
          <w:p>
            <w:pPr>
              <w:spacing w:after="40"/>
            </w:pPr>
            <w:r/>
            <w:r>
              <w:rPr>
                <w:sz w:val="18"/>
              </w:rPr>
              <w:t>GET /ocr/etat</w:t>
            </w:r>
          </w:p>
        </w:tc>
        <w:tc>
          <w:tcPr>
            <w:tcW w:type="dxa" w:w="1701"/>
          </w:tcPr>
          <w:p>
            <w:pPr>
              <w:spacing w:after="40"/>
            </w:pPr>
            <w:r/>
            <w:r>
              <w:rPr>
                <w:sz w:val="18"/>
              </w:rPr>
              <w:t>La lecture est-elle autorisée ici ?</w:t>
            </w:r>
          </w:p>
        </w:tc>
        <w:tc>
          <w:tcPr>
            <w:tcW w:type="dxa" w:w="1474"/>
          </w:tcPr>
          <w:p>
            <w:pPr>
              <w:spacing w:after="40"/>
            </w:pPr>
            <w:r/>
            <w:r>
              <w:rPr>
                <w:sz w:val="18"/>
              </w:rPr>
              <w:t>Aucune</w:t>
            </w:r>
          </w:p>
        </w:tc>
        <w:tc>
          <w:tcPr>
            <w:tcW w:type="dxa" w:w="2835"/>
          </w:tcPr>
          <w:p>
            <w:pPr>
              <w:spacing w:after="40"/>
            </w:pPr>
            <w:r/>
            <w:r>
              <w:rPr>
                <w:sz w:val="18"/>
              </w:rPr>
              <w:t>Un indicateur booléen</w:t>
            </w:r>
          </w:p>
        </w:tc>
        <w:tc>
          <w:tcPr>
            <w:tcW w:type="dxa" w:w="1587"/>
          </w:tcPr>
          <w:p>
            <w:pPr>
              <w:spacing w:after="40"/>
            </w:pPr>
            <w:r/>
            <w:r>
              <w:rPr>
                <w:sz w:val="18"/>
              </w:rPr>
              <w:t>Rien</w:t>
            </w:r>
          </w:p>
        </w:tc>
      </w:tr>
    </w:tbl>
    <w:p>
      <w:pPr>
        <w:spacing w:after="40"/>
      </w:pPr>
    </w:p>
    <w:p>
      <w:r>
        <w:rPr>
          <w:i w:val="0"/>
        </w:rPr>
        <w:t>L'état est consulté par la fenêtre de dépôt : quand la lecture est coupée au niveau du serveur, l'interrupteur d'indexation automatique est présenté désactivé avec son motif, plutôt que de promettre un remplissage qui n'arrivera pas. Le paramétrage du moteur — activation, langues, résolution, nombre de pages lues — vit dans la configuration de l'application, aux mains de l'exploitant ; il n'existe pas d'écran de réglage.</w:t>
      </w:r>
    </w:p>
    <w:p>
      <w:r>
        <w:br w:type="page"/>
      </w:r>
    </w:p>
    <w:p>
      <w:pPr>
        <w:pStyle w:val="Heading1"/>
        <w:spacing w:before="360" w:after="160"/>
      </w:pPr>
      <w:r>
        <w:t>5. Les règles vérifiées côté serveur</w:t>
      </w:r>
    </w:p>
    <w:p>
      <w:pPr>
        <w:pStyle w:val="Heading2"/>
        <w:spacing w:before="280" w:after="120"/>
      </w:pPr>
      <w:r>
        <w:t>5.1 Règles partagées avec l'écran</w:t>
      </w:r>
    </w:p>
    <w:p>
      <w:pPr>
        <w:spacing w:before="160" w:after="40"/>
      </w:pPr>
      <w:r>
        <w:rPr>
          <w:b/>
        </w:rPr>
        <w:t xml:space="preserve">R1. </w:t>
      </w:r>
      <w:r>
        <w:rPr>
          <w:b w:val="0"/>
        </w:rPr>
        <w:t>Le format et la taille du fichier sont contrôlés contre le type, aussi bien à l'aperçu qu'au dépôt. Le format est vérifié même sans contenu : c'est le nom du fichier qui décide, et il est toujours présent.</w:t>
      </w:r>
    </w:p>
    <w:p>
      <w:pPr>
        <w:spacing w:after="40"/>
        <w:ind w:left="454"/>
      </w:pPr>
      <w:r>
        <w:rPr>
          <w:b/>
          <w:sz w:val="20"/>
        </w:rPr>
        <w:t xml:space="preserve">Portée : </w:t>
      </w:r>
      <w:r>
        <w:rPr>
          <w:color w:val="444444"/>
          <w:sz w:val="20"/>
        </w:rPr>
        <w:t>Vérifiée localement avant tout envoi, avec un message qui énonce les formats acceptés et la taille en unité lisible.</w:t>
      </w:r>
    </w:p>
    <w:p>
      <w:pPr>
        <w:spacing w:after="120"/>
        <w:ind w:left="454"/>
      </w:pPr>
      <w:r>
        <w:rPr>
          <w:b/>
          <w:sz w:val="20"/>
        </w:rPr>
        <w:t xml:space="preserve">Pourquoi : </w:t>
      </w:r>
      <w:r>
        <w:rPr>
          <w:color w:val="444444"/>
          <w:sz w:val="20"/>
        </w:rPr>
        <w:t>Les deux portes doivent dire la même chose. La règle a été mutualisée précisément parce que, recopiée, elle divergeait : l'aperçu acceptait ce que le dépôt refusait.</w:t>
      </w:r>
    </w:p>
    <w:p>
      <w:pPr>
        <w:spacing w:before="160" w:after="40"/>
      </w:pPr>
      <w:r>
        <w:rPr>
          <w:b/>
        </w:rPr>
        <w:t xml:space="preserve">R2. </w:t>
      </w:r>
      <w:r>
        <w:rPr>
          <w:b w:val="0"/>
        </w:rPr>
        <w:t>Le type de document doit exister et ne pas être en corbeille.</w:t>
      </w:r>
    </w:p>
    <w:p>
      <w:pPr>
        <w:spacing w:after="40"/>
        <w:ind w:left="454"/>
      </w:pPr>
      <w:r>
        <w:rPr>
          <w:b/>
          <w:sz w:val="20"/>
        </w:rPr>
        <w:t xml:space="preserve">Portée : </w:t>
      </w:r>
      <w:r>
        <w:rPr>
          <w:color w:val="444444"/>
          <w:sz w:val="20"/>
        </w:rPr>
        <w:t>L'écran ne propose pas les types en corbeille ; le contrôle serveur couvre les appels directs et les sélecteurs périmés.</w:t>
      </w:r>
    </w:p>
    <w:p>
      <w:pPr>
        <w:spacing w:after="120"/>
        <w:ind w:left="454"/>
      </w:pPr>
      <w:r>
        <w:rPr>
          <w:b/>
          <w:sz w:val="20"/>
        </w:rPr>
        <w:t xml:space="preserve">Pourquoi : </w:t>
      </w:r>
      <w:r>
        <w:rPr>
          <w:color w:val="444444"/>
          <w:sz w:val="20"/>
        </w:rPr>
        <w:t>Un type supprimé disparaît des sélecteurs mais son identifiant reste valide. L'aperçu comme le dépôt doivent le refuser, sans quoi on prépare l'indexation d'un document qui ne pourra jamais être déposé.</w:t>
      </w:r>
    </w:p>
    <w:p>
      <w:pPr>
        <w:spacing w:before="160" w:after="40"/>
      </w:pPr>
      <w:r>
        <w:rPr>
          <w:b/>
        </w:rPr>
        <w:t xml:space="preserve">R3. </w:t>
      </w:r>
      <w:r>
        <w:rPr>
          <w:b w:val="0"/>
        </w:rPr>
        <w:t>Un index obligatoire doit être renseigné avant confirmation.</w:t>
      </w:r>
    </w:p>
    <w:p>
      <w:pPr>
        <w:spacing w:after="40"/>
        <w:ind w:left="454"/>
      </w:pPr>
      <w:r>
        <w:rPr>
          <w:b/>
          <w:sz w:val="20"/>
        </w:rPr>
        <w:t xml:space="preserve">Portée : </w:t>
      </w:r>
      <w:r>
        <w:rPr>
          <w:color w:val="444444"/>
          <w:sz w:val="20"/>
        </w:rPr>
        <w:t>L'écran bloque la validation et affiche le décompte des champs manquants ; le serveur réévalue l'obligation sur le plan entier, pas sur ce qui a été envoyé.</w:t>
      </w:r>
    </w:p>
    <w:p>
      <w:pPr>
        <w:spacing w:after="120"/>
        <w:ind w:left="454"/>
      </w:pPr>
      <w:r>
        <w:rPr>
          <w:b/>
          <w:sz w:val="20"/>
        </w:rPr>
        <w:t xml:space="preserve">Pourquoi : </w:t>
      </w:r>
      <w:r>
        <w:rPr>
          <w:color w:val="444444"/>
          <w:sz w:val="20"/>
        </w:rPr>
        <w:t>C'est la seule garantie que le fonds reste exploitable : un index obligatoire non renseigné rend le document introuvable par le critère qui devait justement servir à le retrouver.</w:t>
      </w:r>
    </w:p>
    <w:p>
      <w:pPr>
        <w:pStyle w:val="Heading2"/>
        <w:spacing w:before="280" w:after="120"/>
      </w:pPr>
      <w:r>
        <w:t>5.2 Règles qui n'existent que côté serveur</w:t>
      </w:r>
    </w:p>
    <w:p>
      <w:pPr>
        <w:spacing w:before="160" w:after="40"/>
      </w:pPr>
      <w:r>
        <w:rPr>
          <w:b/>
        </w:rPr>
        <w:t xml:space="preserve">R4. </w:t>
      </w:r>
      <w:r>
        <w:rPr>
          <w:b w:val="0"/>
        </w:rPr>
        <w:t>Un index reçu doit appartenir au plan d'indexation du type du document. L'index refusé est désigné par son nom quand il existe encore, par son identifiant sinon.</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L'index était auparavant cherché dans toute la table, sans lien avec le plan : une valeur étrangère se posait sur le document, invisible dans le formulaire — qui n'affiche que les champs du plan — mais bien présente dans les résultats de recherche.</w:t>
      </w:r>
    </w:p>
    <w:p>
      <w:pPr>
        <w:spacing w:before="160" w:after="40"/>
      </w:pPr>
      <w:r>
        <w:rPr>
          <w:b/>
        </w:rPr>
        <w:t xml:space="preserve">R5. </w:t>
      </w:r>
      <w:r>
        <w:rPr>
          <w:b w:val="0"/>
        </w:rPr>
        <w:t xml:space="preserve">L'obligation est évaluée sur </w:t>
      </w:r>
      <w:r>
        <w:rPr>
          <w:b/>
        </w:rPr>
        <w:t>tous</w:t>
      </w:r>
      <w:r>
        <w:rPr>
          <w:b w:val="0"/>
        </w:rPr>
        <w:t xml:space="preserve"> les index du plan, en tenant compte des valeurs déjà enregistrées, et non sur les seules lignes reçues.</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Évaluée sur les lignes reçues, la règle était contournable par omission : ne pas envoyer un index obligatoire suffisait à s'en dispenser, et un corps portant une liste vide passait entièrement au travers.</w:t>
      </w:r>
    </w:p>
    <w:p>
      <w:pPr>
        <w:spacing w:before="160" w:after="40"/>
      </w:pPr>
      <w:r>
        <w:rPr>
          <w:b/>
        </w:rPr>
        <w:t xml:space="preserve">R6. </w:t>
      </w:r>
      <w:r>
        <w:rPr>
          <w:b w:val="0"/>
        </w:rPr>
        <w:t>Un document verrouillé refuse l'écriture de ses index.</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L'écriture des index renomme le document. Sans ce contrôle à cet endroit, le verrou était contournable par une autre porte que la modification de fiche.</w:t>
      </w:r>
    </w:p>
    <w:p>
      <w:pPr>
        <w:spacing w:before="160" w:after="40"/>
      </w:pPr>
      <w:r>
        <w:rPr>
          <w:b/>
        </w:rPr>
        <w:t xml:space="preserve">R7. </w:t>
      </w:r>
      <w:r>
        <w:rPr>
          <w:b w:val="0"/>
        </w:rPr>
        <w:t>Un document en corbeille refuse l'écriture de ses index.</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Même règle que pour toute autre écriture documentaire : la fiche reste lisible, rien n'y est modifiable.</w:t>
      </w:r>
    </w:p>
    <w:p>
      <w:pPr>
        <w:spacing w:before="160" w:after="40"/>
      </w:pPr>
      <w:r>
        <w:rPr>
          <w:b/>
        </w:rPr>
        <w:t xml:space="preserve">R8. </w:t>
      </w:r>
      <w:r>
        <w:rPr>
          <w:b w:val="0"/>
        </w:rPr>
        <w:t xml:space="preserve">La validation est intégralement effectuée </w:t>
      </w:r>
      <w:r>
        <w:rPr>
          <w:b/>
        </w:rPr>
        <w:t>avant</w:t>
      </w:r>
      <w:r>
        <w:rPr>
          <w:b w:val="0"/>
        </w:rPr>
        <w:t xml:space="preserve"> la première écriture. Une première passe vérifie l'appartenance au plan et la compatibilité de type de chaque ligne ; une seconde passe écrit, et plus rien ne peut y être refusé.</w:t>
      </w:r>
    </w:p>
    <w:p>
      <w:pPr>
        <w:spacing w:after="40"/>
        <w:ind w:left="454"/>
      </w:pPr>
      <w:r>
        <w:rPr>
          <w:b/>
          <w:sz w:val="20"/>
        </w:rPr>
        <w:t xml:space="preserve">Portée : </w:t>
      </w:r>
      <w:r>
        <w:rPr>
          <w:color w:val="444444"/>
          <w:sz w:val="20"/>
        </w:rPr>
        <w:t>Serveur uniquement, par nature.</w:t>
      </w:r>
    </w:p>
    <w:p>
      <w:pPr>
        <w:spacing w:after="120"/>
        <w:ind w:left="454"/>
      </w:pPr>
      <w:r>
        <w:rPr>
          <w:b/>
          <w:sz w:val="20"/>
        </w:rPr>
        <w:t xml:space="preserve">Pourquoi : </w:t>
      </w:r>
      <w:r>
        <w:rPr>
          <w:color w:val="444444"/>
          <w:sz w:val="20"/>
        </w:rPr>
        <w:t>Une validation entrelacée avec les écritures laissait un enregistrement partiel derrière elle quand la ligne suivante était refusée : l'opérateur recevait une erreur, mais une partie de sa saisie était déjà en base.</w:t>
      </w:r>
    </w:p>
    <w:p>
      <w:pPr>
        <w:spacing w:before="160" w:after="40"/>
      </w:pPr>
      <w:r>
        <w:rPr>
          <w:b/>
        </w:rPr>
        <w:t xml:space="preserve">R9. </w:t>
      </w:r>
      <w:r>
        <w:rPr>
          <w:b w:val="0"/>
        </w:rPr>
        <w:t>Une valeur vide efface la ligne correspondante plutôt que d'enregistrer une chaîne vide.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Une valeur vide et une absence de valeur doivent se comporter de la même façon : sinon la recherche distinguerait deux états que l'écran présente comme un seul.</w:t>
      </w:r>
    </w:p>
    <w:p>
      <w:pPr>
        <w:spacing w:before="160" w:after="40"/>
      </w:pPr>
      <w:r>
        <w:rPr>
          <w:b/>
        </w:rPr>
        <w:t xml:space="preserve">R10. </w:t>
      </w:r>
      <w:r>
        <w:rPr>
          <w:b w:val="0"/>
        </w:rPr>
        <w:t>La référence n'est recomposée que si la requête a effectivement porté sur au moins une ligne, et le nom du document n'est écrasé que si la charte n'est pas manuelle.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Recomposer après un corps vide détruisait le nom du document en le remplaçant par les seuls jetons système. En mode manuel, le nom appartient à l'opérateur : le lui reprendre serait une prise de décision à sa place.</w:t>
      </w:r>
    </w:p>
    <w:p>
      <w:pPr>
        <w:spacing w:before="160" w:after="40"/>
      </w:pPr>
      <w:r>
        <w:rPr>
          <w:b/>
        </w:rPr>
        <w:t xml:space="preserve">R11. </w:t>
      </w:r>
      <w:r>
        <w:rPr>
          <w:b w:val="0"/>
        </w:rPr>
        <w:t>Le nom composé est borné à 255 caractères, et le refus nomme le champ.</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La référence est faite de valeurs libres : rien ne garantit qu'elle tienne dans la colonne. Sans ce contrôle, une valeur d'index un peu longue faisait sortir une erreur serveur nue au moment de la sauvegarde, bien après la saisie.</w:t>
      </w:r>
    </w:p>
    <w:p>
      <w:pPr>
        <w:spacing w:before="160" w:after="40"/>
      </w:pPr>
      <w:r>
        <w:rPr>
          <w:b/>
        </w:rPr>
        <w:t xml:space="preserve">R12. </w:t>
      </w:r>
      <w:r>
        <w:rPr>
          <w:b w:val="0"/>
        </w:rPr>
        <w:t xml:space="preserve">Un jeton sans valeur est </w:t>
      </w:r>
      <w:r>
        <w:rPr>
          <w:b/>
        </w:rPr>
        <w:t>omis</w:t>
      </w:r>
      <w:r>
        <w:rPr>
          <w:b w:val="0"/>
        </w:rPr>
        <w:t xml:space="preserve"> de la référence composée, non remplacé par un marqueur.</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Un point d'interrogation littéral finissait dans le nom du document, puis tel quel dans l'en-tête de téléchargement : caractère interdit dans un nom de fichier sous Windows et réservé en URL, il rendait la pièce inenregistrable sur le poste de travail. Ce qui manque se voit à l'écran d'indexation, qui est fait pour cela, pas dans un nom de fichier.</w:t>
      </w:r>
    </w:p>
    <w:p>
      <w:pPr>
        <w:spacing w:before="160" w:after="40"/>
      </w:pPr>
      <w:r>
        <w:rPr>
          <w:b/>
        </w:rPr>
        <w:t xml:space="preserve">R13. </w:t>
      </w:r>
      <w:r>
        <w:rPr>
          <w:b w:val="0"/>
        </w:rPr>
        <w:t>Le contenu du document n'est lu que si le nom du fichier ne suffit pas à remplir tous les champs attendus.</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Ouvrir un document, a fortiori le soumettre à une reconnaissance optique, coûte cher — et l'opérateur attend devant son formulaire. La lecture est un second recours, pas un réflexe.</w:t>
      </w:r>
    </w:p>
    <w:p>
      <w:pPr>
        <w:pStyle w:val="Heading2"/>
        <w:spacing w:before="280" w:after="120"/>
      </w:pPr>
      <w:r>
        <w:t>5.3 Les règles de déduction</w:t>
      </w:r>
    </w:p>
    <w:p>
      <w:r>
        <w:rPr>
          <w:i w:val="0"/>
        </w:rPr>
        <w:t>Les règles ci-dessous ne refusent rien : elles décident de ce que le serveur ose proposer. Elles sont énoncées ici parce qu'elles déterminent la qualité perçue de l'écran.</w:t>
      </w:r>
    </w:p>
    <w:p>
      <w:pPr>
        <w:spacing w:before="160" w:after="40"/>
      </w:pPr>
      <w:r>
        <w:rPr>
          <w:b/>
        </w:rPr>
        <w:t xml:space="preserve">R14. </w:t>
      </w:r>
      <w:r>
        <w:rPr>
          <w:b w:val="0"/>
        </w:rPr>
        <w:t>Le nom du fichier est amputé de son extension puis découpé sur le séparateur déclaré par le plan — le souligné à défaut. Les segments vides sont écartés. Le n-ième segment alimente le n-ième index du plan.</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C'est la charte de nommage lue à l'envers. Elle ne fonctionne que si le déposant respecte la convention ; quand ce n'est pas le cas, le motif de rejet le dit explicitement plutôt que de laisser un champ vide sans explication.</w:t>
      </w:r>
    </w:p>
    <w:p>
      <w:pPr>
        <w:spacing w:before="160" w:after="40"/>
      </w:pPr>
      <w:r>
        <w:rPr>
          <w:b/>
        </w:rPr>
        <w:t xml:space="preserve">R15. </w:t>
      </w:r>
      <w:r>
        <w:rPr>
          <w:b w:val="0"/>
        </w:rPr>
        <w:t>Pour un index de type date, le segment est d'abord ramené en année-mois-jour. Sont reconnues les écritures à séparateur — point, barre oblique, trait d'union — dans les deux ordres, ainsi que les huit chiffres collés dans les deux ordres. L'année est identifiée à sa longueur et à sa plausibilité, entre 1900 et 2100. Une date grammaticalement correcte mais inexistante, comme un 31 février, est refusée et non corrigée.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Un nom de fichier porte rarement une date au format international. Exiger cette forme alors que la lecture du contenu accepte les autres était une asymétrie sans justification : la même date remontait ou non selon l'endroit où on la lisait.</w:t>
      </w:r>
    </w:p>
    <w:p>
      <w:pPr>
        <w:spacing w:before="160" w:after="40"/>
      </w:pPr>
      <w:r>
        <w:rPr>
          <w:b/>
        </w:rPr>
        <w:t xml:space="preserve">R16. </w:t>
      </w:r>
      <w:r>
        <w:rPr>
          <w:b w:val="0"/>
        </w:rPr>
        <w:t>Les années écrites sur deux chiffres sont volontairement refusées.</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Une suite comme « 260805 » se lit aussi bien comme le 5 août 2026 que comme le 26 août 2005, et rien dans le nom ne permet de trancher. Écrire une date fausse dans un index est plus grave que de la demander à l'opérateur, qui a le document sous les yeux.</w:t>
      </w:r>
    </w:p>
    <w:p>
      <w:pPr>
        <w:spacing w:before="160" w:after="40"/>
      </w:pPr>
      <w:r>
        <w:rPr>
          <w:b/>
        </w:rPr>
        <w:t xml:space="preserve">R17. </w:t>
      </w:r>
      <w:r>
        <w:rPr>
          <w:b w:val="0"/>
        </w:rPr>
        <w:t>Une valeur déduite du contenu est confrontée au type de l'index avant d'être proposée. Si elle ne passe pas, elle est écartée et le motif du nom de fichier est conservé.</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La lecture automatique n'a aucun passe-droit. Proposer une valeur qui sera refusée à l'enregistrement ferait perdre du temps à l'opérateur et discréditerait l'automatisme.</w:t>
      </w:r>
    </w:p>
    <w:p>
      <w:pPr>
        <w:spacing w:before="160" w:after="40"/>
      </w:pPr>
      <w:r>
        <w:rPr>
          <w:b/>
        </w:rPr>
        <w:t xml:space="preserve">R18. </w:t>
      </w:r>
      <w:r>
        <w:rPr>
          <w:b w:val="0"/>
        </w:rPr>
        <w:t>Un nombre n'est déduit du contenu que s'il suit le libellé de son index. À défaut, aucune valeur n'est proposée.</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Le repli sur le texte entier ramenait le premier nombre venu — un numéro de section, une version, une pagination — et le posait à l'identique dans tous les index numériques du plan : trois champs distincts affichaient la même valeur, sans aucun rapport avec eux. Contrairement à une date, un nombre ne porte aucune marque de ce qu'il désigne : il faut son étiquette, ou rien.</w:t>
      </w:r>
    </w:p>
    <w:p>
      <w:pPr>
        <w:spacing w:before="160" w:after="40"/>
      </w:pPr>
      <w:r>
        <w:rPr>
          <w:b/>
        </w:rPr>
        <w:t xml:space="preserve">R19. </w:t>
      </w:r>
      <w:r>
        <w:rPr>
          <w:b w:val="0"/>
        </w:rPr>
        <w:t>Quand le moteur rend la position des mots, la lecture positionnelle prime sur la recherche dans le texte à plat : la valeur est cherchée à droite de l'étiquette, puis sur la ligne immédiatement en dessous.</w:t>
      </w:r>
    </w:p>
    <w:p>
      <w:pPr>
        <w:spacing w:after="40"/>
        <w:ind w:left="454"/>
      </w:pPr>
      <w:r>
        <w:rPr>
          <w:b/>
          <w:sz w:val="20"/>
        </w:rPr>
        <w:t xml:space="preserve">Portée : </w:t>
      </w:r>
      <w:r>
        <w:rPr>
          <w:color w:val="444444"/>
          <w:sz w:val="20"/>
        </w:rPr>
        <w:t>Serveur uniquement.</w:t>
      </w:r>
    </w:p>
    <w:p>
      <w:pPr>
        <w:spacing w:after="120"/>
        <w:ind w:left="454"/>
      </w:pPr>
      <w:r>
        <w:rPr>
          <w:b/>
          <w:sz w:val="20"/>
        </w:rPr>
        <w:t xml:space="preserve">Pourquoi : </w:t>
      </w:r>
      <w:r>
        <w:rPr>
          <w:color w:val="444444"/>
          <w:sz w:val="20"/>
        </w:rPr>
        <w:t>Dans un texte linéaire, une étiquette suivie de sa valeur sur la même ligne et une étiquette suivie de sa valeur à la ligne suivante deviennent indiscernables — alors que dans un formulaire ce sont deux mises en page différentes, et dans un tableau l'étiquette peut même être en en-tête de colonne. Les coordonnées lèvent l'ambiguïté.</w:t>
      </w:r>
    </w:p>
    <w:p>
      <w:pPr>
        <w:spacing w:before="160" w:after="40"/>
      </w:pPr>
      <w:r>
        <w:rPr>
          <w:b/>
        </w:rPr>
        <w:t xml:space="preserve">R20. </w:t>
      </w:r>
      <w:r>
        <w:rPr>
          <w:b w:val="0"/>
        </w:rPr>
        <w:t>Un avertissement de lecture est calculé au même endroit pour l'aperçu et pour l'analyse : rien de reconnu donne une phrase qui rappelle la charte attendue, une reconnaissance partielle donne le décompte des champs restants.</w:t>
      </w:r>
    </w:p>
    <w:p>
      <w:pPr>
        <w:spacing w:after="40"/>
        <w:ind w:left="454"/>
      </w:pPr>
      <w:r>
        <w:rPr>
          <w:b/>
          <w:sz w:val="20"/>
        </w:rPr>
        <w:t xml:space="preserve">Portée : </w:t>
      </w:r>
      <w:r>
        <w:rPr>
          <w:color w:val="444444"/>
          <w:sz w:val="20"/>
        </w:rPr>
        <w:t>Serveur uniquement, mais destiné à l'affichage.</w:t>
      </w:r>
    </w:p>
    <w:p>
      <w:pPr>
        <w:spacing w:after="120"/>
        <w:ind w:left="454"/>
      </w:pPr>
      <w:r>
        <w:rPr>
          <w:b/>
          <w:sz w:val="20"/>
        </w:rPr>
        <w:t xml:space="preserve">Pourquoi : </w:t>
      </w:r>
      <w:r>
        <w:rPr>
          <w:color w:val="444444"/>
          <w:sz w:val="20"/>
        </w:rPr>
        <w:t>L'opérateur doit lire la même phrase pour le même fait, qu'il soit avant ou après le dépôt. Deux formulations pour un seul constat laisseraient croire à deux comportements différents.</w:t>
      </w:r>
    </w:p>
    <w:p>
      <w:r>
        <w:br w:type="page"/>
      </w:r>
    </w:p>
    <w:p>
      <w:pPr>
        <w:pStyle w:val="Heading1"/>
        <w:spacing w:before="360" w:after="160"/>
      </w:pPr>
      <w:r>
        <w:t>6. Les erreurs et les réponses</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2041"/>
          </w:tcPr>
          <w:p>
            <w:pPr>
              <w:spacing w:after="40"/>
            </w:pPr>
            <w:r/>
            <w:r>
              <w:rPr>
                <w:b/>
                <w:sz w:val="18"/>
              </w:rPr>
              <w:t>Situation</w:t>
            </w:r>
          </w:p>
        </w:tc>
        <w:tc>
          <w:tcPr>
            <w:tcW w:type="dxa" w:w="737"/>
          </w:tcPr>
          <w:p>
            <w:pPr>
              <w:spacing w:after="40"/>
            </w:pPr>
            <w:r/>
            <w:r>
              <w:rPr>
                <w:b/>
                <w:sz w:val="18"/>
              </w:rPr>
              <w:t>Code</w:t>
            </w:r>
          </w:p>
        </w:tc>
        <w:tc>
          <w:tcPr>
            <w:tcW w:type="dxa" w:w="3175"/>
          </w:tcPr>
          <w:p>
            <w:pPr>
              <w:spacing w:after="40"/>
            </w:pPr>
            <w:r/>
            <w:r>
              <w:rPr>
                <w:b/>
                <w:sz w:val="18"/>
              </w:rPr>
              <w:t>Message renvoyé</w:t>
            </w:r>
          </w:p>
        </w:tc>
        <w:tc>
          <w:tcPr>
            <w:tcW w:type="dxa" w:w="3685"/>
          </w:tcPr>
          <w:p>
            <w:pPr>
              <w:spacing w:after="40"/>
            </w:pPr>
            <w:r/>
            <w:r>
              <w:rPr>
                <w:b/>
                <w:sz w:val="18"/>
              </w:rPr>
              <w:t>Ce que l'écran en fait</w:t>
            </w:r>
          </w:p>
        </w:tc>
      </w:tr>
      <w:tr>
        <w:tc>
          <w:tcPr>
            <w:tcW w:type="dxa" w:w="2041"/>
          </w:tcPr>
          <w:p>
            <w:pPr>
              <w:spacing w:after="40"/>
            </w:pPr>
            <w:r/>
            <w:r>
              <w:rPr>
                <w:sz w:val="18"/>
              </w:rPr>
              <w:t>Type de document inconnu (aperçu)</w:t>
            </w:r>
          </w:p>
        </w:tc>
        <w:tc>
          <w:tcPr>
            <w:tcW w:type="dxa" w:w="737"/>
          </w:tcPr>
          <w:p>
            <w:pPr>
              <w:spacing w:after="40"/>
            </w:pPr>
            <w:r/>
            <w:r>
              <w:rPr>
                <w:sz w:val="18"/>
              </w:rPr>
              <w:t>404</w:t>
            </w:r>
          </w:p>
        </w:tc>
        <w:tc>
          <w:tcPr>
            <w:tcW w:type="dxa" w:w="3175"/>
          </w:tcPr>
          <w:p>
            <w:pPr>
              <w:spacing w:after="40"/>
            </w:pPr>
            <w:r/>
            <w:r>
              <w:rPr>
                <w:sz w:val="18"/>
              </w:rPr>
              <w:t>Type de document introuvable : {id}</w:t>
            </w:r>
          </w:p>
        </w:tc>
        <w:tc>
          <w:tcPr>
            <w:tcW w:type="dxa" w:w="3685"/>
          </w:tcPr>
          <w:p>
            <w:pPr>
              <w:spacing w:after="40"/>
            </w:pPr>
            <w:r/>
            <w:r>
              <w:rPr>
                <w:sz w:val="18"/>
              </w:rPr>
              <w:t>L'aperçu échoue silencieusement : les champs restent à saisir, le dépôt n'est pas bloqué</w:t>
            </w:r>
          </w:p>
        </w:tc>
      </w:tr>
      <w:tr>
        <w:tc>
          <w:tcPr>
            <w:tcW w:type="dxa" w:w="2041"/>
          </w:tcPr>
          <w:p>
            <w:pPr>
              <w:spacing w:after="40"/>
            </w:pPr>
            <w:r/>
            <w:r>
              <w:rPr>
                <w:sz w:val="18"/>
              </w:rPr>
              <w:t>Type en corbeille</w:t>
            </w:r>
          </w:p>
        </w:tc>
        <w:tc>
          <w:tcPr>
            <w:tcW w:type="dxa" w:w="737"/>
          </w:tcPr>
          <w:p>
            <w:pPr>
              <w:spacing w:after="40"/>
            </w:pPr>
            <w:r/>
            <w:r>
              <w:rPr>
                <w:sz w:val="18"/>
              </w:rPr>
              <w:t>400</w:t>
            </w:r>
          </w:p>
        </w:tc>
        <w:tc>
          <w:tcPr>
            <w:tcW w:type="dxa" w:w="3175"/>
          </w:tcPr>
          <w:p>
            <w:pPr>
              <w:spacing w:after="40"/>
            </w:pPr>
            <w:r/>
            <w:r>
              <w:rPr>
                <w:sz w:val="18"/>
              </w:rPr>
              <w:t>Le type de document « X » est en corbeille : dépôt impossible.</w:t>
            </w:r>
          </w:p>
        </w:tc>
        <w:tc>
          <w:tcPr>
            <w:tcW w:type="dxa" w:w="3685"/>
          </w:tcPr>
          <w:p>
            <w:pPr>
              <w:spacing w:after="40"/>
            </w:pPr>
            <w:r/>
            <w:r>
              <w:rPr>
                <w:sz w:val="18"/>
              </w:rPr>
              <w:t>Message affiché</w:t>
            </w:r>
          </w:p>
        </w:tc>
      </w:tr>
      <w:tr>
        <w:tc>
          <w:tcPr>
            <w:tcW w:type="dxa" w:w="2041"/>
          </w:tcPr>
          <w:p>
            <w:pPr>
              <w:spacing w:after="40"/>
            </w:pPr>
            <w:r/>
            <w:r>
              <w:rPr>
                <w:sz w:val="18"/>
              </w:rPr>
              <w:t>Format refusé à l'aperçu</w:t>
            </w:r>
          </w:p>
        </w:tc>
        <w:tc>
          <w:tcPr>
            <w:tcW w:type="dxa" w:w="737"/>
          </w:tcPr>
          <w:p>
            <w:pPr>
              <w:spacing w:after="40"/>
            </w:pPr>
            <w:r/>
            <w:r>
              <w:rPr>
                <w:sz w:val="18"/>
              </w:rPr>
              <w:t>400</w:t>
            </w:r>
          </w:p>
        </w:tc>
        <w:tc>
          <w:tcPr>
            <w:tcW w:type="dxa" w:w="3175"/>
          </w:tcPr>
          <w:p>
            <w:pPr>
              <w:spacing w:after="40"/>
            </w:pPr>
            <w:r/>
            <w:r>
              <w:rPr>
                <w:sz w:val="18"/>
              </w:rPr>
              <w:t>Format « .ext » non autorisé (autorisés : pdf, docx)</w:t>
            </w:r>
          </w:p>
        </w:tc>
        <w:tc>
          <w:tcPr>
            <w:tcW w:type="dxa" w:w="3685"/>
          </w:tcPr>
          <w:p>
            <w:pPr>
              <w:spacing w:after="40"/>
            </w:pPr>
            <w:r/>
            <w:r>
              <w:rPr>
                <w:sz w:val="18"/>
              </w:rPr>
              <w:t>En pratique intercepté localement, avec un message qui énonce ce qui est accepté</w:t>
            </w:r>
          </w:p>
        </w:tc>
      </w:tr>
      <w:tr>
        <w:tc>
          <w:tcPr>
            <w:tcW w:type="dxa" w:w="2041"/>
          </w:tcPr>
          <w:p>
            <w:pPr>
              <w:spacing w:after="40"/>
            </w:pPr>
            <w:r/>
            <w:r>
              <w:rPr>
                <w:sz w:val="18"/>
              </w:rPr>
              <w:t>Fichier trop volumineux à l'aperçu</w:t>
            </w:r>
          </w:p>
        </w:tc>
        <w:tc>
          <w:tcPr>
            <w:tcW w:type="dxa" w:w="737"/>
          </w:tcPr>
          <w:p>
            <w:pPr>
              <w:spacing w:after="40"/>
            </w:pPr>
            <w:r/>
            <w:r>
              <w:rPr>
                <w:sz w:val="18"/>
              </w:rPr>
              <w:t>400</w:t>
            </w:r>
          </w:p>
        </w:tc>
        <w:tc>
          <w:tcPr>
            <w:tcW w:type="dxa" w:w="3175"/>
          </w:tcPr>
          <w:p>
            <w:pPr>
              <w:spacing w:after="40"/>
            </w:pPr>
            <w:r/>
            <w:r>
              <w:rPr>
                <w:sz w:val="18"/>
              </w:rPr>
              <w:t>Fichier trop volumineux (max N Mo)</w:t>
            </w:r>
          </w:p>
        </w:tc>
        <w:tc>
          <w:tcPr>
            <w:tcW w:type="dxa" w:w="3685"/>
          </w:tcPr>
          <w:p>
            <w:pPr>
              <w:spacing w:after="40"/>
            </w:pPr>
            <w:r/>
            <w:r>
              <w:rPr>
                <w:sz w:val="18"/>
              </w:rPr>
              <w:t>Idem, avec la taille en unité lisible</w:t>
            </w:r>
          </w:p>
        </w:tc>
      </w:tr>
      <w:tr>
        <w:tc>
          <w:tcPr>
            <w:tcW w:type="dxa" w:w="2041"/>
          </w:tcPr>
          <w:p>
            <w:pPr>
              <w:spacing w:after="40"/>
            </w:pPr>
            <w:r/>
            <w:r>
              <w:rPr>
                <w:sz w:val="18"/>
              </w:rPr>
              <w:t>Document inconnu</w:t>
            </w:r>
          </w:p>
        </w:tc>
        <w:tc>
          <w:tcPr>
            <w:tcW w:type="dxa" w:w="737"/>
          </w:tcPr>
          <w:p>
            <w:pPr>
              <w:spacing w:after="40"/>
            </w:pPr>
            <w:r/>
            <w:r>
              <w:rPr>
                <w:sz w:val="18"/>
              </w:rPr>
              <w:t>404</w:t>
            </w:r>
          </w:p>
        </w:tc>
        <w:tc>
          <w:tcPr>
            <w:tcW w:type="dxa" w:w="3175"/>
          </w:tcPr>
          <w:p>
            <w:pPr>
              <w:spacing w:after="40"/>
            </w:pPr>
            <w:r/>
            <w:r>
              <w:rPr>
                <w:sz w:val="18"/>
              </w:rPr>
              <w:t>Document introuvable : {id}</w:t>
            </w:r>
          </w:p>
        </w:tc>
        <w:tc>
          <w:tcPr>
            <w:tcW w:type="dxa" w:w="3685"/>
          </w:tcPr>
          <w:p>
            <w:pPr>
              <w:spacing w:after="40"/>
            </w:pPr>
            <w:r/>
            <w:r>
              <w:rPr>
                <w:sz w:val="18"/>
              </w:rPr>
              <w:t>Message affiché ; la liste est rechargée</w:t>
            </w:r>
          </w:p>
        </w:tc>
      </w:tr>
      <w:tr>
        <w:tc>
          <w:tcPr>
            <w:tcW w:type="dxa" w:w="2041"/>
          </w:tcPr>
          <w:p>
            <w:pPr>
              <w:spacing w:after="40"/>
            </w:pPr>
            <w:r/>
            <w:r>
              <w:rPr>
                <w:sz w:val="18"/>
              </w:rPr>
              <w:t>Document en corbeille</w:t>
            </w:r>
          </w:p>
        </w:tc>
        <w:tc>
          <w:tcPr>
            <w:tcW w:type="dxa" w:w="737"/>
          </w:tcPr>
          <w:p>
            <w:pPr>
              <w:spacing w:after="40"/>
            </w:pPr>
            <w:r/>
            <w:r>
              <w:rPr>
                <w:sz w:val="18"/>
              </w:rPr>
              <w:t>400</w:t>
            </w:r>
          </w:p>
        </w:tc>
        <w:tc>
          <w:tcPr>
            <w:tcW w:type="dxa" w:w="3175"/>
          </w:tcPr>
          <w:p>
            <w:pPr>
              <w:spacing w:after="40"/>
            </w:pPr>
            <w:r/>
            <w:r>
              <w:rPr>
                <w:sz w:val="18"/>
              </w:rPr>
              <w:t>Document en corbeille : indexation impossible. Restaurez-le d'abord.</w:t>
            </w:r>
          </w:p>
        </w:tc>
        <w:tc>
          <w:tcPr>
            <w:tcW w:type="dxa" w:w="3685"/>
          </w:tcPr>
          <w:p>
            <w:pPr>
              <w:spacing w:after="40"/>
            </w:pPr>
            <w:r/>
            <w:r>
              <w:rPr>
                <w:sz w:val="18"/>
              </w:rPr>
              <w:t>Message affiché</w:t>
            </w:r>
          </w:p>
        </w:tc>
      </w:tr>
      <w:tr>
        <w:tc>
          <w:tcPr>
            <w:tcW w:type="dxa" w:w="2041"/>
          </w:tcPr>
          <w:p>
            <w:pPr>
              <w:spacing w:after="40"/>
            </w:pPr>
            <w:r/>
            <w:r>
              <w:rPr>
                <w:sz w:val="18"/>
              </w:rPr>
              <w:t>Document verrouillé</w:t>
            </w:r>
          </w:p>
        </w:tc>
        <w:tc>
          <w:tcPr>
            <w:tcW w:type="dxa" w:w="737"/>
          </w:tcPr>
          <w:p>
            <w:pPr>
              <w:spacing w:after="40"/>
            </w:pPr>
            <w:r/>
            <w:r>
              <w:rPr>
                <w:sz w:val="18"/>
              </w:rPr>
              <w:t>400</w:t>
            </w:r>
          </w:p>
        </w:tc>
        <w:tc>
          <w:tcPr>
            <w:tcW w:type="dxa" w:w="3175"/>
          </w:tcPr>
          <w:p>
            <w:pPr>
              <w:spacing w:after="40"/>
            </w:pPr>
            <w:r/>
            <w:r>
              <w:rPr>
                <w:sz w:val="18"/>
              </w:rPr>
              <w:t>Document verrouille : indexation impossible</w:t>
            </w:r>
          </w:p>
        </w:tc>
        <w:tc>
          <w:tcPr>
            <w:tcW w:type="dxa" w:w="3685"/>
          </w:tcPr>
          <w:p>
            <w:pPr>
              <w:spacing w:after="40"/>
            </w:pPr>
            <w:r/>
            <w:r>
              <w:rPr>
                <w:sz w:val="18"/>
              </w:rPr>
              <w:t>Message affiché ; la fiche propose la levée du verrou</w:t>
            </w:r>
          </w:p>
        </w:tc>
      </w:tr>
      <w:tr>
        <w:tc>
          <w:tcPr>
            <w:tcW w:type="dxa" w:w="2041"/>
          </w:tcPr>
          <w:p>
            <w:pPr>
              <w:spacing w:after="40"/>
            </w:pPr>
            <w:r/>
            <w:r>
              <w:rPr>
                <w:sz w:val="18"/>
              </w:rPr>
              <w:t>Index étranger au plan</w:t>
            </w:r>
          </w:p>
        </w:tc>
        <w:tc>
          <w:tcPr>
            <w:tcW w:type="dxa" w:w="737"/>
          </w:tcPr>
          <w:p>
            <w:pPr>
              <w:spacing w:after="40"/>
            </w:pPr>
            <w:r/>
            <w:r>
              <w:rPr>
                <w:sz w:val="18"/>
              </w:rPr>
              <w:t>400</w:t>
            </w:r>
          </w:p>
        </w:tc>
        <w:tc>
          <w:tcPr>
            <w:tcW w:type="dxa" w:w="3175"/>
          </w:tcPr>
          <w:p>
            <w:pPr>
              <w:spacing w:after="40"/>
            </w:pPr>
            <w:r/>
            <w:r>
              <w:rPr>
                <w:sz w:val="18"/>
              </w:rPr>
              <w:t>L'index « X » n'appartient pas au plan d'indexation de ce type de document.</w:t>
            </w:r>
          </w:p>
        </w:tc>
        <w:tc>
          <w:tcPr>
            <w:tcW w:type="dxa" w:w="3685"/>
          </w:tcPr>
          <w:p>
            <w:pPr>
              <w:spacing w:after="40"/>
            </w:pPr>
            <w:r/>
            <w:r>
              <w:rPr>
                <w:sz w:val="18"/>
              </w:rPr>
              <w:t>Message affiché ; signale un formulaire désynchronisé</w:t>
            </w:r>
          </w:p>
        </w:tc>
      </w:tr>
      <w:tr>
        <w:tc>
          <w:tcPr>
            <w:tcW w:type="dxa" w:w="2041"/>
          </w:tcPr>
          <w:p>
            <w:pPr>
              <w:spacing w:after="40"/>
            </w:pPr>
            <w:r/>
            <w:r>
              <w:rPr>
                <w:sz w:val="18"/>
              </w:rPr>
              <w:t>Valeur non numérique sur un index nombre</w:t>
            </w:r>
          </w:p>
        </w:tc>
        <w:tc>
          <w:tcPr>
            <w:tcW w:type="dxa" w:w="737"/>
          </w:tcPr>
          <w:p>
            <w:pPr>
              <w:spacing w:after="40"/>
            </w:pPr>
            <w:r/>
            <w:r>
              <w:rPr>
                <w:sz w:val="18"/>
              </w:rPr>
              <w:t>400</w:t>
            </w:r>
          </w:p>
        </w:tc>
        <w:tc>
          <w:tcPr>
            <w:tcW w:type="dxa" w:w="3175"/>
          </w:tcPr>
          <w:p>
            <w:pPr>
              <w:spacing w:after="40"/>
            </w:pPr>
            <w:r/>
            <w:r>
              <w:rPr>
                <w:sz w:val="18"/>
              </w:rPr>
              <w:t>« X » attend un nombre.</w:t>
            </w:r>
          </w:p>
        </w:tc>
        <w:tc>
          <w:tcPr>
            <w:tcW w:type="dxa" w:w="3685"/>
          </w:tcPr>
          <w:p>
            <w:pPr>
              <w:spacing w:after="40"/>
            </w:pPr>
            <w:r/>
            <w:r>
              <w:rPr>
                <w:sz w:val="18"/>
              </w:rPr>
              <w:t>Message affiché sous le champ</w:t>
            </w:r>
          </w:p>
        </w:tc>
      </w:tr>
      <w:tr>
        <w:tc>
          <w:tcPr>
            <w:tcW w:type="dxa" w:w="2041"/>
          </w:tcPr>
          <w:p>
            <w:pPr>
              <w:spacing w:after="40"/>
            </w:pPr>
            <w:r/>
            <w:r>
              <w:rPr>
                <w:sz w:val="18"/>
              </w:rPr>
              <w:t>Date mal formée sur un index date</w:t>
            </w:r>
          </w:p>
        </w:tc>
        <w:tc>
          <w:tcPr>
            <w:tcW w:type="dxa" w:w="737"/>
          </w:tcPr>
          <w:p>
            <w:pPr>
              <w:spacing w:after="40"/>
            </w:pPr>
            <w:r/>
            <w:r>
              <w:rPr>
                <w:sz w:val="18"/>
              </w:rPr>
              <w:t>400</w:t>
            </w:r>
          </w:p>
        </w:tc>
        <w:tc>
          <w:tcPr>
            <w:tcW w:type="dxa" w:w="3175"/>
          </w:tcPr>
          <w:p>
            <w:pPr>
              <w:spacing w:after="40"/>
            </w:pPr>
            <w:r/>
            <w:r>
              <w:rPr>
                <w:sz w:val="18"/>
              </w:rPr>
              <w:t>« X » attend une date (AAAA-MM-JJ).</w:t>
            </w:r>
          </w:p>
        </w:tc>
        <w:tc>
          <w:tcPr>
            <w:tcW w:type="dxa" w:w="3685"/>
          </w:tcPr>
          <w:p>
            <w:pPr>
              <w:spacing w:after="40"/>
            </w:pPr>
            <w:r/>
            <w:r>
              <w:rPr>
                <w:sz w:val="18"/>
              </w:rPr>
              <w:t>Message affiché sous le champ</w:t>
            </w:r>
          </w:p>
        </w:tc>
      </w:tr>
      <w:tr>
        <w:tc>
          <w:tcPr>
            <w:tcW w:type="dxa" w:w="2041"/>
          </w:tcPr>
          <w:p>
            <w:pPr>
              <w:spacing w:after="40"/>
            </w:pPr>
            <w:r/>
            <w:r>
              <w:rPr>
                <w:sz w:val="18"/>
              </w:rPr>
              <w:t>Valeur hors liste</w:t>
            </w:r>
          </w:p>
        </w:tc>
        <w:tc>
          <w:tcPr>
            <w:tcW w:type="dxa" w:w="737"/>
          </w:tcPr>
          <w:p>
            <w:pPr>
              <w:spacing w:after="40"/>
            </w:pPr>
            <w:r/>
            <w:r>
              <w:rPr>
                <w:sz w:val="18"/>
              </w:rPr>
              <w:t>400</w:t>
            </w:r>
          </w:p>
        </w:tc>
        <w:tc>
          <w:tcPr>
            <w:tcW w:type="dxa" w:w="3175"/>
          </w:tcPr>
          <w:p>
            <w:pPr>
              <w:spacing w:after="40"/>
            </w:pPr>
            <w:r/>
            <w:r>
              <w:rPr>
                <w:sz w:val="18"/>
              </w:rPr>
              <w:t>« valeur » ne fait pas partie des valeurs de « X ».</w:t>
            </w:r>
          </w:p>
        </w:tc>
        <w:tc>
          <w:tcPr>
            <w:tcW w:type="dxa" w:w="3685"/>
          </w:tcPr>
          <w:p>
            <w:pPr>
              <w:spacing w:after="40"/>
            </w:pPr>
            <w:r/>
            <w:r>
              <w:rPr>
                <w:sz w:val="18"/>
              </w:rPr>
              <w:t>Message affiché sous le champ</w:t>
            </w:r>
          </w:p>
        </w:tc>
      </w:tr>
      <w:tr>
        <w:tc>
          <w:tcPr>
            <w:tcW w:type="dxa" w:w="2041"/>
          </w:tcPr>
          <w:p>
            <w:pPr>
              <w:spacing w:after="40"/>
            </w:pPr>
            <w:r/>
            <w:r>
              <w:rPr>
                <w:sz w:val="18"/>
              </w:rPr>
              <w:t>Index obligatoire non renseigné</w:t>
            </w:r>
          </w:p>
        </w:tc>
        <w:tc>
          <w:tcPr>
            <w:tcW w:type="dxa" w:w="737"/>
          </w:tcPr>
          <w:p>
            <w:pPr>
              <w:spacing w:after="40"/>
            </w:pPr>
            <w:r/>
            <w:r>
              <w:rPr>
                <w:sz w:val="18"/>
              </w:rPr>
              <w:t>400</w:t>
            </w:r>
          </w:p>
        </w:tc>
        <w:tc>
          <w:tcPr>
            <w:tcW w:type="dxa" w:w="3175"/>
          </w:tcPr>
          <w:p>
            <w:pPr>
              <w:spacing w:after="40"/>
            </w:pPr>
            <w:r/>
            <w:r>
              <w:rPr>
                <w:sz w:val="18"/>
              </w:rPr>
              <w:t>L'index « X » est obligatoire.</w:t>
            </w:r>
          </w:p>
        </w:tc>
        <w:tc>
          <w:tcPr>
            <w:tcW w:type="dxa" w:w="3685"/>
          </w:tcPr>
          <w:p>
            <w:pPr>
              <w:spacing w:after="40"/>
            </w:pPr>
            <w:r/>
            <w:r>
              <w:rPr>
                <w:sz w:val="18"/>
              </w:rPr>
              <w:t>Message affiché ; l'écran bloque normalement la validation en amont</w:t>
            </w:r>
          </w:p>
        </w:tc>
      </w:tr>
      <w:tr>
        <w:tc>
          <w:tcPr>
            <w:tcW w:type="dxa" w:w="2041"/>
          </w:tcPr>
          <w:p>
            <w:pPr>
              <w:spacing w:after="40"/>
            </w:pPr>
            <w:r/>
            <w:r>
              <w:rPr>
                <w:sz w:val="18"/>
              </w:rPr>
              <w:t>Nom composé trop long</w:t>
            </w:r>
          </w:p>
        </w:tc>
        <w:tc>
          <w:tcPr>
            <w:tcW w:type="dxa" w:w="737"/>
          </w:tcPr>
          <w:p>
            <w:pPr>
              <w:spacing w:after="40"/>
            </w:pPr>
            <w:r/>
            <w:r>
              <w:rPr>
                <w:sz w:val="18"/>
              </w:rPr>
              <w:t>400</w:t>
            </w:r>
          </w:p>
        </w:tc>
        <w:tc>
          <w:tcPr>
            <w:tcW w:type="dxa" w:w="3175"/>
          </w:tcPr>
          <w:p>
            <w:pPr>
              <w:spacing w:after="40"/>
            </w:pPr>
            <w:r/>
            <w:r>
              <w:rPr>
                <w:sz w:val="18"/>
              </w:rPr>
              <w:t>Le champ « nom composé du document » ne peut pas dépasser 255 caractères (reçu : N).</w:t>
            </w:r>
          </w:p>
        </w:tc>
        <w:tc>
          <w:tcPr>
            <w:tcW w:type="dxa" w:w="3685"/>
          </w:tcPr>
          <w:p>
            <w:pPr>
              <w:spacing w:after="40"/>
            </w:pPr>
            <w:r/>
            <w:r>
              <w:rPr>
                <w:sz w:val="18"/>
              </w:rPr>
              <w:t>Message affiché</w:t>
            </w:r>
          </w:p>
        </w:tc>
      </w:tr>
      <w:tr>
        <w:tc>
          <w:tcPr>
            <w:tcW w:type="dxa" w:w="2041"/>
          </w:tcPr>
          <w:p>
            <w:pPr>
              <w:spacing w:after="40"/>
            </w:pPr>
            <w:r/>
            <w:r>
              <w:rPr>
                <w:sz w:val="18"/>
              </w:rPr>
              <w:t>Corps sans liste de valeurs</w:t>
            </w:r>
          </w:p>
        </w:tc>
        <w:tc>
          <w:tcPr>
            <w:tcW w:type="dxa" w:w="737"/>
          </w:tcPr>
          <w:p>
            <w:pPr>
              <w:spacing w:after="40"/>
            </w:pPr>
            <w:r/>
            <w:r>
              <w:rPr>
                <w:sz w:val="18"/>
              </w:rPr>
              <w:t>400</w:t>
            </w:r>
          </w:p>
        </w:tc>
        <w:tc>
          <w:tcPr>
            <w:tcW w:type="dxa" w:w="3175"/>
          </w:tcPr>
          <w:p>
            <w:pPr>
              <w:spacing w:after="40"/>
            </w:pPr>
            <w:r/>
            <w:r>
              <w:rPr>
                <w:sz w:val="18"/>
              </w:rPr>
              <w:t>Données invalides, accompagné du détail champ par champ</w:t>
            </w:r>
          </w:p>
        </w:tc>
        <w:tc>
          <w:tcPr>
            <w:tcW w:type="dxa" w:w="3685"/>
          </w:tcPr>
          <w:p>
            <w:pPr>
              <w:spacing w:after="40"/>
            </w:pPr>
            <w:r/>
            <w:r>
              <w:rPr>
                <w:sz w:val="18"/>
              </w:rPr>
              <w:t>Message générique ; ne devrait pas survenir depuis l'écran</w:t>
            </w:r>
          </w:p>
        </w:tc>
      </w:tr>
      <w:tr>
        <w:tc>
          <w:tcPr>
            <w:tcW w:type="dxa" w:w="2041"/>
          </w:tcPr>
          <w:p>
            <w:pPr>
              <w:spacing w:after="40"/>
            </w:pPr>
            <w:r/>
            <w:r>
              <w:rPr>
                <w:sz w:val="18"/>
              </w:rPr>
              <w:t>Échec d'écriture des index après un dépôt réussi</w:t>
            </w:r>
          </w:p>
        </w:tc>
        <w:tc>
          <w:tcPr>
            <w:tcW w:type="dxa" w:w="737"/>
          </w:tcPr>
          <w:p>
            <w:pPr>
              <w:spacing w:after="40"/>
            </w:pPr>
            <w:r/>
            <w:r>
              <w:rPr>
                <w:sz w:val="18"/>
              </w:rPr>
              <w:t>400</w:t>
            </w:r>
          </w:p>
        </w:tc>
        <w:tc>
          <w:tcPr>
            <w:tcW w:type="dxa" w:w="3175"/>
          </w:tcPr>
          <w:p>
            <w:pPr>
              <w:spacing w:after="40"/>
            </w:pPr>
            <w:r/>
            <w:r>
              <w:rPr>
                <w:sz w:val="18"/>
              </w:rPr>
              <w:t>Le message serveur</w:t>
            </w:r>
          </w:p>
        </w:tc>
        <w:tc>
          <w:tcPr>
            <w:tcW w:type="dxa" w:w="3685"/>
          </w:tcPr>
          <w:p>
            <w:pPr>
              <w:spacing w:after="40"/>
            </w:pPr>
            <w:r/>
            <w:r>
              <w:rPr>
                <w:sz w:val="18"/>
              </w:rPr>
              <w:t>« Le document est déposé, mais l'enregistrement des index a été refusé. » Deux issues sont laissées : réessayer, ou fermer et reprendre depuis la fiche.</w:t>
            </w:r>
          </w:p>
        </w:tc>
      </w:tr>
      <w:tr>
        <w:tc>
          <w:tcPr>
            <w:tcW w:type="dxa" w:w="2041"/>
          </w:tcPr>
          <w:p>
            <w:pPr>
              <w:spacing w:after="40"/>
            </w:pPr>
            <w:r/>
            <w:r>
              <w:rPr>
                <w:sz w:val="18"/>
              </w:rPr>
              <w:t>Lecture du contenu impossible avant dépôt</w:t>
            </w:r>
          </w:p>
        </w:tc>
        <w:tc>
          <w:tcPr>
            <w:tcW w:type="dxa" w:w="737"/>
          </w:tcPr>
          <w:p>
            <w:pPr>
              <w:spacing w:after="40"/>
            </w:pPr>
            <w:r/>
            <w:r>
              <w:rPr>
                <w:sz w:val="18"/>
              </w:rPr>
              <w:t>200</w:t>
            </w:r>
          </w:p>
        </w:tc>
        <w:tc>
          <w:tcPr>
            <w:tcW w:type="dxa" w:w="3175"/>
          </w:tcPr>
          <w:p>
            <w:pPr>
              <w:spacing w:after="40"/>
            </w:pPr>
            <w:r/>
            <w:r>
              <w:rPr>
                <w:sz w:val="18"/>
              </w:rPr>
              <w:t>Aucune erreur</w:t>
            </w:r>
          </w:p>
        </w:tc>
        <w:tc>
          <w:tcPr>
            <w:tcW w:type="dxa" w:w="3685"/>
          </w:tcPr>
          <w:p>
            <w:pPr>
              <w:spacing w:after="40"/>
            </w:pPr>
            <w:r/>
            <w:r>
              <w:rPr>
                <w:sz w:val="18"/>
              </w:rPr>
              <w:t>La réponse porte une provenance « aucune » et le motif « Lecture du contenu impossible avant dépôt. » ; les champs restent à saisir</w:t>
            </w:r>
          </w:p>
        </w:tc>
      </w:tr>
      <w:tr>
        <w:tc>
          <w:tcPr>
            <w:tcW w:type="dxa" w:w="2041"/>
          </w:tcPr>
          <w:p>
            <w:pPr>
              <w:spacing w:after="40"/>
            </w:pPr>
            <w:r/>
            <w:r>
              <w:rPr>
                <w:sz w:val="18"/>
              </w:rPr>
              <w:t>Aucun extracteur pour ce format</w:t>
            </w:r>
          </w:p>
        </w:tc>
        <w:tc>
          <w:tcPr>
            <w:tcW w:type="dxa" w:w="737"/>
          </w:tcPr>
          <w:p>
            <w:pPr>
              <w:spacing w:after="40"/>
            </w:pPr>
            <w:r/>
            <w:r>
              <w:rPr>
                <w:sz w:val="18"/>
              </w:rPr>
              <w:t>200</w:t>
            </w:r>
          </w:p>
        </w:tc>
        <w:tc>
          <w:tcPr>
            <w:tcW w:type="dxa" w:w="3175"/>
          </w:tcPr>
          <w:p>
            <w:pPr>
              <w:spacing w:after="40"/>
            </w:pPr>
            <w:r/>
            <w:r>
              <w:rPr>
                <w:sz w:val="18"/>
              </w:rPr>
              <w:t>Aucune erreur</w:t>
            </w:r>
          </w:p>
        </w:tc>
        <w:tc>
          <w:tcPr>
            <w:tcW w:type="dxa" w:w="3685"/>
          </w:tcPr>
          <w:p>
            <w:pPr>
              <w:spacing w:after="40"/>
            </w:pPr>
            <w:r/>
            <w:r>
              <w:rPr>
                <w:sz w:val="18"/>
              </w:rPr>
              <w:t>La réponse porte « Aucun extracteur ne sait traiter le format « X ». »</w:t>
            </w:r>
          </w:p>
        </w:tc>
      </w:tr>
      <w:tr>
        <w:tc>
          <w:tcPr>
            <w:tcW w:type="dxa" w:w="2041"/>
          </w:tcPr>
          <w:p>
            <w:pPr>
              <w:spacing w:after="40"/>
            </w:pPr>
            <w:r/>
            <w:r>
              <w:rPr>
                <w:sz w:val="18"/>
              </w:rPr>
              <w:t>Moteur de reconnaissance absent</w:t>
            </w:r>
          </w:p>
        </w:tc>
        <w:tc>
          <w:tcPr>
            <w:tcW w:type="dxa" w:w="737"/>
          </w:tcPr>
          <w:p>
            <w:pPr>
              <w:spacing w:after="40"/>
            </w:pPr>
            <w:r/>
            <w:r>
              <w:rPr>
                <w:sz w:val="18"/>
              </w:rPr>
              <w:t>200</w:t>
            </w:r>
          </w:p>
        </w:tc>
        <w:tc>
          <w:tcPr>
            <w:tcW w:type="dxa" w:w="3175"/>
          </w:tcPr>
          <w:p>
            <w:pPr>
              <w:spacing w:after="40"/>
            </w:pPr>
            <w:r/>
            <w:r>
              <w:rPr>
                <w:sz w:val="18"/>
              </w:rPr>
              <w:t>Aucune erreur</w:t>
            </w:r>
          </w:p>
        </w:tc>
        <w:tc>
          <w:tcPr>
            <w:tcW w:type="dxa" w:w="3685"/>
          </w:tcPr>
          <w:p>
            <w:pPr>
              <w:spacing w:after="40"/>
            </w:pPr>
            <w:r/>
            <w:r>
              <w:rPr>
                <w:sz w:val="18"/>
              </w:rPr>
              <w:t>La réponse porte « Tesseract n'est pas installé sur ce serveur (commande « X » introuvable). » ; l'analyse se rabat sur le nom du fichier</w:t>
            </w:r>
          </w:p>
        </w:tc>
      </w:tr>
      <w:tr>
        <w:tc>
          <w:tcPr>
            <w:tcW w:type="dxa" w:w="2041"/>
          </w:tcPr>
          <w:p>
            <w:pPr>
              <w:spacing w:after="40"/>
            </w:pPr>
            <w:r/>
            <w:r>
              <w:rPr>
                <w:sz w:val="18"/>
              </w:rPr>
              <w:t>Lecture désactivée par configuration</w:t>
            </w:r>
          </w:p>
        </w:tc>
        <w:tc>
          <w:tcPr>
            <w:tcW w:type="dxa" w:w="737"/>
          </w:tcPr>
          <w:p>
            <w:pPr>
              <w:spacing w:after="40"/>
            </w:pPr>
            <w:r/>
            <w:r>
              <w:rPr>
                <w:sz w:val="18"/>
              </w:rPr>
              <w:t>200</w:t>
            </w:r>
          </w:p>
        </w:tc>
        <w:tc>
          <w:tcPr>
            <w:tcW w:type="dxa" w:w="3175"/>
          </w:tcPr>
          <w:p>
            <w:pPr>
              <w:spacing w:after="40"/>
            </w:pPr>
            <w:r/>
            <w:r>
              <w:rPr>
                <w:sz w:val="18"/>
              </w:rPr>
              <w:t>Aucune erreur</w:t>
            </w:r>
          </w:p>
        </w:tc>
        <w:tc>
          <w:tcPr>
            <w:tcW w:type="dxa" w:w="3685"/>
          </w:tcPr>
          <w:p>
            <w:pPr>
              <w:spacing w:after="40"/>
            </w:pPr>
            <w:r/>
            <w:r>
              <w:rPr>
                <w:sz w:val="18"/>
              </w:rPr>
              <w:t>L'interrupteur d'indexation automatique est présenté désactivé avec son motif</w:t>
            </w:r>
          </w:p>
        </w:tc>
      </w:tr>
    </w:tbl>
    <w:p>
      <w:pPr>
        <w:spacing w:after="40"/>
      </w:pPr>
    </w:p>
    <w:p>
      <w:r>
        <w:rPr>
          <w:i w:val="0"/>
        </w:rPr>
        <w:t>Une observation d'ensemble mérite d'être soulignée : l'échec de lecture du contenu n'est jamais une erreur HTTP. Il est toujours rendu comme une réponse valide portant une provenance « aucune » et un motif lisible. C'est un choix délibéré — un aperçu qui échoue ne doit pas empêcher le dépôt, les champs pouvant être saisis à la main ou proposés plus tard, une fois le document sur le serveur.</w:t>
      </w:r>
    </w:p>
    <w:p>
      <w:r>
        <w:br w:type="page"/>
      </w:r>
    </w:p>
    <w:p>
      <w:pPr>
        <w:pStyle w:val="Heading1"/>
        <w:spacing w:before="360" w:after="160"/>
      </w:pPr>
      <w:r>
        <w:t>7. Ce qui est écrit, et dans quel ordre</w:t>
      </w:r>
    </w:p>
    <w:p>
      <w:pPr>
        <w:pStyle w:val="Heading2"/>
        <w:spacing w:before="280" w:after="120"/>
      </w:pPr>
      <w:r>
        <w:t>7.1 Vue d'ensemble du parcours de dépôt</w:t>
      </w:r>
    </w:p>
    <w:p>
      <w:pPr>
        <w:spacing w:after="0" w:before="0" w:line="240" w:lineRule="auto"/>
      </w:pPr>
      <w:r>
        <w:rPr>
          <w:rFonts w:ascii="Consolas" w:hAnsi="Consolas" w:cs="Consolas" w:eastAsia="Consolas"/>
          <w:sz w:val="18"/>
        </w:rPr>
        <w:t xml:space="preserve">   ECRAN                          SERVEUR                        ECRITURES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choix du type      -----&gt;  champs du plan du type        aucune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choix du fichier   -----&gt;  POST /indexation/apercu       aucune</w:t>
      </w:r>
    </w:p>
    <w:p>
      <w:pPr>
        <w:spacing w:after="0" w:before="0" w:line="240" w:lineRule="auto"/>
      </w:pPr>
      <w:r>
        <w:rPr>
          <w:rFonts w:ascii="Consolas" w:hAnsi="Consolas" w:cs="Consolas" w:eastAsia="Consolas"/>
          <w:sz w:val="18"/>
        </w:rPr>
        <w:t xml:space="preserve">                              controle format + taille      (temporaire cree</w:t>
      </w:r>
    </w:p>
    <w:p>
      <w:pPr>
        <w:spacing w:after="0" w:before="0" w:line="240" w:lineRule="auto"/>
      </w:pPr>
      <w:r>
        <w:rPr>
          <w:rFonts w:ascii="Consolas" w:hAnsi="Consolas" w:cs="Consolas" w:eastAsia="Consolas"/>
          <w:sz w:val="18"/>
        </w:rPr>
        <w:t xml:space="preserve">                              decoupage du nom               puis supprime)</w:t>
      </w:r>
    </w:p>
    <w:p>
      <w:pPr>
        <w:spacing w:after="0" w:before="0" w:line="240" w:lineRule="auto"/>
      </w:pPr>
      <w:r>
        <w:rPr>
          <w:rFonts w:ascii="Consolas" w:hAnsi="Consolas" w:cs="Consolas" w:eastAsia="Consolas"/>
          <w:sz w:val="18"/>
        </w:rPr>
        <w:t xml:space="preserve">                              lecture du contenu si besoin</w:t>
      </w:r>
    </w:p>
    <w:p>
      <w:pPr>
        <w:spacing w:after="0" w:before="0" w:line="240" w:lineRule="auto"/>
      </w:pPr>
      <w:r>
        <w:rPr>
          <w:rFonts w:ascii="Consolas" w:hAnsi="Consolas" w:cs="Consolas" w:eastAsia="Consolas"/>
          <w:sz w:val="18"/>
        </w:rPr>
        <w:t xml:space="preserve">                              composition du nom propose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ajustements                aucun appel                   aucune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 Televerser »     -----&gt;  POST /documents               FICHIER SUR DISQUE</w:t>
      </w:r>
    </w:p>
    <w:p>
      <w:pPr>
        <w:spacing w:after="0" w:before="0" w:line="240" w:lineRule="auto"/>
      </w:pPr>
      <w:r>
        <w:rPr>
          <w:rFonts w:ascii="Consolas" w:hAnsi="Consolas" w:cs="Consolas" w:eastAsia="Consolas"/>
          <w:sz w:val="18"/>
        </w:rPr>
        <w:t xml:space="preserve">                              (rapport 10)                  FICHE DOCUMENT</w:t>
      </w:r>
    </w:p>
    <w:p>
      <w:pPr>
        <w:spacing w:after="0" w:before="0" w:line="240" w:lineRule="auto"/>
      </w:pPr>
      <w:r>
        <w:rPr>
          <w:rFonts w:ascii="Consolas" w:hAnsi="Consolas" w:cs="Consolas" w:eastAsia="Consolas"/>
          <w:sz w:val="18"/>
        </w:rPr>
        <w:t xml:space="preserve">                                                            VERSION INITIALE</w:t>
      </w:r>
    </w:p>
    <w:p>
      <w:pPr>
        <w:spacing w:after="0" w:before="0" w:line="240" w:lineRule="auto"/>
      </w:pPr>
      <w:r>
        <w:rPr>
          <w:rFonts w:ascii="Consolas" w:hAnsi="Consolas" w:cs="Consolas" w:eastAsia="Consolas"/>
          <w:sz w:val="18"/>
        </w:rPr>
        <w:t xml:space="preserve">                                                            ETAPES DE SIGNATURE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+---------------&gt;     PUT /indexation/documents/{id}  VALEURS D'INDEX</w:t>
      </w:r>
    </w:p>
    <w:p>
      <w:pPr>
        <w:spacing w:after="0" w:before="0" w:line="240" w:lineRule="auto"/>
      </w:pPr>
      <w:r>
        <w:rPr>
          <w:rFonts w:ascii="Consolas" w:hAnsi="Consolas" w:cs="Consolas" w:eastAsia="Consolas"/>
          <w:sz w:val="18"/>
        </w:rPr>
        <w:t xml:space="preserve">                              controles, ecriture,           REFERENCE</w:t>
      </w:r>
    </w:p>
    <w:p>
      <w:pPr>
        <w:spacing w:after="0" w:before="0" w:line="240" w:lineRule="auto"/>
      </w:pPr>
      <w:r>
        <w:rPr>
          <w:rFonts w:ascii="Consolas" w:hAnsi="Consolas" w:cs="Consolas" w:eastAsia="Consolas"/>
          <w:sz w:val="18"/>
        </w:rPr>
        <w:t xml:space="preserve">                              recomposition du nom           NOM DU DOCUMENT</w:t>
      </w:r>
    </w:p>
    <w:p>
      <w:pPr>
        <w:spacing w:after="80"/>
      </w:pPr>
    </w:p>
    <w:p>
      <w:r>
        <w:rPr>
          <w:i w:val="0"/>
        </w:rPr>
        <w:t>Entre les deux requêtes d'écriture, l'écran fige le contexte : le type de document n'est plus modifiable une fois le document créé. Sans ce gel, un dépôt dont l'indexation a échoué laissait tout modifiable — on changeait de type, les champs devenaient ceux d'un autre plan, et une nouvelle tentative écrivait ces index-là sur un document qui n'en relevait pas, ses propres index obligatoires n'ayant jamais été vérifiés. Le serveur l'acceptait, puisque le type de la fiche avait effectivement changé.</w:t>
      </w:r>
    </w:p>
    <w:p>
      <w:pPr>
        <w:pStyle w:val="Heading2"/>
        <w:spacing w:before="280" w:after="120"/>
      </w:pPr>
      <w:r>
        <w:t>7.2 L'aperçu : la lecture sans écriture</w:t>
      </w:r>
    </w:p>
    <w:p>
      <w:pPr>
        <w:spacing w:after="0" w:before="0" w:line="240" w:lineRule="auto"/>
      </w:pPr>
      <w:r>
        <w:rPr>
          <w:rFonts w:ascii="Consolas" w:hAnsi="Consolas" w:cs="Consolas" w:eastAsia="Consolas"/>
          <w:sz w:val="18"/>
        </w:rPr>
        <w:t xml:space="preserve">  1  Chargement du type                              -&gt; inconnu : 404</w:t>
      </w:r>
    </w:p>
    <w:p>
      <w:pPr>
        <w:spacing w:after="0" w:before="0" w:line="240" w:lineRule="auto"/>
      </w:pPr>
      <w:r>
        <w:rPr>
          <w:rFonts w:ascii="Consolas" w:hAnsi="Consolas" w:cs="Consolas" w:eastAsia="Consolas"/>
          <w:sz w:val="18"/>
        </w:rPr>
        <w:t xml:space="preserve">  2  Type vivant ? format autorise ? taille tenue ?  -&gt; refus : 400</w:t>
      </w:r>
    </w:p>
    <w:p>
      <w:pPr>
        <w:spacing w:after="0" w:before="0" w:line="240" w:lineRule="auto"/>
      </w:pPr>
      <w:r>
        <w:rPr>
          <w:rFonts w:ascii="Consolas" w:hAnsi="Consolas" w:cs="Consolas" w:eastAsia="Consolas"/>
          <w:sz w:val="18"/>
        </w:rPr>
        <w:t xml:space="preserve">  3  Le type porte-t-il un plan, et le plan des index vivants ?</w:t>
      </w:r>
    </w:p>
    <w:p>
      <w:pPr>
        <w:spacing w:after="0" w:before="0" w:line="240" w:lineRule="auto"/>
      </w:pPr>
      <w:r>
        <w:rPr>
          <w:rFonts w:ascii="Consolas" w:hAnsi="Consolas" w:cs="Consolas" w:eastAsia="Consolas"/>
          <w:sz w:val="18"/>
        </w:rPr>
        <w:t xml:space="preserve">     non -&gt; reponse « sans plan », separateur « _ », zero champ, FIN</w:t>
      </w:r>
    </w:p>
    <w:p>
      <w:pPr>
        <w:spacing w:after="0" w:before="0" w:line="240" w:lineRule="auto"/>
      </w:pPr>
      <w:r>
        <w:rPr>
          <w:rFonts w:ascii="Consolas" w:hAnsi="Consolas" w:cs="Consolas" w:eastAsia="Consolas"/>
          <w:sz w:val="18"/>
        </w:rPr>
        <w:t xml:space="preserve">  4  Determination du separateur (celui du plan, « _ » a defaut)</w:t>
      </w:r>
    </w:p>
    <w:p>
      <w:pPr>
        <w:spacing w:after="0" w:before="0" w:line="240" w:lineRule="auto"/>
      </w:pPr>
      <w:r>
        <w:rPr>
          <w:rFonts w:ascii="Consolas" w:hAnsi="Consolas" w:cs="Consolas" w:eastAsia="Consolas"/>
          <w:sz w:val="18"/>
        </w:rPr>
        <w:t xml:space="preserve">  5  Decoupage du nom de fichier en segments</w:t>
      </w:r>
    </w:p>
    <w:p>
      <w:pPr>
        <w:spacing w:after="0" w:before="0" w:line="240" w:lineRule="auto"/>
      </w:pPr>
      <w:r>
        <w:rPr>
          <w:rFonts w:ascii="Consolas" w:hAnsi="Consolas" w:cs="Consolas" w:eastAsia="Consolas"/>
          <w:sz w:val="18"/>
        </w:rPr>
        <w:t xml:space="preserve">  6  Le nom suffit-il a remplir tous les champs ?</w:t>
      </w:r>
    </w:p>
    <w:p>
      <w:pPr>
        <w:spacing w:after="0" w:before="0" w:line="240" w:lineRule="auto"/>
      </w:pPr>
      <w:r>
        <w:rPr>
          <w:rFonts w:ascii="Consolas" w:hAnsi="Consolas" w:cs="Consolas" w:eastAsia="Consolas"/>
          <w:sz w:val="18"/>
        </w:rPr>
        <w:t xml:space="preserve">     oui -&gt; le contenu n'est PAS sollicite</w:t>
      </w:r>
    </w:p>
    <w:p>
      <w:pPr>
        <w:spacing w:after="0" w:before="0" w:line="240" w:lineRule="auto"/>
      </w:pPr>
      <w:r>
        <w:rPr>
          <w:rFonts w:ascii="Consolas" w:hAnsi="Consolas" w:cs="Consolas" w:eastAsia="Consolas"/>
          <w:sz w:val="18"/>
        </w:rPr>
        <w:t xml:space="preserve">     non -&gt; copie du fichier dans un temporaire, lecture, suppression</w:t>
      </w:r>
    </w:p>
    <w:p>
      <w:pPr>
        <w:spacing w:after="0" w:before="0" w:line="240" w:lineRule="auto"/>
      </w:pPr>
      <w:r>
        <w:rPr>
          <w:rFonts w:ascii="Consolas" w:hAnsi="Consolas" w:cs="Consolas" w:eastAsia="Consolas"/>
          <w:sz w:val="18"/>
        </w:rPr>
        <w:t xml:space="preserve">  7  Pour chaque index du plan, dans l'ordre :</w:t>
      </w:r>
    </w:p>
    <w:p>
      <w:pPr>
        <w:spacing w:after="0" w:before="0" w:line="240" w:lineRule="auto"/>
      </w:pPr>
      <w:r>
        <w:rPr>
          <w:rFonts w:ascii="Consolas" w:hAnsi="Consolas" w:cs="Consolas" w:eastAsia="Consolas"/>
          <w:sz w:val="18"/>
        </w:rPr>
        <w:t xml:space="preserve">       a. segment correspondant, date normalisee si l'index est une date</w:t>
      </w:r>
    </w:p>
    <w:p>
      <w:pPr>
        <w:spacing w:after="0" w:before="0" w:line="240" w:lineRule="auto"/>
      </w:pPr>
      <w:r>
        <w:rPr>
          <w:rFonts w:ascii="Consolas" w:hAnsi="Consolas" w:cs="Consolas" w:eastAsia="Consolas"/>
          <w:sz w:val="18"/>
        </w:rPr>
        <w:t xml:space="preserve">       b. controle de type -&gt; retenu, ou motif de rejet conserve</w:t>
      </w:r>
    </w:p>
    <w:p>
      <w:pPr>
        <w:spacing w:after="0" w:before="0" w:line="240" w:lineRule="auto"/>
      </w:pPr>
      <w:r>
        <w:rPr>
          <w:rFonts w:ascii="Consolas" w:hAnsi="Consolas" w:cs="Consolas" w:eastAsia="Consolas"/>
          <w:sz w:val="18"/>
        </w:rPr>
        <w:t xml:space="preserve">       c. si rien n'est retenu et que le texte est exploitable :</w:t>
      </w:r>
    </w:p>
    <w:p>
      <w:pPr>
        <w:spacing w:after="0" w:before="0" w:line="240" w:lineRule="auto"/>
      </w:pPr>
      <w:r>
        <w:rPr>
          <w:rFonts w:ascii="Consolas" w:hAnsi="Consolas" w:cs="Consolas" w:eastAsia="Consolas"/>
          <w:sz w:val="18"/>
        </w:rPr>
        <w:t xml:space="preserve">          deduction depuis le contenu, puis MEME controle de type</w:t>
      </w:r>
    </w:p>
    <w:p>
      <w:pPr>
        <w:spacing w:after="0" w:before="0" w:line="240" w:lineRule="auto"/>
      </w:pPr>
      <w:r>
        <w:rPr>
          <w:rFonts w:ascii="Consolas" w:hAnsi="Consolas" w:cs="Consolas" w:eastAsia="Consolas"/>
          <w:sz w:val="18"/>
        </w:rPr>
        <w:t xml:space="preserve">       d. proposition : valeur, provenance, reconnue ou motif</w:t>
      </w:r>
    </w:p>
    <w:p>
      <w:pPr>
        <w:spacing w:after="0" w:before="0" w:line="240" w:lineRule="auto"/>
      </w:pPr>
      <w:r>
        <w:rPr>
          <w:rFonts w:ascii="Consolas" w:hAnsi="Consolas" w:cs="Consolas" w:eastAsia="Consolas"/>
          <w:sz w:val="18"/>
        </w:rPr>
        <w:t xml:space="preserve">  8  Comptage des champs reconnus sur attendus</w:t>
      </w:r>
    </w:p>
    <w:p>
      <w:pPr>
        <w:spacing w:after="0" w:before="0" w:line="240" w:lineRule="auto"/>
      </w:pPr>
      <w:r>
        <w:rPr>
          <w:rFonts w:ascii="Consolas" w:hAnsi="Consolas" w:cs="Consolas" w:eastAsia="Consolas"/>
          <w:sz w:val="18"/>
        </w:rPr>
        <w:t xml:space="preserve">  9  Composition du nom propose, seulement si la charte est automatique</w:t>
      </w:r>
    </w:p>
    <w:p>
      <w:pPr>
        <w:spacing w:after="0" w:before="0" w:line="240" w:lineRule="auto"/>
      </w:pPr>
      <w:r>
        <w:rPr>
          <w:rFonts w:ascii="Consolas" w:hAnsi="Consolas" w:cs="Consolas" w:eastAsia="Consolas"/>
          <w:sz w:val="18"/>
        </w:rPr>
        <w:t xml:space="preserve"> 10  Calcul de l'avertissement de lecture</w:t>
      </w:r>
    </w:p>
    <w:p>
      <w:pPr>
        <w:spacing w:after="0" w:before="0" w:line="240" w:lineRule="auto"/>
      </w:pPr>
      <w:r>
        <w:rPr>
          <w:rFonts w:ascii="Consolas" w:hAnsi="Consolas" w:cs="Consolas" w:eastAsia="Consolas"/>
          <w:sz w:val="18"/>
        </w:rPr>
        <w:t xml:space="preserve"> 11  Reponse. AUCUNE ECRITURE EN BASE.</w:t>
      </w:r>
    </w:p>
    <w:p>
      <w:pPr>
        <w:spacing w:after="80"/>
      </w:pPr>
    </w:p>
    <w:p>
      <w:r>
        <w:rPr>
          <w:i w:val="0"/>
        </w:rPr>
        <w:t>L'étape 6 est le point de coût de cet écran. Le fichier n'est ouvert que si le nom ne suffit pas ; et lorsqu'il l'est, il est d'abord recopié dans un fichier temporaire. Cette copie n'est pas un détour gratuit : les extracteurs travaillent sur un chemin, un flux de requête ne se relit pas, et plusieurs extracteurs peuvent être essayés à la suite. Le temporaire est supprimé dans tous les cas, y compris en cas d'échec.</w:t>
      </w:r>
    </w:p>
    <w:p>
      <w:pPr>
        <w:pStyle w:val="Heading2"/>
        <w:spacing w:before="280" w:after="120"/>
      </w:pPr>
      <w:r>
        <w:t>7.3 L'écriture des valeurs d'index</w:t>
      </w:r>
    </w:p>
    <w:p>
      <w:pPr>
        <w:spacing w:after="0" w:before="0" w:line="240" w:lineRule="auto"/>
      </w:pPr>
      <w:r>
        <w:rPr>
          <w:rFonts w:ascii="Consolas" w:hAnsi="Consolas" w:cs="Consolas" w:eastAsia="Consolas"/>
          <w:sz w:val="18"/>
        </w:rPr>
        <w:t xml:space="preserve">  1  Chargement du document                          -&gt; inconnu : 404</w:t>
      </w:r>
    </w:p>
    <w:p>
      <w:pPr>
        <w:spacing w:after="0" w:before="0" w:line="240" w:lineRule="auto"/>
      </w:pPr>
      <w:r>
        <w:rPr>
          <w:rFonts w:ascii="Consolas" w:hAnsi="Consolas" w:cs="Consolas" w:eastAsia="Consolas"/>
          <w:sz w:val="18"/>
        </w:rPr>
        <w:t xml:space="preserve">  2  Document en corbeille ?                         -&gt; oui : 400</w:t>
      </w:r>
    </w:p>
    <w:p>
      <w:pPr>
        <w:spacing w:after="0" w:before="0" w:line="240" w:lineRule="auto"/>
      </w:pPr>
      <w:r>
        <w:rPr>
          <w:rFonts w:ascii="Consolas" w:hAnsi="Consolas" w:cs="Consolas" w:eastAsia="Consolas"/>
          <w:sz w:val="18"/>
        </w:rPr>
        <w:t xml:space="preserve">  3  Document verrouille ?                           -&gt; oui : 400</w:t>
      </w:r>
    </w:p>
    <w:p>
      <w:pPr>
        <w:spacing w:after="0" w:before="0" w:line="240" w:lineRule="auto"/>
      </w:pPr>
      <w:r>
        <w:rPr>
          <w:rFonts w:ascii="Consolas" w:hAnsi="Consolas" w:cs="Consolas" w:eastAsia="Consolas"/>
          <w:sz w:val="18"/>
        </w:rPr>
        <w:t xml:space="preserve">  4  Constitution de la liste des index du plan (corbeille exclue)</w:t>
      </w:r>
    </w:p>
    <w:p>
      <w:pPr>
        <w:spacing w:after="0" w:before="0" w:line="240" w:lineRule="auto"/>
      </w:pPr>
      <w:r>
        <w:rPr>
          <w:rFonts w:ascii="Consolas" w:hAnsi="Consolas" w:cs="Consolas" w:eastAsia="Consolas"/>
          <w:sz w:val="18"/>
        </w:rPr>
        <w:t xml:space="preserve">     et de la table des valeurs deja enregistrees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PREMIERE PASSE : ON VALIDE TOUT, ON N'ECRIT RIEN</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5  Pour chaque ligne recue :</w:t>
      </w:r>
    </w:p>
    <w:p>
      <w:pPr>
        <w:spacing w:after="0" w:before="0" w:line="240" w:lineRule="auto"/>
      </w:pPr>
      <w:r>
        <w:rPr>
          <w:rFonts w:ascii="Consolas" w:hAnsi="Consolas" w:cs="Consolas" w:eastAsia="Consolas"/>
          <w:sz w:val="18"/>
        </w:rPr>
        <w:t xml:space="preserve">       a. l'index appartient-il au plan ?             -&gt; non : 400</w:t>
      </w:r>
    </w:p>
    <w:p>
      <w:pPr>
        <w:spacing w:after="0" w:before="0" w:line="240" w:lineRule="auto"/>
      </w:pPr>
      <w:r>
        <w:rPr>
          <w:rFonts w:ascii="Consolas" w:hAnsi="Consolas" w:cs="Consolas" w:eastAsia="Consolas"/>
          <w:sz w:val="18"/>
        </w:rPr>
        <w:t xml:space="preserve">       b. la valeur est-elle compatible avec le type ?-&gt; non : 400</w:t>
      </w:r>
    </w:p>
    <w:p>
      <w:pPr>
        <w:spacing w:after="0" w:before="0" w:line="240" w:lineRule="auto"/>
      </w:pPr>
      <w:r>
        <w:rPr>
          <w:rFonts w:ascii="Consolas" w:hAnsi="Consolas" w:cs="Consolas" w:eastAsia="Consolas"/>
          <w:sz w:val="18"/>
        </w:rPr>
        <w:t xml:space="preserve">       c. mise de cote de la valeur nettoyee</w:t>
      </w:r>
    </w:p>
    <w:p>
      <w:pPr>
        <w:spacing w:after="0" w:before="0" w:line="240" w:lineRule="auto"/>
      </w:pPr>
      <w:r>
        <w:rPr>
          <w:rFonts w:ascii="Consolas" w:hAnsi="Consolas" w:cs="Consolas" w:eastAsia="Consolas"/>
          <w:sz w:val="18"/>
        </w:rPr>
        <w:t xml:space="preserve">  6  Pour chaque index OBLIGATOIRE du plan :</w:t>
      </w:r>
    </w:p>
    <w:p>
      <w:pPr>
        <w:spacing w:after="0" w:before="0" w:line="240" w:lineRule="auto"/>
      </w:pPr>
      <w:r>
        <w:rPr>
          <w:rFonts w:ascii="Consolas" w:hAnsi="Consolas" w:cs="Consolas" w:eastAsia="Consolas"/>
          <w:sz w:val="18"/>
        </w:rPr>
        <w:t xml:space="preserve">       valeur = celle recue, sinon celle deja enregistree</w:t>
      </w:r>
    </w:p>
    <w:p>
      <w:pPr>
        <w:spacing w:after="0" w:before="0" w:line="240" w:lineRule="auto"/>
      </w:pPr>
      <w:r>
        <w:rPr>
          <w:rFonts w:ascii="Consolas" w:hAnsi="Consolas" w:cs="Consolas" w:eastAsia="Consolas"/>
          <w:sz w:val="18"/>
        </w:rPr>
        <w:t xml:space="preserve">       si elle est vide                               -&gt; 400</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SECONDE PASSE : ON ECRIT, PLUS RIEN N'EST REFUSABLE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7  Pour chaque ligne validee :</w:t>
      </w:r>
    </w:p>
    <w:p>
      <w:pPr>
        <w:spacing w:after="0" w:before="0" w:line="240" w:lineRule="auto"/>
      </w:pPr>
      <w:r>
        <w:rPr>
          <w:rFonts w:ascii="Consolas" w:hAnsi="Consolas" w:cs="Consolas" w:eastAsia="Consolas"/>
          <w:sz w:val="18"/>
        </w:rPr>
        <w:t xml:space="preserve">       valeur vide   -&gt; suppression de la ligne existante s'il y en a une</w:t>
      </w:r>
    </w:p>
    <w:p>
      <w:pPr>
        <w:spacing w:after="0" w:before="0" w:line="240" w:lineRule="auto"/>
      </w:pPr>
      <w:r>
        <w:rPr>
          <w:rFonts w:ascii="Consolas" w:hAnsi="Consolas" w:cs="Consolas" w:eastAsia="Consolas"/>
          <w:sz w:val="18"/>
        </w:rPr>
        <w:t xml:space="preserve">       ligne absente -&gt; creation</w:t>
      </w:r>
    </w:p>
    <w:p>
      <w:pPr>
        <w:spacing w:after="0" w:before="0" w:line="240" w:lineRule="auto"/>
      </w:pPr>
      <w:r>
        <w:rPr>
          <w:rFonts w:ascii="Consolas" w:hAnsi="Consolas" w:cs="Consolas" w:eastAsia="Consolas"/>
          <w:sz w:val="18"/>
        </w:rPr>
        <w:t xml:space="preserve">       ligne presente-&gt; mise a jour</w:t>
      </w:r>
    </w:p>
    <w:p>
      <w:pPr>
        <w:spacing w:after="0" w:before="0" w:line="240" w:lineRule="auto"/>
      </w:pPr>
      <w:r>
        <w:rPr>
          <w:rFonts w:ascii="Consolas" w:hAnsi="Consolas" w:cs="Consolas" w:eastAsia="Consolas"/>
          <w:sz w:val="18"/>
        </w:rPr>
        <w:t xml:space="preserve">  8  Si au moins une ligne a ete traitee :</w:t>
      </w:r>
    </w:p>
    <w:p>
      <w:pPr>
        <w:spacing w:after="0" w:before="0" w:line="240" w:lineRule="auto"/>
      </w:pPr>
      <w:r>
        <w:rPr>
          <w:rFonts w:ascii="Consolas" w:hAnsi="Consolas" w:cs="Consolas" w:eastAsia="Consolas"/>
          <w:sz w:val="18"/>
        </w:rPr>
        <w:t xml:space="preserve">       a. relecture des valeurs desormais enregistrees</w:t>
      </w:r>
    </w:p>
    <w:p>
      <w:pPr>
        <w:spacing w:after="0" w:before="0" w:line="240" w:lineRule="auto"/>
      </w:pPr>
      <w:r>
        <w:rPr>
          <w:rFonts w:ascii="Consolas" w:hAnsi="Consolas" w:cs="Consolas" w:eastAsia="Consolas"/>
          <w:sz w:val="18"/>
        </w:rPr>
        <w:t xml:space="preserve">       b. resolution des jetons de la charte</w:t>
      </w:r>
    </w:p>
    <w:p>
      <w:pPr>
        <w:spacing w:after="0" w:before="0" w:line="240" w:lineRule="auto"/>
      </w:pPr>
      <w:r>
        <w:rPr>
          <w:rFonts w:ascii="Consolas" w:hAnsi="Consolas" w:cs="Consolas" w:eastAsia="Consolas"/>
          <w:sz w:val="18"/>
        </w:rPr>
        <w:t xml:space="preserve">          - jeton systeme  -&gt; valeur calculee a l'instant present</w:t>
      </w:r>
    </w:p>
    <w:p>
      <w:pPr>
        <w:spacing w:after="0" w:before="0" w:line="240" w:lineRule="auto"/>
      </w:pPr>
      <w:r>
        <w:rPr>
          <w:rFonts w:ascii="Consolas" w:hAnsi="Consolas" w:cs="Consolas" w:eastAsia="Consolas"/>
          <w:sz w:val="18"/>
        </w:rPr>
        <w:t xml:space="preserve">          - jeton d'index  -&gt; valeur du document, omise si absente</w:t>
      </w:r>
    </w:p>
    <w:p>
      <w:pPr>
        <w:spacing w:after="0" w:before="0" w:line="240" w:lineRule="auto"/>
      </w:pPr>
      <w:r>
        <w:rPr>
          <w:rFonts w:ascii="Consolas" w:hAnsi="Consolas" w:cs="Consolas" w:eastAsia="Consolas"/>
          <w:sz w:val="18"/>
        </w:rPr>
        <w:t xml:space="preserve">       c. jonction par le separateur, majuscules si la charte l'exige</w:t>
      </w:r>
    </w:p>
    <w:p>
      <w:pPr>
        <w:spacing w:after="0" w:before="0" w:line="240" w:lineRule="auto"/>
      </w:pPr>
      <w:r>
        <w:rPr>
          <w:rFonts w:ascii="Consolas" w:hAnsi="Consolas" w:cs="Consolas" w:eastAsia="Consolas"/>
          <w:sz w:val="18"/>
        </w:rPr>
        <w:t xml:space="preserve">       d. ecriture de la reference sur la fiche</w:t>
      </w:r>
    </w:p>
    <w:p>
      <w:pPr>
        <w:spacing w:after="0" w:before="0" w:line="240" w:lineRule="auto"/>
      </w:pPr>
      <w:r>
        <w:rPr>
          <w:rFonts w:ascii="Consolas" w:hAnsi="Consolas" w:cs="Consolas" w:eastAsia="Consolas"/>
          <w:sz w:val="18"/>
        </w:rPr>
        <w:t xml:space="preserve">       e. si la charte n'est pas manuelle : controle de longueur</w:t>
      </w:r>
    </w:p>
    <w:p>
      <w:pPr>
        <w:spacing w:after="0" w:before="0" w:line="240" w:lineRule="auto"/>
      </w:pPr>
      <w:r>
        <w:rPr>
          <w:rFonts w:ascii="Consolas" w:hAnsi="Consolas" w:cs="Consolas" w:eastAsia="Consolas"/>
          <w:sz w:val="18"/>
        </w:rPr>
        <w:t xml:space="preserve">          puis ecriture du nom du document</w:t>
      </w:r>
    </w:p>
    <w:p>
      <w:pPr>
        <w:spacing w:after="0" w:before="0" w:line="240" w:lineRule="auto"/>
      </w:pPr>
      <w:r>
        <w:rPr>
          <w:rFonts w:ascii="Consolas" w:hAnsi="Consolas" w:cs="Consolas" w:eastAsia="Consolas"/>
          <w:sz w:val="18"/>
        </w:rPr>
        <w:t xml:space="preserve">  9  Reponse : etat complet des valeurs du document</w:t>
      </w:r>
    </w:p>
    <w:p>
      <w:pPr>
        <w:spacing w:after="80"/>
      </w:pPr>
    </w:p>
    <w:p>
      <w:r>
        <w:rPr>
          <w:i w:val="0"/>
        </w:rPr>
        <w:t>Si une étape de la première passe échoue, la transaction est annulée et aucune valeur n'est modifiée : l'opérateur retrouve son document exactement dans l'état où il l'avait laissé. Si une étape de la seconde passe échoue — ce qui ne peut plus venir que d'une contrainte de base, par exemple deux requêtes concurrentes créant la même paire document / index — la transaction est également annulée, et la réponse porte le message d'intégrité traduit par le gestionnaire d'erreurs.</w:t>
      </w:r>
    </w:p>
    <w:p>
      <w:pPr>
        <w:pStyle w:val="Heading2"/>
        <w:spacing w:before="280" w:after="120"/>
      </w:pPr>
      <w:r>
        <w:t>7.4 Les trois issues du dépôt</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1361"/>
          </w:tcPr>
          <w:p>
            <w:pPr>
              <w:spacing w:after="40"/>
            </w:pPr>
            <w:r/>
            <w:r>
              <w:rPr>
                <w:b/>
                <w:sz w:val="18"/>
              </w:rPr>
              <w:t>Issue</w:t>
            </w:r>
          </w:p>
        </w:tc>
        <w:tc>
          <w:tcPr>
            <w:tcW w:type="dxa" w:w="3402"/>
          </w:tcPr>
          <w:p>
            <w:pPr>
              <w:spacing w:after="40"/>
            </w:pPr>
            <w:r/>
            <w:r>
              <w:rPr>
                <w:b/>
                <w:sz w:val="18"/>
              </w:rPr>
              <w:t>Ce qui s'est passé côté serveur</w:t>
            </w:r>
          </w:p>
        </w:tc>
        <w:tc>
          <w:tcPr>
            <w:tcW w:type="dxa" w:w="4876"/>
          </w:tcPr>
          <w:p>
            <w:pPr>
              <w:spacing w:after="40"/>
            </w:pPr>
            <w:r/>
            <w:r>
              <w:rPr>
                <w:b/>
                <w:sz w:val="18"/>
              </w:rPr>
              <w:t>État de la base</w:t>
            </w:r>
          </w:p>
        </w:tc>
      </w:tr>
      <w:tr>
        <w:tc>
          <w:tcPr>
            <w:tcW w:type="dxa" w:w="1361"/>
          </w:tcPr>
          <w:p>
            <w:pPr>
              <w:spacing w:after="40"/>
            </w:pPr>
            <w:r/>
            <w:r>
              <w:rPr>
                <w:sz w:val="18"/>
              </w:rPr>
              <w:t>Indexé</w:t>
            </w:r>
          </w:p>
        </w:tc>
        <w:tc>
          <w:tcPr>
            <w:tcW w:type="dxa" w:w="3402"/>
          </w:tcPr>
          <w:p>
            <w:pPr>
              <w:spacing w:after="40"/>
            </w:pPr>
            <w:r/>
            <w:r>
              <w:rPr>
                <w:sz w:val="18"/>
              </w:rPr>
              <w:t>Le dépôt a réussi et l'écriture des index a réussi</w:t>
            </w:r>
          </w:p>
        </w:tc>
        <w:tc>
          <w:tcPr>
            <w:tcW w:type="dxa" w:w="4876"/>
          </w:tcPr>
          <w:p>
            <w:pPr>
              <w:spacing w:after="40"/>
            </w:pPr>
            <w:r/>
            <w:r>
              <w:rPr>
                <w:sz w:val="18"/>
              </w:rPr>
              <w:t>Fiche, fichier, version initiale, étapes de signature, valeurs d'index, référence et nom composé</w:t>
            </w:r>
          </w:p>
        </w:tc>
      </w:tr>
      <w:tr>
        <w:tc>
          <w:tcPr>
            <w:tcW w:type="dxa" w:w="1361"/>
          </w:tcPr>
          <w:p>
            <w:pPr>
              <w:spacing w:after="40"/>
            </w:pPr>
            <w:r/>
            <w:r>
              <w:rPr>
                <w:sz w:val="18"/>
              </w:rPr>
              <w:t>Sans plan</w:t>
            </w:r>
          </w:p>
        </w:tc>
        <w:tc>
          <w:tcPr>
            <w:tcW w:type="dxa" w:w="3402"/>
          </w:tcPr>
          <w:p>
            <w:pPr>
              <w:spacing w:after="40"/>
            </w:pPr>
            <w:r/>
            <w:r>
              <w:rPr>
                <w:sz w:val="18"/>
              </w:rPr>
              <w:t>Le dépôt a réussi ; le type ne porte aucun champ, l'écran n'a rien à écrire et n'appelle pas la seconde requête</w:t>
            </w:r>
          </w:p>
        </w:tc>
        <w:tc>
          <w:tcPr>
            <w:tcW w:type="dxa" w:w="4876"/>
          </w:tcPr>
          <w:p>
            <w:pPr>
              <w:spacing w:after="40"/>
            </w:pPr>
            <w:r/>
            <w:r>
              <w:rPr>
                <w:sz w:val="18"/>
              </w:rPr>
              <w:t>Fiche, fichier, version initiale, étapes de signature. Aucune valeur, aucune référence. Le nom reste celui saisi ou déduit du fichier.</w:t>
            </w:r>
          </w:p>
        </w:tc>
      </w:tr>
      <w:tr>
        <w:tc>
          <w:tcPr>
            <w:tcW w:type="dxa" w:w="1361"/>
          </w:tcPr>
          <w:p>
            <w:pPr>
              <w:spacing w:after="40"/>
            </w:pPr>
            <w:r/>
            <w:r>
              <w:rPr>
                <w:sz w:val="18"/>
              </w:rPr>
              <w:t>À indexer</w:t>
            </w:r>
          </w:p>
        </w:tc>
        <w:tc>
          <w:tcPr>
            <w:tcW w:type="dxa" w:w="3402"/>
          </w:tcPr>
          <w:p>
            <w:pPr>
              <w:spacing w:after="40"/>
            </w:pPr>
            <w:r/>
            <w:r>
              <w:rPr>
                <w:sz w:val="18"/>
              </w:rPr>
              <w:t>Le dépôt a réussi, l'écriture des index a échoué ou a été abandonnée</w:t>
            </w:r>
          </w:p>
        </w:tc>
        <w:tc>
          <w:tcPr>
            <w:tcW w:type="dxa" w:w="4876"/>
          </w:tcPr>
          <w:p>
            <w:pPr>
              <w:spacing w:after="40"/>
            </w:pPr>
            <w:r/>
            <w:r>
              <w:rPr>
                <w:sz w:val="18"/>
              </w:rPr>
              <w:t>Fiche, fichier, version initiale, étapes de signature. Aucune valeur. L'indexation reste à faire depuis la fiche du document.</w:t>
            </w:r>
          </w:p>
        </w:tc>
      </w:tr>
    </w:tbl>
    <w:p>
      <w:pPr>
        <w:spacing w:after="40"/>
      </w:pPr>
    </w:p>
    <w:p>
      <w:r>
        <w:br w:type="page"/>
      </w:r>
    </w:p>
    <w:p>
      <w:pPr>
        <w:pStyle w:val="Heading1"/>
        <w:spacing w:before="360" w:after="160"/>
      </w:pPr>
      <w:r>
        <w:t>8. Les effets de bord</w:t>
      </w:r>
    </w:p>
    <w:p>
      <w:pPr>
        <w:pStyle w:val="Heading2"/>
        <w:spacing w:before="280" w:after="120"/>
      </w:pPr>
      <w:r>
        <w:t>8.1 La chaîne d'extraction du texte</w:t>
      </w:r>
    </w:p>
    <w:p>
      <w:r>
        <w:rPr>
          <w:i w:val="0"/>
        </w:rPr>
        <w:t>La lecture du contenu est organisée en étages, essayés du plus fiable au plus coûteux. Le premier qui produit un résultat exploitable l'emporte. Aucun moteur n'est nommé dans le service qui les enchaîne : ajouter un fournisseur consiste à déposer une implémentation de plus.</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907"/>
          </w:tcPr>
          <w:p>
            <w:pPr>
              <w:spacing w:after="40"/>
            </w:pPr>
            <w:r/>
            <w:r>
              <w:rPr>
                <w:b/>
                <w:sz w:val="18"/>
              </w:rPr>
              <w:t>Priorité</w:t>
            </w:r>
          </w:p>
        </w:tc>
        <w:tc>
          <w:tcPr>
            <w:tcW w:type="dxa" w:w="1928"/>
          </w:tcPr>
          <w:p>
            <w:pPr>
              <w:spacing w:after="40"/>
            </w:pPr>
            <w:r/>
            <w:r>
              <w:rPr>
                <w:b/>
                <w:sz w:val="18"/>
              </w:rPr>
              <w:t>Étage</w:t>
            </w:r>
          </w:p>
        </w:tc>
        <w:tc>
          <w:tcPr>
            <w:tcW w:type="dxa" w:w="2041"/>
          </w:tcPr>
          <w:p>
            <w:pPr>
              <w:spacing w:after="40"/>
            </w:pPr>
            <w:r/>
            <w:r>
              <w:rPr>
                <w:b/>
                <w:sz w:val="18"/>
              </w:rPr>
              <w:t>Formats traités</w:t>
            </w:r>
          </w:p>
        </w:tc>
        <w:tc>
          <w:tcPr>
            <w:tcW w:type="dxa" w:w="1474"/>
          </w:tcPr>
          <w:p>
            <w:pPr>
              <w:spacing w:after="40"/>
            </w:pPr>
            <w:r/>
            <w:r>
              <w:rPr>
                <w:b/>
                <w:sz w:val="18"/>
              </w:rPr>
              <w:t>Installation requise</w:t>
            </w:r>
          </w:p>
        </w:tc>
        <w:tc>
          <w:tcPr>
            <w:tcW w:type="dxa" w:w="3288"/>
          </w:tcPr>
          <w:p>
            <w:pPr>
              <w:spacing w:after="40"/>
            </w:pPr>
            <w:r/>
            <w:r>
              <w:rPr>
                <w:b/>
                <w:sz w:val="18"/>
              </w:rPr>
              <w:t>Comportement</w:t>
            </w:r>
          </w:p>
        </w:tc>
      </w:tr>
      <w:tr>
        <w:tc>
          <w:tcPr>
            <w:tcW w:type="dxa" w:w="907"/>
          </w:tcPr>
          <w:p>
            <w:pPr>
              <w:spacing w:after="40"/>
            </w:pPr>
            <w:r/>
            <w:r>
              <w:rPr>
                <w:sz w:val="18"/>
              </w:rPr>
              <w:t>10</w:t>
            </w:r>
          </w:p>
        </w:tc>
        <w:tc>
          <w:tcPr>
            <w:tcW w:type="dxa" w:w="1928"/>
          </w:tcPr>
          <w:p>
            <w:pPr>
              <w:spacing w:after="40"/>
            </w:pPr>
            <w:r/>
            <w:r>
              <w:rPr>
                <w:sz w:val="18"/>
              </w:rPr>
              <w:t>Couche texte des PDF natifs</w:t>
            </w:r>
          </w:p>
        </w:tc>
        <w:tc>
          <w:tcPr>
            <w:tcW w:type="dxa" w:w="2041"/>
          </w:tcPr>
          <w:p>
            <w:pPr>
              <w:spacing w:after="40"/>
            </w:pPr>
            <w:r/>
            <w:r>
              <w:rPr>
                <w:sz w:val="18"/>
              </w:rPr>
              <w:t>pdf</w:t>
            </w:r>
          </w:p>
        </w:tc>
        <w:tc>
          <w:tcPr>
            <w:tcW w:type="dxa" w:w="1474"/>
          </w:tcPr>
          <w:p>
            <w:pPr>
              <w:spacing w:after="40"/>
            </w:pPr>
            <w:r/>
            <w:r>
              <w:rPr>
                <w:sz w:val="18"/>
              </w:rPr>
              <w:t>Aucune</w:t>
            </w:r>
          </w:p>
        </w:tc>
        <w:tc>
          <w:tcPr>
            <w:tcW w:type="dxa" w:w="3288"/>
          </w:tcPr>
          <w:p>
            <w:pPr>
              <w:spacing w:after="40"/>
            </w:pPr>
            <w:r/>
            <w:r>
              <w:rPr>
                <w:sz w:val="18"/>
              </w:rPr>
              <w:t>Lit le texte déjà présent dans le document, trié par position. En dessous de douze caractères utiles, considère qu'il n'y a pas de vraie couche texte — le document est probablement un scan — et passe la main.</w:t>
            </w:r>
          </w:p>
        </w:tc>
      </w:tr>
      <w:tr>
        <w:tc>
          <w:tcPr>
            <w:tcW w:type="dxa" w:w="907"/>
          </w:tcPr>
          <w:p>
            <w:pPr>
              <w:spacing w:after="40"/>
            </w:pPr>
            <w:r/>
            <w:r>
              <w:rPr>
                <w:sz w:val="18"/>
              </w:rPr>
              <w:t>15</w:t>
            </w:r>
          </w:p>
        </w:tc>
        <w:tc>
          <w:tcPr>
            <w:tcW w:type="dxa" w:w="1928"/>
          </w:tcPr>
          <w:p>
            <w:pPr>
              <w:spacing w:after="40"/>
            </w:pPr>
            <w:r/>
            <w:r>
              <w:rPr>
                <w:sz w:val="18"/>
              </w:rPr>
              <w:t>Fichiers bureautiques</w:t>
            </w:r>
          </w:p>
        </w:tc>
        <w:tc>
          <w:tcPr>
            <w:tcW w:type="dxa" w:w="2041"/>
          </w:tcPr>
          <w:p>
            <w:pPr>
              <w:spacing w:after="40"/>
            </w:pPr>
            <w:r/>
            <w:r>
              <w:rPr>
                <w:sz w:val="18"/>
              </w:rPr>
              <w:t>docx, doc, xlsx, xls</w:t>
            </w:r>
          </w:p>
        </w:tc>
        <w:tc>
          <w:tcPr>
            <w:tcW w:type="dxa" w:w="1474"/>
          </w:tcPr>
          <w:p>
            <w:pPr>
              <w:spacing w:after="40"/>
            </w:pPr>
            <w:r/>
            <w:r>
              <w:rPr>
                <w:sz w:val="18"/>
              </w:rPr>
              <w:t>Aucune</w:t>
            </w:r>
          </w:p>
        </w:tc>
        <w:tc>
          <w:tcPr>
            <w:tcW w:type="dxa" w:w="3288"/>
          </w:tcPr>
          <w:p>
            <w:pPr>
              <w:spacing w:after="40"/>
            </w:pPr>
            <w:r/>
            <w:r>
              <w:rPr>
                <w:sz w:val="18"/>
              </w:rPr>
              <w:t>Texte natif, donc fiable. Les classeurs sont restitués ligne par ligne, cellules séparées par une tabulation, pour qu'une étiquette suivie de sa valeur reste lisible comme telle.</w:t>
            </w:r>
          </w:p>
        </w:tc>
      </w:tr>
      <w:tr>
        <w:tc>
          <w:tcPr>
            <w:tcW w:type="dxa" w:w="907"/>
          </w:tcPr>
          <w:p>
            <w:pPr>
              <w:spacing w:after="40"/>
            </w:pPr>
            <w:r/>
            <w:r>
              <w:rPr>
                <w:sz w:val="18"/>
              </w:rPr>
              <w:t>20</w:t>
            </w:r>
          </w:p>
        </w:tc>
        <w:tc>
          <w:tcPr>
            <w:tcW w:type="dxa" w:w="1928"/>
          </w:tcPr>
          <w:p>
            <w:pPr>
              <w:spacing w:after="40"/>
            </w:pPr>
            <w:r/>
            <w:r>
              <w:rPr>
                <w:sz w:val="18"/>
              </w:rPr>
              <w:t>Reconnaissance optique</w:t>
            </w:r>
          </w:p>
        </w:tc>
        <w:tc>
          <w:tcPr>
            <w:tcW w:type="dxa" w:w="2041"/>
          </w:tcPr>
          <w:p>
            <w:pPr>
              <w:spacing w:after="40"/>
            </w:pPr>
            <w:r/>
            <w:r>
              <w:rPr>
                <w:sz w:val="18"/>
              </w:rPr>
              <w:t>pdf, png, jpg, jpeg, tif, tiff, bmp</w:t>
            </w:r>
          </w:p>
        </w:tc>
        <w:tc>
          <w:tcPr>
            <w:tcW w:type="dxa" w:w="1474"/>
          </w:tcPr>
          <w:p>
            <w:pPr>
              <w:spacing w:after="40"/>
            </w:pPr>
            <w:r/>
            <w:r>
              <w:rPr>
                <w:sz w:val="18"/>
              </w:rPr>
              <w:t>Un binaire externe</w:t>
            </w:r>
          </w:p>
        </w:tc>
        <w:tc>
          <w:tcPr>
            <w:tcW w:type="dxa" w:w="3288"/>
          </w:tcPr>
          <w:p>
            <w:pPr>
              <w:spacing w:after="40"/>
            </w:pPr>
            <w:r/>
            <w:r>
              <w:rPr>
                <w:sz w:val="18"/>
              </w:rPr>
              <w:t>Rend les pages du PDF en images en niveaux de gris avant reconnaissance. Interroge le moteur en mode tabulé pour obtenir un mot par ligne avec sa boîte englobante et sa confiance.</w:t>
            </w:r>
          </w:p>
        </w:tc>
      </w:tr>
    </w:tbl>
    <w:p>
      <w:pPr>
        <w:spacing w:after="40"/>
      </w:pPr>
    </w:p>
    <w:p>
      <w:r>
        <w:rPr>
          <w:i w:val="0"/>
        </w:rPr>
        <w:t>Les types de document autorisent les formats bureautiques, mais seuls le PDF et les images étaient lisibles jusqu'à l'introduction du deuxième étage : un contrat Word déposé ne pouvait pas être indexé automatiquement, sans que rien ne l'explique à l'opérateur.</w:t>
      </w:r>
    </w:p>
    <w:p>
      <w:r>
        <w:rPr>
          <w:i w:val="0"/>
        </w:rPr>
        <w:t>Quelques valeurs de réglage, portées par la configuration du serveur :</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2494"/>
          </w:tcPr>
          <w:p>
            <w:pPr>
              <w:spacing w:after="40"/>
            </w:pPr>
            <w:r/>
            <w:r>
              <w:rPr>
                <w:b/>
                <w:sz w:val="18"/>
              </w:rPr>
              <w:t>Réglage</w:t>
            </w:r>
          </w:p>
        </w:tc>
        <w:tc>
          <w:tcPr>
            <w:tcW w:type="dxa" w:w="1928"/>
          </w:tcPr>
          <w:p>
            <w:pPr>
              <w:spacing w:after="40"/>
            </w:pPr>
            <w:r/>
            <w:r>
              <w:rPr>
                <w:b/>
                <w:sz w:val="18"/>
              </w:rPr>
              <w:t>Valeur livrée</w:t>
            </w:r>
          </w:p>
        </w:tc>
        <w:tc>
          <w:tcPr>
            <w:tcW w:type="dxa" w:w="5216"/>
          </w:tcPr>
          <w:p>
            <w:pPr>
              <w:spacing w:after="40"/>
            </w:pPr>
            <w:r/>
            <w:r>
              <w:rPr>
                <w:b/>
                <w:sz w:val="18"/>
              </w:rPr>
              <w:t>Effet</w:t>
            </w:r>
          </w:p>
        </w:tc>
      </w:tr>
      <w:tr>
        <w:tc>
          <w:tcPr>
            <w:tcW w:type="dxa" w:w="2494"/>
          </w:tcPr>
          <w:p>
            <w:pPr>
              <w:spacing w:after="40"/>
            </w:pPr>
            <w:r/>
            <w:r>
              <w:rPr>
                <w:sz w:val="18"/>
              </w:rPr>
              <w:t>Activation de la lecture</w:t>
            </w:r>
          </w:p>
        </w:tc>
        <w:tc>
          <w:tcPr>
            <w:tcW w:type="dxa" w:w="1928"/>
          </w:tcPr>
          <w:p>
            <w:pPr>
              <w:spacing w:after="40"/>
            </w:pPr>
            <w:r/>
            <w:r>
              <w:rPr>
                <w:sz w:val="18"/>
              </w:rPr>
              <w:t>Activée</w:t>
            </w:r>
          </w:p>
        </w:tc>
        <w:tc>
          <w:tcPr>
            <w:tcW w:type="dxa" w:w="5216"/>
          </w:tcPr>
          <w:p>
            <w:pPr>
              <w:spacing w:after="40"/>
            </w:pPr>
            <w:r/>
            <w:r>
              <w:rPr>
                <w:sz w:val="18"/>
              </w:rPr>
              <w:t>Coupée, tous les étages sont ignorés et la réponse porte le motif « L'OCRisation est désactivée »</w:t>
            </w:r>
          </w:p>
        </w:tc>
      </w:tr>
      <w:tr>
        <w:tc>
          <w:tcPr>
            <w:tcW w:type="dxa" w:w="2494"/>
          </w:tcPr>
          <w:p>
            <w:pPr>
              <w:spacing w:after="40"/>
            </w:pPr>
            <w:r/>
            <w:r>
              <w:rPr>
                <w:sz w:val="18"/>
              </w:rPr>
              <w:t>Langues</w:t>
            </w:r>
          </w:p>
        </w:tc>
        <w:tc>
          <w:tcPr>
            <w:tcW w:type="dxa" w:w="1928"/>
          </w:tcPr>
          <w:p>
            <w:pPr>
              <w:spacing w:after="40"/>
            </w:pPr>
            <w:r/>
            <w:r>
              <w:rPr>
                <w:sz w:val="18"/>
              </w:rPr>
              <w:t>Français et anglais</w:t>
            </w:r>
          </w:p>
        </w:tc>
        <w:tc>
          <w:tcPr>
            <w:tcW w:type="dxa" w:w="5216"/>
          </w:tcPr>
          <w:p>
            <w:pPr>
              <w:spacing w:after="40"/>
            </w:pPr>
            <w:r/>
            <w:r>
              <w:rPr>
                <w:sz w:val="18"/>
              </w:rPr>
              <w:t>Modèles chargés par le moteur</w:t>
            </w:r>
          </w:p>
        </w:tc>
      </w:tr>
      <w:tr>
        <w:tc>
          <w:tcPr>
            <w:tcW w:type="dxa" w:w="2494"/>
          </w:tcPr>
          <w:p>
            <w:pPr>
              <w:spacing w:after="40"/>
            </w:pPr>
            <w:r/>
            <w:r>
              <w:rPr>
                <w:sz w:val="18"/>
              </w:rPr>
              <w:t>Résolution de rendu</w:t>
            </w:r>
          </w:p>
        </w:tc>
        <w:tc>
          <w:tcPr>
            <w:tcW w:type="dxa" w:w="1928"/>
          </w:tcPr>
          <w:p>
            <w:pPr>
              <w:spacing w:after="40"/>
            </w:pPr>
            <w:r/>
            <w:r>
              <w:rPr>
                <w:sz w:val="18"/>
              </w:rPr>
              <w:t>300 points par pouce</w:t>
            </w:r>
          </w:p>
        </w:tc>
        <w:tc>
          <w:tcPr>
            <w:tcW w:type="dxa" w:w="5216"/>
          </w:tcPr>
          <w:p>
            <w:pPr>
              <w:spacing w:after="40"/>
            </w:pPr>
            <w:r/>
            <w:r>
              <w:rPr>
                <w:sz w:val="18"/>
              </w:rPr>
              <w:t>Qualité d'image soumise à la reconnaissance</w:t>
            </w:r>
          </w:p>
        </w:tc>
      </w:tr>
      <w:tr>
        <w:tc>
          <w:tcPr>
            <w:tcW w:type="dxa" w:w="2494"/>
          </w:tcPr>
          <w:p>
            <w:pPr>
              <w:spacing w:after="40"/>
            </w:pPr>
            <w:r/>
            <w:r>
              <w:rPr>
                <w:sz w:val="18"/>
              </w:rPr>
              <w:t>Pages lues au maximum</w:t>
            </w:r>
          </w:p>
        </w:tc>
        <w:tc>
          <w:tcPr>
            <w:tcW w:type="dxa" w:w="1928"/>
          </w:tcPr>
          <w:p>
            <w:pPr>
              <w:spacing w:after="40"/>
            </w:pPr>
            <w:r/>
            <w:r>
              <w:rPr>
                <w:sz w:val="18"/>
              </w:rPr>
              <w:t>5</w:t>
            </w:r>
          </w:p>
        </w:tc>
        <w:tc>
          <w:tcPr>
            <w:tcW w:type="dxa" w:w="5216"/>
          </w:tcPr>
          <w:p>
            <w:pPr>
              <w:spacing w:after="40"/>
            </w:pPr>
            <w:r/>
            <w:r>
              <w:rPr>
                <w:sz w:val="18"/>
              </w:rPr>
              <w:t>Bride le coût sur les documents volumineux ; au-delà, le contenu n'est pas lu</w:t>
            </w:r>
          </w:p>
        </w:tc>
      </w:tr>
      <w:tr>
        <w:tc>
          <w:tcPr>
            <w:tcW w:type="dxa" w:w="2494"/>
          </w:tcPr>
          <w:p>
            <w:pPr>
              <w:spacing w:after="40"/>
            </w:pPr>
            <w:r/>
            <w:r>
              <w:rPr>
                <w:sz w:val="18"/>
              </w:rPr>
              <w:t>Mode de segmentation et moteur</w:t>
            </w:r>
          </w:p>
        </w:tc>
        <w:tc>
          <w:tcPr>
            <w:tcW w:type="dxa" w:w="1928"/>
          </w:tcPr>
          <w:p>
            <w:pPr>
              <w:spacing w:after="40"/>
            </w:pPr>
            <w:r/>
            <w:r>
              <w:rPr>
                <w:sz w:val="18"/>
              </w:rPr>
              <w:t>Page entière, moteur neuronal seul</w:t>
            </w:r>
          </w:p>
        </w:tc>
        <w:tc>
          <w:tcPr>
            <w:tcW w:type="dxa" w:w="5216"/>
          </w:tcPr>
          <w:p>
            <w:pPr>
              <w:spacing w:after="40"/>
            </w:pPr>
            <w:r/>
            <w:r>
              <w:rPr>
                <w:sz w:val="18"/>
              </w:rPr>
              <w:t>Le moteur neuronal est plus précis que l'ancien moteur à motifs sur les scans imparfaits</w:t>
            </w:r>
          </w:p>
        </w:tc>
      </w:tr>
      <w:tr>
        <w:tc>
          <w:tcPr>
            <w:tcW w:type="dxa" w:w="2494"/>
          </w:tcPr>
          <w:p>
            <w:pPr>
              <w:spacing w:after="40"/>
            </w:pPr>
            <w:r/>
            <w:r>
              <w:rPr>
                <w:sz w:val="18"/>
              </w:rPr>
              <w:t>Confiance minimale d'un mot</w:t>
            </w:r>
          </w:p>
        </w:tc>
        <w:tc>
          <w:tcPr>
            <w:tcW w:type="dxa" w:w="1928"/>
          </w:tcPr>
          <w:p>
            <w:pPr>
              <w:spacing w:after="40"/>
            </w:pPr>
            <w:r/>
            <w:r>
              <w:rPr>
                <w:sz w:val="18"/>
              </w:rPr>
              <w:t>40 sur 100</w:t>
            </w:r>
          </w:p>
        </w:tc>
        <w:tc>
          <w:tcPr>
            <w:tcW w:type="dxa" w:w="5216"/>
          </w:tcPr>
          <w:p>
            <w:pPr>
              <w:spacing w:after="40"/>
            </w:pPr>
            <w:r/>
            <w:r>
              <w:rPr>
                <w:sz w:val="18"/>
              </w:rPr>
              <w:t>En dessous, le moteur avoue ne pas savoir : le mot est écarté</w:t>
            </w:r>
          </w:p>
        </w:tc>
      </w:tr>
      <w:tr>
        <w:tc>
          <w:tcPr>
            <w:tcW w:type="dxa" w:w="2494"/>
          </w:tcPr>
          <w:p>
            <w:pPr>
              <w:spacing w:after="40"/>
            </w:pPr>
            <w:r/>
            <w:r>
              <w:rPr>
                <w:sz w:val="18"/>
              </w:rPr>
              <w:t>Délai maximal de reconnaissance</w:t>
            </w:r>
          </w:p>
        </w:tc>
        <w:tc>
          <w:tcPr>
            <w:tcW w:type="dxa" w:w="1928"/>
          </w:tcPr>
          <w:p>
            <w:pPr>
              <w:spacing w:after="40"/>
            </w:pPr>
            <w:r/>
            <w:r>
              <w:rPr>
                <w:sz w:val="18"/>
              </w:rPr>
              <w:t>120 secondes par page</w:t>
            </w:r>
          </w:p>
        </w:tc>
        <w:tc>
          <w:tcPr>
            <w:tcW w:type="dxa" w:w="5216"/>
          </w:tcPr>
          <w:p>
            <w:pPr>
              <w:spacing w:after="40"/>
            </w:pPr>
            <w:r/>
            <w:r>
              <w:rPr>
                <w:sz w:val="18"/>
              </w:rPr>
              <w:t>Au-delà, le processus est interrompu et la lecture échoue proprement</w:t>
            </w:r>
          </w:p>
        </w:tc>
      </w:tr>
      <w:tr>
        <w:tc>
          <w:tcPr>
            <w:tcW w:type="dxa" w:w="2494"/>
          </w:tcPr>
          <w:p>
            <w:pPr>
              <w:spacing w:after="40"/>
            </w:pPr>
            <w:r/>
            <w:r>
              <w:rPr>
                <w:sz w:val="18"/>
              </w:rPr>
              <w:t>Durée de validité du diagnostic de disponibilité</w:t>
            </w:r>
          </w:p>
        </w:tc>
        <w:tc>
          <w:tcPr>
            <w:tcW w:type="dxa" w:w="1928"/>
          </w:tcPr>
          <w:p>
            <w:pPr>
              <w:spacing w:after="40"/>
            </w:pPr>
            <w:r/>
            <w:r>
              <w:rPr>
                <w:sz w:val="18"/>
              </w:rPr>
              <w:t>300 secondes</w:t>
            </w:r>
          </w:p>
        </w:tc>
        <w:tc>
          <w:tcPr>
            <w:tcW w:type="dxa" w:w="5216"/>
          </w:tcPr>
          <w:p>
            <w:pPr>
              <w:spacing w:after="40"/>
            </w:pPr>
            <w:r/>
            <w:r>
              <w:rPr>
                <w:sz w:val="18"/>
              </w:rPr>
              <w:t>Évite de lancer un processus de vérification à chaque requête, sans exiger un redémarrage pour prendre en compte une installation</w:t>
            </w:r>
          </w:p>
        </w:tc>
      </w:tr>
    </w:tbl>
    <w:p>
      <w:pPr>
        <w:spacing w:after="40"/>
      </w:pPr>
    </w:p>
    <w:p>
      <w:r>
        <w:rPr>
          <w:i w:val="0"/>
        </w:rPr>
        <w:t>Ce dernier réglage mérite une explication. La disponibilité du moteur est interrogée deux fois par requête : une fois pour choisir l'extracteur, une fois avant de travailler. Sans mémorisation, chaque aperçu lançait donc deux processus externes — une dizaine de descripteurs de fichier, un quart de seconde — pour une réponse qui ne change pas d'une seconde à l'autre. Et l'écran appelle l'aperçu à chaque sélection de fichier. Le verdict est mémorisé, mais daté plutôt que définitif : installer le moteur ne doit pas exiger un redémarrage de l'application.</w:t>
      </w:r>
    </w:p>
    <w:p>
      <w:pPr>
        <w:pStyle w:val="Heading2"/>
        <w:spacing w:before="280" w:after="120"/>
      </w:pPr>
      <w:r>
        <w:t>8.2 Fichiers temporaires et processus externes</w:t>
      </w:r>
    </w:p>
    <w:p>
      <w:pPr>
        <w:pStyle w:val="ListBullet"/>
        <w:spacing w:after="60"/>
      </w:pPr>
      <w:r>
        <w:rPr>
          <w:b/>
        </w:rPr>
        <w:t>Une copie de travail par aperçu</w:t>
      </w:r>
      <w:r>
        <w:rPr>
          <w:b w:val="0"/>
        </w:rPr>
        <w:t>, créée dans le répertoire temporaire du système, préfixée et suffixée de l'extension d'origine, supprimée dans tous les cas à la fin du traitement.</w:t>
      </w:r>
    </w:p>
    <w:p>
      <w:pPr>
        <w:pStyle w:val="ListBullet"/>
        <w:spacing w:after="60"/>
      </w:pPr>
      <w:r>
        <w:rPr>
          <w:b/>
        </w:rPr>
        <w:t>Une image par page rendue</w:t>
      </w:r>
      <w:r>
        <w:rPr>
          <w:b w:val="0"/>
        </w:rPr>
        <w:t xml:space="preserve"> lors d'une reconnaissance optique sur un PDF, écrite dans le répertoire temporaire de l'application, supprimée après lecture de la page. Le nom est dérivé de l'horloge à haute résolution, ce qui évite les collisions entre traitements simultanés.</w:t>
      </w:r>
    </w:p>
    <w:p>
      <w:pPr>
        <w:pStyle w:val="ListBullet"/>
        <w:spacing w:after="60"/>
      </w:pPr>
      <w:r>
        <w:rPr>
          <w:b/>
        </w:rPr>
        <w:t>Un processus externe par page</w:t>
      </w:r>
      <w:r>
        <w:rPr>
          <w:b w:val="0"/>
        </w:rPr>
        <w:t>, plus un processus de vérification de disponibilité au plus toutes les cinq minutes. Les processus sont interrompus s'ils dépassent leur délai.</w:t>
      </w:r>
    </w:p>
    <w:p>
      <w:pPr>
        <w:pStyle w:val="ListBullet"/>
        <w:spacing w:after="60"/>
      </w:pPr>
      <w:r>
        <w:rPr>
          <w:b/>
        </w:rPr>
        <w:t>Aucun de ces fichiers n'est conservé.</w:t>
      </w:r>
      <w:r>
        <w:rPr>
          <w:b w:val="0"/>
        </w:rPr>
        <w:t xml:space="preserve"> La suppression est faite dans une clause d'exécution garantie ; un échec de suppression est journalisé sans interrompre le traitement.</w:t>
      </w:r>
    </w:p>
    <w:p>
      <w:pPr>
        <w:pStyle w:val="Heading2"/>
        <w:spacing w:before="280" w:after="120"/>
      </w:pPr>
      <w:r>
        <w:t>8.3 Renommage du document</w:t>
      </w:r>
    </w:p>
    <w:p>
      <w:r>
        <w:rPr>
          <w:i w:val="0"/>
        </w:rPr>
        <w:t>L'effet de bord le plus visible de ce module est le renommage. Confirmer une indexation sur un plan à charte automatique remplace le nom du document par la référence composée. C'est voulu et conforme au produit d'origine, où le champ de nom est alors en lecture seule. Deux conséquences à garder en tête :</w:t>
      </w:r>
    </w:p>
    <w:p>
      <w:pPr>
        <w:pStyle w:val="ListBullet"/>
        <w:spacing w:after="60"/>
      </w:pPr>
      <w:r>
        <w:rPr>
          <w:b w:val="0"/>
        </w:rPr>
        <w:t xml:space="preserve">Le nom peut changer </w:t>
      </w:r>
      <w:r>
        <w:rPr>
          <w:b/>
        </w:rPr>
        <w:t>plusieurs fois</w:t>
      </w:r>
      <w:r>
        <w:rPr>
          <w:b w:val="0"/>
        </w:rPr>
        <w:t xml:space="preserve"> : chaque nouvelle confirmation d'indexation le recompose à partir de l'état courant des valeurs.</w:t>
      </w:r>
    </w:p>
    <w:p>
      <w:pPr>
        <w:pStyle w:val="ListBullet"/>
        <w:spacing w:after="60"/>
      </w:pPr>
      <w:r>
        <w:rPr>
          <w:b w:val="0"/>
        </w:rPr>
        <w:t xml:space="preserve">Les jetons système — date, heure, mois, jour, année — sont résolus </w:t>
      </w:r>
      <w:r>
        <w:rPr>
          <w:b/>
        </w:rPr>
        <w:t>à l'instant de la composition</w:t>
      </w:r>
      <w:r>
        <w:rPr>
          <w:b w:val="0"/>
        </w:rPr>
        <w:t>, avec une année sur deux chiffres. Réindexer le même document un autre jour produit donc un nom différent, alors qu'aucune valeur d'index n'a changé.</w:t>
      </w:r>
    </w:p>
    <w:p>
      <w:r>
        <w:br w:type="page"/>
      </w:r>
    </w:p>
    <w:p>
      <w:pPr>
        <w:pStyle w:val="Heading1"/>
        <w:spacing w:before="360" w:after="160"/>
      </w:pPr>
      <w:r>
        <w:t>9. Sécurité et contrôle d'accès</w:t>
      </w:r>
    </w:p>
    <w:p>
      <w:r>
        <w:rPr>
          <w:i w:val="0"/>
        </w:rPr>
        <w:t>L'application ne comporte qu'un compte, celui de l'administrateur. Il n'existe ni rôle, ni permission, ni profil, et les groupes d'accès n'accordent aucun droit. Pour ce module, cela se traduit de la façon suivante.</w:t>
      </w:r>
    </w:p>
    <w:p>
      <w:pPr>
        <w:pStyle w:val="ListNumber"/>
        <w:spacing w:after="60"/>
      </w:pPr>
      <w:r>
        <w:rPr>
          <w:b/>
        </w:rPr>
        <w:t>Toutes les routes d'indexation et de lecture de contenu sont fermées aux anonymes</w:t>
      </w:r>
      <w:r>
        <w:rPr>
          <w:b w:val="0"/>
        </w:rPr>
        <w:t xml:space="preserve"> et ouvertes à tout appelant authentifié. Aucune n'est conditionnée à une appartenance, un espace ou un type.</w:t>
      </w:r>
    </w:p>
    <w:p>
      <w:pPr>
        <w:pStyle w:val="ListNumber"/>
        <w:spacing w:after="60"/>
      </w:pPr>
      <w:r>
        <w:rPr>
          <w:b/>
        </w:rPr>
        <w:t>Les seuls refus sont métier</w:t>
      </w:r>
      <w:r>
        <w:rPr>
          <w:b w:val="0"/>
        </w:rPr>
        <w:t xml:space="preserve"> : type en corbeille, document en corbeille, document verrouillé, index étranger au plan, valeur incompatible. Aucun n'est un refus d'autorisation, et aucun ne doit être lu comme tel.</w:t>
      </w:r>
    </w:p>
    <w:p>
      <w:pPr>
        <w:pStyle w:val="ListNumber"/>
        <w:spacing w:after="60"/>
      </w:pPr>
      <w:r>
        <w:rPr>
          <w:b/>
        </w:rPr>
        <w:t>La lecture du contenu expose le texte intégral d'un document.</w:t>
      </w:r>
      <w:r>
        <w:rPr>
          <w:b w:val="0"/>
        </w:rPr>
        <w:t xml:space="preserve"> C'est une route authentifiée comme les autres, et elle ne filtre pas les documents en corbeille. Dans un produit à utilisateur unique, cela ne crée pas d'exposition supplémentaire ; dans une éventuelle évolution multi-utilisateurs, ce serait le premier point à revoir.</w:t>
      </w:r>
    </w:p>
    <w:p>
      <w:pPr>
        <w:pStyle w:val="ListNumber"/>
        <w:spacing w:after="60"/>
      </w:pPr>
      <w:r>
        <w:rPr>
          <w:b/>
        </w:rPr>
        <w:t>Aucun secret ne transite par ce module.</w:t>
      </w:r>
      <w:r>
        <w:rPr>
          <w:b w:val="0"/>
        </w:rPr>
        <w:t xml:space="preserve"> Le paramétrage du moteur de lecture vit dans la configuration serveur et n'est jamais renvoyé : seule la route d'état expose un indicateur booléen, et la route de diagnostic les noms et priorités des extracteurs.</w:t>
      </w:r>
    </w:p>
    <w:p>
      <w:pPr>
        <w:pStyle w:val="ListNumber"/>
        <w:spacing w:after="60"/>
      </w:pPr>
      <w:r>
        <w:rPr>
          <w:b/>
        </w:rPr>
        <w:t>L'appel à un programme externe est confiné.</w:t>
      </w:r>
      <w:r>
        <w:rPr>
          <w:b w:val="0"/>
        </w:rPr>
        <w:t xml:space="preserve"> Les arguments sont passés sous forme de liste, sans interprétation par un interpréteur de commandes, et le chemin soumis est celui d'un fichier écrit par l'application elle-même.</w:t>
      </w:r>
    </w:p>
    <w:p>
      <w:pPr>
        <w:pStyle w:val="ListNumber"/>
        <w:spacing w:after="60"/>
      </w:pPr>
      <w:r>
        <w:rPr>
          <w:b/>
        </w:rPr>
        <w:t>La documentation interactive de l'API n'est ouverte qu'en dehors de la production.</w:t>
      </w:r>
      <w:r>
        <w:rPr>
          <w:b w:val="0"/>
        </w:rPr>
        <w:t xml:space="preserve"> Elle décrit la totalité des opérations, y compris celles de ce module : chemins, verbes, forme des corps, noms de champs.</w:t>
      </w:r>
    </w:p>
    <w:p>
      <w:r>
        <w:br w:type="page"/>
      </w:r>
    </w:p>
    <w:p>
      <w:pPr>
        <w:pStyle w:val="Heading1"/>
        <w:spacing w:before="360" w:after="160"/>
      </w:pPr>
      <w:r>
        <w:t>10. Points de vigilance et limites connues</w:t>
      </w:r>
    </w:p>
    <w:p>
      <w:pPr>
        <w:pStyle w:val="Heading2"/>
        <w:spacing w:before="280" w:after="120"/>
      </w:pPr>
      <w:r>
        <w:t>10.1 La limite majeure : la reconnaissance optique</w:t>
      </w:r>
    </w:p>
    <w:p>
      <w:r>
        <w:rPr>
          <w:i w:val="0"/>
        </w:rPr>
        <w:t>La reconnaissance optique n'a jamais été validée de bout en bout sur un poste réel. En son absence, l'analyse se rabat sur le nom du fichier, ce qui est le comportement nominal du produit et non une dégradation : la chaîne est conçue pour qu'un étage indisponible soit simplement ignoré, sans erreur. Trois conséquences à documenter pour l'exploitant :</w:t>
      </w:r>
    </w:p>
    <w:p>
      <w:pPr>
        <w:pStyle w:val="ListBullet"/>
        <w:spacing w:after="60"/>
      </w:pPr>
      <w:r>
        <w:rPr>
          <w:b w:val="0"/>
        </w:rPr>
        <w:t>La commande du moteur est renseignée dans la configuration livrée sous la forme d'un chemin absolu propre à un poste Windows. Sur un serveur, ce chemin doit être revu — à défaut, l'étage est ignoré et le diagnostic le signale.</w:t>
      </w:r>
    </w:p>
    <w:p>
      <w:pPr>
        <w:pStyle w:val="ListBullet"/>
        <w:spacing w:after="60"/>
      </w:pPr>
      <w:r>
        <w:rPr>
          <w:b w:val="0"/>
        </w:rPr>
        <w:t>Les modèles de langue sont attendus dans un répertoire relatif à l'application. Ce répertoire est transmis au moteur ; s'il ne contient pas les modèles, le moteur échoue.</w:t>
      </w:r>
    </w:p>
    <w:p>
      <w:pPr>
        <w:pStyle w:val="ListBullet"/>
        <w:spacing w:after="60"/>
      </w:pPr>
      <w:r>
        <w:rPr>
          <w:b w:val="0"/>
        </w:rPr>
        <w:t>Le mode tabulé est demandé par variable et non par fichier de configuration, précisément parce que ce dernier serait cherché dans le répertoire des modèles. Le moteur ne s'en plaindrait pas : il rendrait du texte brut, et les positions disparaîtraient sans le moindre message.</w:t>
      </w:r>
    </w:p>
    <w:p>
      <w:pPr>
        <w:pStyle w:val="Heading2"/>
        <w:spacing w:before="280" w:after="120"/>
      </w:pPr>
      <w:r>
        <w:t>10.2 Comportements à connaître avant exploitation</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061"/>
          </w:tcPr>
          <w:p>
            <w:pPr>
              <w:spacing w:after="40"/>
            </w:pPr>
            <w:r/>
            <w:r>
              <w:rPr>
                <w:b/>
                <w:sz w:val="18"/>
              </w:rPr>
              <w:t>Constat</w:t>
            </w:r>
          </w:p>
        </w:tc>
        <w:tc>
          <w:tcPr>
            <w:tcW w:type="dxa" w:w="3175"/>
          </w:tcPr>
          <w:p>
            <w:pPr>
              <w:spacing w:after="40"/>
            </w:pPr>
            <w:r/>
            <w:r>
              <w:rPr>
                <w:b/>
                <w:sz w:val="18"/>
              </w:rPr>
              <w:t>Conséquence</w:t>
            </w:r>
          </w:p>
        </w:tc>
        <w:tc>
          <w:tcPr>
            <w:tcW w:type="dxa" w:w="3402"/>
          </w:tcPr>
          <w:p>
            <w:pPr>
              <w:spacing w:after="40"/>
            </w:pPr>
            <w:r/>
            <w:r>
              <w:rPr>
                <w:b/>
                <w:sz w:val="18"/>
              </w:rPr>
              <w:t>Piste</w:t>
            </w:r>
          </w:p>
        </w:tc>
      </w:tr>
      <w:tr>
        <w:tc>
          <w:tcPr>
            <w:tcW w:type="dxa" w:w="3061"/>
          </w:tcPr>
          <w:p>
            <w:pPr>
              <w:spacing w:after="40"/>
            </w:pPr>
            <w:r/>
            <w:r>
              <w:rPr>
                <w:sz w:val="18"/>
              </w:rPr>
              <w:t>Le dépôt n'exige aucun index. L'obligation n'est vérifiée qu'à l'écriture des valeurs, c'est-à-dire dans la seconde requête.</w:t>
            </w:r>
          </w:p>
        </w:tc>
        <w:tc>
          <w:tcPr>
            <w:tcW w:type="dxa" w:w="3175"/>
          </w:tcPr>
          <w:p>
            <w:pPr>
              <w:spacing w:after="40"/>
            </w:pPr>
            <w:r/>
            <w:r>
              <w:rPr>
                <w:sz w:val="18"/>
              </w:rPr>
              <w:t>Un appel direct à l'API peut créer un document sans aucune valeur, y compris quand le plan en déclare d'obligatoires. C'est aussi ce qui rend possible l'issue « à indexer ».</w:t>
            </w:r>
          </w:p>
        </w:tc>
        <w:tc>
          <w:tcPr>
            <w:tcW w:type="dxa" w:w="3402"/>
          </w:tcPr>
          <w:p>
            <w:pPr>
              <w:spacing w:after="40"/>
            </w:pPr>
            <w:r/>
            <w:r>
              <w:rPr>
                <w:sz w:val="18"/>
              </w:rPr>
              <w:t>Assumer et documenter l'état « à indexer », ou porter le contrôle dans le dépôt — au prix de la fusion des deux requêtes.</w:t>
            </w:r>
          </w:p>
        </w:tc>
      </w:tr>
      <w:tr>
        <w:tc>
          <w:tcPr>
            <w:tcW w:type="dxa" w:w="3061"/>
          </w:tcPr>
          <w:p>
            <w:pPr>
              <w:spacing w:after="40"/>
            </w:pPr>
            <w:r/>
            <w:r>
              <w:rPr>
                <w:sz w:val="18"/>
              </w:rPr>
              <w:t>La recherche par index charge en mémoire tous les documents vivants avant de filtrer.</w:t>
            </w:r>
          </w:p>
        </w:tc>
        <w:tc>
          <w:tcPr>
            <w:tcW w:type="dxa" w:w="3175"/>
          </w:tcPr>
          <w:p>
            <w:pPr>
              <w:spacing w:after="40"/>
            </w:pPr>
            <w:r/>
            <w:r>
              <w:rPr>
                <w:sz w:val="18"/>
              </w:rPr>
              <w:t>Le coût croît linéairement avec la taille du fonds. Sur quelques dizaines de milliers de documents, chaque recherche devient perceptible.</w:t>
            </w:r>
          </w:p>
        </w:tc>
        <w:tc>
          <w:tcPr>
            <w:tcW w:type="dxa" w:w="3402"/>
          </w:tcPr>
          <w:p>
            <w:pPr>
              <w:spacing w:after="40"/>
            </w:pPr>
            <w:r/>
            <w:r>
              <w:rPr>
                <w:sz w:val="18"/>
              </w:rPr>
              <w:t>Porter la sélection en base, en s'appuyant sur l'index déjà posé sur la colonne d'index des valeurs.</w:t>
            </w:r>
          </w:p>
        </w:tc>
      </w:tr>
      <w:tr>
        <w:tc>
          <w:tcPr>
            <w:tcW w:type="dxa" w:w="3061"/>
          </w:tcPr>
          <w:p>
            <w:pPr>
              <w:spacing w:after="40"/>
            </w:pPr>
            <w:r/>
            <w:r>
              <w:rPr>
                <w:sz w:val="18"/>
              </w:rPr>
              <w:t>La composition du nom résout les jetons système à l'instant de l'appel.</w:t>
            </w:r>
          </w:p>
        </w:tc>
        <w:tc>
          <w:tcPr>
            <w:tcW w:type="dxa" w:w="3175"/>
          </w:tcPr>
          <w:p>
            <w:pPr>
              <w:spacing w:after="40"/>
            </w:pPr>
            <w:r/>
            <w:r>
              <w:rPr>
                <w:sz w:val="18"/>
              </w:rPr>
              <w:t>Réindexer un document un autre jour change son nom sans qu'aucune donnée métier n'ait bougé.</w:t>
            </w:r>
          </w:p>
        </w:tc>
        <w:tc>
          <w:tcPr>
            <w:tcW w:type="dxa" w:w="3402"/>
          </w:tcPr>
          <w:p>
            <w:pPr>
              <w:spacing w:after="40"/>
            </w:pPr>
            <w:r/>
            <w:r>
              <w:rPr>
                <w:sz w:val="18"/>
              </w:rPr>
              <w:t>Figer la date de composition sur la date de création du document si le comportement surprend les utilisateurs.</w:t>
            </w:r>
          </w:p>
        </w:tc>
      </w:tr>
      <w:tr>
        <w:tc>
          <w:tcPr>
            <w:tcW w:type="dxa" w:w="3061"/>
          </w:tcPr>
          <w:p>
            <w:pPr>
              <w:spacing w:after="40"/>
            </w:pPr>
            <w:r/>
            <w:r>
              <w:rPr>
                <w:sz w:val="18"/>
              </w:rPr>
              <w:t>Un index retiré du plan laisse ses valeurs en base.</w:t>
            </w:r>
          </w:p>
        </w:tc>
        <w:tc>
          <w:tcPr>
            <w:tcW w:type="dxa" w:w="3175"/>
          </w:tcPr>
          <w:p>
            <w:pPr>
              <w:spacing w:after="40"/>
            </w:pPr>
            <w:r/>
            <w:r>
              <w:rPr>
                <w:sz w:val="18"/>
              </w:rPr>
              <w:t>Les valeurs deviennent invisibles dans le formulaire et dans les critères, mais occupent la table et réapparaîtraient si l'index était restauré.</w:t>
            </w:r>
          </w:p>
        </w:tc>
        <w:tc>
          <w:tcPr>
            <w:tcW w:type="dxa" w:w="3402"/>
          </w:tcPr>
          <w:p>
            <w:pPr>
              <w:spacing w:after="40"/>
            </w:pPr>
            <w:r/>
            <w:r>
              <w:rPr>
                <w:sz w:val="18"/>
              </w:rPr>
              <w:t>Comportement cohérent avec la corbeille réversible ; à documenter plutôt qu'à corriger.</w:t>
            </w:r>
          </w:p>
        </w:tc>
      </w:tr>
      <w:tr>
        <w:tc>
          <w:tcPr>
            <w:tcW w:type="dxa" w:w="3061"/>
          </w:tcPr>
          <w:p>
            <w:pPr>
              <w:spacing w:after="40"/>
            </w:pPr>
            <w:r/>
            <w:r>
              <w:rPr>
                <w:sz w:val="18"/>
              </w:rPr>
              <w:t>Deux requêtes concurrentes d'indexation sur le même document peuvent violer l'unicité de la paire document / index.</w:t>
            </w:r>
          </w:p>
        </w:tc>
        <w:tc>
          <w:tcPr>
            <w:tcW w:type="dxa" w:w="3175"/>
          </w:tcPr>
          <w:p>
            <w:pPr>
              <w:spacing w:after="40"/>
            </w:pPr>
            <w:r/>
            <w:r>
              <w:rPr>
                <w:sz w:val="18"/>
              </w:rPr>
              <w:t>La seconde reçoit une erreur d'intégrité traduite en refus, et non un écrasement silencieux.</w:t>
            </w:r>
          </w:p>
        </w:tc>
        <w:tc>
          <w:tcPr>
            <w:tcW w:type="dxa" w:w="3402"/>
          </w:tcPr>
          <w:p>
            <w:pPr>
              <w:spacing w:after="40"/>
            </w:pPr>
            <w:r/>
            <w:r>
              <w:rPr>
                <w:sz w:val="18"/>
              </w:rPr>
              <w:t>Acceptable en usage mono-utilisateur ; à revoir si l'API devait être appelée par un traitement automatisé.</w:t>
            </w:r>
          </w:p>
        </w:tc>
      </w:tr>
      <w:tr>
        <w:tc>
          <w:tcPr>
            <w:tcW w:type="dxa" w:w="3061"/>
          </w:tcPr>
          <w:p>
            <w:pPr>
              <w:spacing w:after="40"/>
            </w:pPr>
            <w:r/>
            <w:r>
              <w:rPr>
                <w:sz w:val="18"/>
              </w:rPr>
              <w:t>Le découpage du nom de fichier est purement positionnel.</w:t>
            </w:r>
          </w:p>
        </w:tc>
        <w:tc>
          <w:tcPr>
            <w:tcW w:type="dxa" w:w="3175"/>
          </w:tcPr>
          <w:p>
            <w:pPr>
              <w:spacing w:after="40"/>
            </w:pPr>
            <w:r/>
            <w:r>
              <w:rPr>
                <w:sz w:val="18"/>
              </w:rPr>
              <w:t>Un segment surnuméraire décale tous les suivants ; le motif de rejet le dit, mais l'opérateur doit comprendre la charte pour le lire.</w:t>
            </w:r>
          </w:p>
        </w:tc>
        <w:tc>
          <w:tcPr>
            <w:tcW w:type="dxa" w:w="3402"/>
          </w:tcPr>
          <w:p>
            <w:pPr>
              <w:spacing w:after="40"/>
            </w:pPr>
            <w:r/>
            <w:r>
              <w:rPr>
                <w:sz w:val="18"/>
              </w:rPr>
              <w:t>Aucune correction envisagée : la règle doit rester prévisible et explicable.</w:t>
            </w:r>
          </w:p>
        </w:tc>
      </w:tr>
    </w:tbl>
    <w:p>
      <w:pPr>
        <w:spacing w:after="40"/>
      </w:pPr>
    </w:p>
    <w:p>
      <w:pPr>
        <w:pStyle w:val="Heading2"/>
        <w:spacing w:before="280" w:after="120"/>
      </w:pPr>
      <w:r>
        <w:t>10.3 Ce qui n'est pas géré</w:t>
      </w:r>
    </w:p>
    <w:p>
      <w:pPr>
        <w:pStyle w:val="ListBullet"/>
        <w:spacing w:after="60"/>
      </w:pPr>
      <w:r>
        <w:rPr>
          <w:b/>
        </w:rPr>
        <w:t>Aucune indexation différée ou en arrière-plan.</w:t>
      </w:r>
      <w:r>
        <w:rPr>
          <w:b w:val="0"/>
        </w:rPr>
        <w:t xml:space="preserve"> Toute lecture de contenu se fait dans le temps de la requête, pendant que l'opérateur attend.</w:t>
      </w:r>
    </w:p>
    <w:p>
      <w:pPr>
        <w:pStyle w:val="ListBullet"/>
        <w:spacing w:after="60"/>
      </w:pPr>
      <w:r>
        <w:rPr>
          <w:b/>
        </w:rPr>
        <w:t>Aucune reprise en lot.</w:t>
      </w:r>
      <w:r>
        <w:rPr>
          <w:b w:val="0"/>
        </w:rPr>
        <w:t xml:space="preserve"> Il n'existe pas d'opération permettant de réindexer un ensemble de documents après une correction de plan.</w:t>
      </w:r>
    </w:p>
    <w:p>
      <w:pPr>
        <w:pStyle w:val="ListBullet"/>
        <w:spacing w:after="60"/>
      </w:pPr>
      <w:r>
        <w:rPr>
          <w:b/>
        </w:rPr>
        <w:t>Aucune mémorisation du texte extrait.</w:t>
      </w:r>
      <w:r>
        <w:rPr>
          <w:b w:val="0"/>
        </w:rPr>
        <w:t xml:space="preserve"> Consulter deux fois le contenu d'un document relance intégralement la chaîne de lecture.</w:t>
      </w:r>
    </w:p>
    <w:p>
      <w:pPr>
        <w:pStyle w:val="ListBullet"/>
        <w:spacing w:after="60"/>
      </w:pPr>
      <w:r>
        <w:rPr>
          <w:b/>
        </w:rPr>
        <w:t>Aucune inférence statistique.</w:t>
      </w:r>
      <w:r>
        <w:rPr>
          <w:b w:val="0"/>
        </w:rPr>
        <w:t xml:space="preserve"> La déduction est volontairement simple et explicable : libellé de l'index cherché dans le texte, puis motif propre au type. Ce qui n'est pas trouvé est laissé vide plutôt que deviné, et tout passe de toute façon par la confirmation humaine.</w:t>
      </w:r>
    </w:p>
    <w:p>
      <w:pPr>
        <w:pStyle w:val="ListBullet"/>
        <w:spacing w:after="60"/>
      </w:pPr>
      <w:r>
        <w:rPr>
          <w:b/>
        </w:rPr>
        <w:t>Aucune trace de la provenance après coup.</w:t>
      </w:r>
      <w:r>
        <w:rPr>
          <w:b w:val="0"/>
        </w:rPr>
        <w:t xml:space="preserve"> Une fois la valeur enregistrée, rien ne distingue en base une valeur déduite d'une valeur saisie.</w:t>
      </w:r>
    </w:p>
    <w:p>
      <w:pPr>
        <w:pStyle w:val="Heading2"/>
        <w:spacing w:before="280" w:after="120"/>
      </w:pPr>
      <w:r>
        <w:t>10.4 Ce qui reste à faire</w:t>
      </w:r>
    </w:p>
    <w:p>
      <w:pPr>
        <w:pStyle w:val="ListNumber"/>
        <w:spacing w:after="60"/>
      </w:pPr>
      <w:r>
        <w:rPr>
          <w:b w:val="0"/>
        </w:rPr>
        <w:t>Valider la chaîne de reconnaissance optique sur un serveur cible, et corriger le chemin de commande livré.</w:t>
      </w:r>
    </w:p>
    <w:p>
      <w:pPr>
        <w:pStyle w:val="ListNumber"/>
        <w:spacing w:after="60"/>
      </w:pPr>
      <w:r>
        <w:rPr>
          <w:b w:val="0"/>
        </w:rPr>
        <w:t>Décider du sort de l'état « à indexer » : le rendre visible dans la liste des documents, ou porter l'obligation dans le dépôt.</w:t>
      </w:r>
    </w:p>
    <w:p>
      <w:pPr>
        <w:pStyle w:val="ListNumber"/>
        <w:spacing w:after="60"/>
      </w:pPr>
      <w:r>
        <w:rPr>
          <w:b w:val="0"/>
        </w:rPr>
        <w:t>Porter la sélection de la recherche par index en base avant la mise en production sur un fonds réel.</w:t>
      </w:r>
    </w:p>
    <w:p>
      <w:pPr>
        <w:pStyle w:val="ListNumber"/>
        <w:spacing w:after="60"/>
      </w:pPr>
      <w:r>
        <w:rPr>
          <w:b w:val="0"/>
        </w:rPr>
        <w:t>Documenter, à destination des opérateurs, la charte de nommage attendue par chaque plan : c'est elle qui conditionne la qualité de la déduction, et elle n'est aujourd'hui lisible que dans l'écran de paramétrage.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 xml:space="preserve">Page </w:t>
    </w:r>
    <w:r>
      <w:rPr>
        <w:color w:val="666666"/>
        <w:sz w:val="18"/>
      </w:rPr>
      <w:fldChar w:fldCharType="begin"/>
      <w:instrText xml:space="preserve">PAGE</w:instrText>
      <w:fldChar w:fldCharType="end"/>
    </w:r>
    <w:r>
      <w:rPr>
        <w:color w:val="666666"/>
        <w:sz w:val="18"/>
      </w:rPr>
      <w:t xml:space="preserve"> sur </w:t>
    </w:r>
    <w:r>
      <w:rPr>
        <w:color w:val="666666"/>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