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355E"/>
          <w:sz w:val="26"/>
        </w:rPr>
        <w:t>GED Marchica Med</w:t>
      </w:r>
    </w:p>
    <w:p>
      <w:pPr>
        <w:jc w:val="center"/>
      </w:pPr>
      <w:r>
        <w:rPr>
          <w:color w:val="606060"/>
          <w:sz w:val="20"/>
        </w:rPr>
        <w:t>Gestion électronique de documents</w:t>
      </w:r>
    </w:p>
    <w:p/>
    <w:p>
      <w:pPr>
        <w:jc w:val="center"/>
      </w:pPr>
      <w:r>
        <w:rPr>
          <w:b/>
          <w:color w:val="1F355E"/>
          <w:sz w:val="52"/>
        </w:rPr>
        <w:t>Rapport fonctionnel</w:t>
      </w:r>
    </w:p>
    <w:p>
      <w:pPr>
        <w:jc w:val="center"/>
      </w:pPr>
      <w:r>
        <w:rPr>
          <w:color w:val="334466"/>
          <w:sz w:val="28"/>
        </w:rPr>
        <w:t>Interface 01 — Connexion</w:t>
      </w:r>
    </w:p>
    <w:p/>
    <w:p/>
    <w:p/>
    <w:p/>
    <w:p/>
    <w:p/>
    <w:tbl>
      <w:tblPr>
        <w:tblStyle w:val="LightGrid-Accent1"/>
        <w:tblW w:type="auto" w:w="0"/>
        <w:jc w:val="center"/>
        <w:tblLayout w:type="fixed"/>
        <w:tblLook w:firstColumn="1" w:firstRow="1" w:lastColumn="0" w:lastRow="0" w:noHBand="0" w:noVBand="1" w:val="04A0"/>
      </w:tblPr>
      <w:tblGrid>
        <w:gridCol w:w="4819"/>
        <w:gridCol w:w="4819"/>
      </w:tblGrid>
      <w:tr>
        <w:tc>
          <w:tcPr>
            <w:tcW w:type="dxa" w:w="3118"/>
          </w:tcPr>
          <w:p>
            <w:r>
              <w:rPr>
                <w:b/>
                <w:sz w:val="20"/>
              </w:rPr>
              <w:t>Application</w:t>
            </w:r>
          </w:p>
        </w:tc>
        <w:tc>
          <w:tcPr>
            <w:tcW w:type="dxa" w:w="5386"/>
          </w:tcPr>
          <w:p>
            <w:r>
              <w:rPr>
                <w:sz w:val="20"/>
              </w:rPr>
              <w:t>GED Marchica Med</w:t>
            </w:r>
          </w:p>
        </w:tc>
      </w:tr>
      <w:tr>
        <w:tc>
          <w:tcPr>
            <w:tcW w:type="dxa" w:w="3118"/>
          </w:tcPr>
          <w:p>
            <w:r>
              <w:rPr>
                <w:b/>
                <w:sz w:val="20"/>
              </w:rPr>
              <w:t>Interface décrite</w:t>
            </w:r>
          </w:p>
        </w:tc>
        <w:tc>
          <w:tcPr>
            <w:tcW w:type="dxa" w:w="5386"/>
          </w:tcPr>
          <w:p>
            <w:r>
              <w:rPr>
                <w:sz w:val="20"/>
              </w:rPr>
              <w:t>01 — Connexion</w:t>
            </w:r>
          </w:p>
        </w:tc>
      </w:tr>
      <w:tr>
        <w:tc>
          <w:tcPr>
            <w:tcW w:type="dxa" w:w="3118"/>
          </w:tcPr>
          <w:p>
            <w:r>
              <w:rPr>
                <w:b/>
                <w:sz w:val="20"/>
              </w:rPr>
              <w:t>Volet</w:t>
            </w:r>
          </w:p>
        </w:tc>
        <w:tc>
          <w:tcPr>
            <w:tcW w:type="dxa" w:w="5386"/>
          </w:tcPr>
          <w:p>
            <w:r>
              <w:rPr>
                <w:sz w:val="20"/>
              </w:rPr>
              <w:t>Volet fonctionnel</w:t>
            </w:r>
          </w:p>
        </w:tc>
      </w:tr>
      <w:tr>
        <w:tc>
          <w:tcPr>
            <w:tcW w:type="dxa" w:w="3118"/>
          </w:tcPr>
          <w:p>
            <w:r>
              <w:rPr>
                <w:b/>
                <w:sz w:val="20"/>
              </w:rPr>
              <w:t>Date du document</w:t>
            </w:r>
          </w:p>
        </w:tc>
        <w:tc>
          <w:tcPr>
            <w:tcW w:type="dxa" w:w="5386"/>
          </w:tcPr>
          <w:p>
            <w:r>
              <w:rPr>
                <w:sz w:val="20"/>
              </w:rPr>
              <w:t>13 août 2026</w:t>
            </w:r>
          </w:p>
        </w:tc>
      </w:tr>
    </w:tbl>
    <w:p/>
    <w:p/>
    <w:p/>
    <w:p/>
    <w:p/>
    <w:p>
      <w:pPr>
        <w:jc w:val="center"/>
      </w:pPr>
      <w:r>
        <w:rPr>
          <w:i/>
          <w:color w:val="606060"/>
          <w:sz w:val="18"/>
        </w:rPr>
        <w:t>Document fonctionnel. Il décrit la logique et le processus de l’interface à l’intention des responsables métier, chefs de projet et consultants fonctionnels. Il ne contient aucun élément technique.</w:t>
      </w:r>
    </w:p>
    <w:p>
      <w:r>
        <w:br w:type="page"/>
      </w:r>
    </w:p>
    <w:p>
      <w:pPr>
        <w:pStyle w:val="Heading1"/>
      </w:pPr>
      <w:r>
        <w:t>Sommaire</w:t>
      </w:r>
    </w:p>
    <w:p>
      <w:r>
        <w:rPr>
          <w:i/>
          <w:color w:val="606060"/>
          <w:sz w:val="19"/>
        </w:rPr>
        <w:t>Les sections ci-dessous se suivent dans l’ordre du document.</w:t>
      </w:r>
    </w:p>
    <w:tbl>
      <w:tblPr>
        <w:tblStyle w:val="LightGrid-Accent1"/>
        <w:tblW w:type="auto" w:w="0"/>
        <w:tblLayout w:type="fixed"/>
        <w:tblLook w:firstColumn="1" w:firstRow="1" w:lastColumn="0" w:lastRow="0" w:noHBand="0" w:noVBand="1" w:val="04A0"/>
      </w:tblPr>
      <w:tblGrid>
        <w:gridCol w:w="4819"/>
        <w:gridCol w:w="4819"/>
      </w:tblGrid>
      <w:tr>
        <w:tc>
          <w:tcPr>
            <w:tcW w:type="dxa" w:w="3515"/>
          </w:tcPr>
          <w:p>
            <w:r>
              <w:rPr>
                <w:b/>
                <w:sz w:val="19"/>
              </w:rPr>
              <w:t>Section</w:t>
            </w:r>
          </w:p>
        </w:tc>
        <w:tc>
          <w:tcPr>
            <w:tcW w:type="dxa" w:w="6123"/>
          </w:tcPr>
          <w:p>
            <w:r>
              <w:rPr>
                <w:b/>
                <w:sz w:val="19"/>
              </w:rPr>
              <w:t>Objet</w:t>
            </w:r>
          </w:p>
        </w:tc>
      </w:tr>
      <w:tr>
        <w:tc>
          <w:tcPr>
            <w:tcW w:type="dxa" w:w="3515"/>
          </w:tcPr>
          <w:p>
            <w:r>
              <w:rPr>
                <w:b/>
                <w:sz w:val="19"/>
              </w:rPr>
              <w:t>1. Objet de l’interface</w:t>
            </w:r>
          </w:p>
        </w:tc>
        <w:tc>
          <w:tcPr>
            <w:tcW w:type="dxa" w:w="6123"/>
          </w:tcPr>
          <w:p>
            <w:r>
              <w:rPr>
                <w:sz w:val="19"/>
              </w:rPr>
              <w:t>À quoi sert l’écran et quelle place il occupe dans le processus global de la GED.</w:t>
            </w:r>
          </w:p>
        </w:tc>
      </w:tr>
      <w:tr>
        <w:tc>
          <w:tcPr>
            <w:tcW w:type="dxa" w:w="3515"/>
          </w:tcPr>
          <w:p>
            <w:r>
              <w:rPr>
                <w:b/>
                <w:sz w:val="19"/>
              </w:rPr>
              <w:t>2. Les notions manipulées</w:t>
            </w:r>
          </w:p>
        </w:tc>
        <w:tc>
          <w:tcPr>
            <w:tcW w:type="dxa" w:w="6123"/>
          </w:tcPr>
          <w:p>
            <w:r>
              <w:rPr>
                <w:sz w:val="19"/>
              </w:rPr>
              <w:t>Définition de chaque notion métier et distinction d’avec les notions voisines.</w:t>
            </w:r>
          </w:p>
        </w:tc>
      </w:tr>
      <w:tr>
        <w:tc>
          <w:tcPr>
            <w:tcW w:type="dxa" w:w="3515"/>
          </w:tcPr>
          <w:p>
            <w:r>
              <w:rPr>
                <w:b/>
                <w:sz w:val="19"/>
              </w:rPr>
              <w:t>3. Ce que l’utilisateur voit</w:t>
            </w:r>
          </w:p>
        </w:tc>
        <w:tc>
          <w:tcPr>
            <w:tcW w:type="dxa" w:w="6123"/>
          </w:tcPr>
          <w:p>
            <w:r>
              <w:rPr>
                <w:sz w:val="19"/>
              </w:rPr>
              <w:t>Zones de l’écran, listes et colonnes, filtres, états vides, et ce que chaque information apprend.</w:t>
            </w:r>
          </w:p>
        </w:tc>
      </w:tr>
      <w:tr>
        <w:tc>
          <w:tcPr>
            <w:tcW w:type="dxa" w:w="3515"/>
          </w:tcPr>
          <w:p>
            <w:r>
              <w:rPr>
                <w:b/>
                <w:sz w:val="19"/>
              </w:rPr>
              <w:t>4. Le processus, étape par étape</w:t>
            </w:r>
          </w:p>
        </w:tc>
        <w:tc>
          <w:tcPr>
            <w:tcW w:type="dxa" w:w="6123"/>
          </w:tcPr>
          <w:p>
            <w:r>
              <w:rPr>
                <w:sz w:val="19"/>
              </w:rPr>
              <w:t>Déroulé complet de chaque parcours, en suite numérotée et en schéma.</w:t>
            </w:r>
          </w:p>
        </w:tc>
      </w:tr>
      <w:tr>
        <w:tc>
          <w:tcPr>
            <w:tcW w:type="dxa" w:w="3515"/>
          </w:tcPr>
          <w:p>
            <w:r>
              <w:rPr>
                <w:b/>
                <w:sz w:val="19"/>
              </w:rPr>
              <w:t>5. Les données saisies</w:t>
            </w:r>
          </w:p>
        </w:tc>
        <w:tc>
          <w:tcPr>
            <w:tcW w:type="dxa" w:w="6123"/>
          </w:tcPr>
          <w:p>
            <w:r>
              <w:rPr>
                <w:sz w:val="19"/>
              </w:rPr>
              <w:t>Champs affichés, nature, caractère obligatoire, valeur par défaut, exemple et explication.</w:t>
            </w:r>
          </w:p>
        </w:tc>
      </w:tr>
      <w:tr>
        <w:tc>
          <w:tcPr>
            <w:tcW w:type="dxa" w:w="3515"/>
          </w:tcPr>
          <w:p>
            <w:r>
              <w:rPr>
                <w:b/>
                <w:sz w:val="19"/>
              </w:rPr>
              <w:t>6. Les règles de gestion</w:t>
            </w:r>
          </w:p>
        </w:tc>
        <w:tc>
          <w:tcPr>
            <w:tcW w:type="dxa" w:w="6123"/>
          </w:tcPr>
          <w:p>
            <w:r>
              <w:rPr>
                <w:sz w:val="19"/>
              </w:rPr>
              <w:t>Règles numérotées, chacune assortie de sa justification métier.</w:t>
            </w:r>
          </w:p>
        </w:tc>
      </w:tr>
      <w:tr>
        <w:tc>
          <w:tcPr>
            <w:tcW w:type="dxa" w:w="3515"/>
          </w:tcPr>
          <w:p>
            <w:r>
              <w:rPr>
                <w:b/>
                <w:sz w:val="19"/>
              </w:rPr>
              <w:t>7. Les contrôles et les refus</w:t>
            </w:r>
          </w:p>
        </w:tc>
        <w:tc>
          <w:tcPr>
            <w:tcW w:type="dxa" w:w="6123"/>
          </w:tcPr>
          <w:p>
            <w:r>
              <w:rPr>
                <w:sz w:val="19"/>
              </w:rPr>
              <w:t>Situations de refus, message exact affiché et conséquence pour l’utilisateur.</w:t>
            </w:r>
          </w:p>
        </w:tc>
      </w:tr>
      <w:tr>
        <w:tc>
          <w:tcPr>
            <w:tcW w:type="dxa" w:w="3515"/>
          </w:tcPr>
          <w:p>
            <w:r>
              <w:rPr>
                <w:b/>
                <w:sz w:val="19"/>
              </w:rPr>
              <w:t>8. Les cas particuliers</w:t>
            </w:r>
          </w:p>
        </w:tc>
        <w:tc>
          <w:tcPr>
            <w:tcW w:type="dxa" w:w="6123"/>
          </w:tcPr>
          <w:p>
            <w:r>
              <w:rPr>
                <w:sz w:val="19"/>
              </w:rPr>
              <w:t>Comportements que le lecteur ne devinera pas à la lecture de l’écran.</w:t>
            </w:r>
          </w:p>
        </w:tc>
      </w:tr>
      <w:tr>
        <w:tc>
          <w:tcPr>
            <w:tcW w:type="dxa" w:w="3515"/>
          </w:tcPr>
          <w:p>
            <w:r>
              <w:rPr>
                <w:b/>
                <w:sz w:val="19"/>
              </w:rPr>
              <w:t>9. Enchaînement avec les autres interfaces</w:t>
            </w:r>
          </w:p>
        </w:tc>
        <w:tc>
          <w:tcPr>
            <w:tcW w:type="dxa" w:w="6123"/>
          </w:tcPr>
          <w:p>
            <w:r>
              <w:rPr>
                <w:sz w:val="19"/>
              </w:rPr>
              <w:t>Ce qui doit exister en amont, ce qui dépend de cet écran en aval.</w:t>
            </w:r>
          </w:p>
        </w:tc>
      </w:tr>
      <w:tr>
        <w:tc>
          <w:tcPr>
            <w:tcW w:type="dxa" w:w="3515"/>
          </w:tcPr>
          <w:p>
            <w:r>
              <w:rPr>
                <w:b/>
                <w:sz w:val="19"/>
              </w:rPr>
              <w:t>10. Points de vigilance</w:t>
            </w:r>
          </w:p>
        </w:tc>
        <w:tc>
          <w:tcPr>
            <w:tcW w:type="dxa" w:w="6123"/>
          </w:tcPr>
          <w:p>
            <w:r>
              <w:rPr>
                <w:sz w:val="19"/>
              </w:rPr>
              <w:t>Ce qui est mal compris, ce qui a déjà causé des erreurs, ce que l’application ne fait pas.</w:t>
            </w:r>
          </w:p>
        </w:tc>
      </w:tr>
    </w:tbl>
    <w:p>
      <w:r>
        <w:br w:type="page"/>
      </w:r>
    </w:p>
    <w:p>
      <w:pPr>
        <w:pStyle w:val="Heading1"/>
      </w:pPr>
      <w:r>
        <w:t>1. Objet de l’interface</w:t>
      </w:r>
    </w:p>
    <w:p>
      <w:r>
        <w:rPr>
          <w:i w:val="0"/>
        </w:rPr>
        <w:t>L’écran de connexion est la porte unique de l’application. Il recueille une adresse électronique et un mot de passe, les soumet à vérification, et n’ouvre l’application que si l’identité est reconnue. Tant que cette étape n’est pas franchie, aucun autre écran n’est atteignable : une adresse saisie directement dans la barre du navigateur est systématiquement ramenée ici.</w:t>
      </w:r>
    </w:p>
    <w:p>
      <w:r>
        <w:rPr>
          <w:i w:val="0"/>
        </w:rPr>
        <w:t>Cet écran occupe donc la position zéro du processus de la GED. Il ne participe à aucune opération documentaire : il ne classe rien, ne signe rien, ne recherche rien. Sa seule fonction est d’établir, pour la durée d’une session de travail, l’identité de la personne qui agira ensuite dans tous les autres écrans.</w:t>
      </w:r>
    </w:p>
    <w:p>
      <w:r>
        <w:rPr>
          <w:i w:val="0"/>
        </w:rPr>
        <w:t>Un point de cadrage doit être posé d’emblée, car il conditionne la lecture de tout le reste de la documentation : l’application ne comporte qu’un seul compte de connexion, celui de l’administrateur. Les autres personnes présentes dans l’application — propriétaires de dossiers, approbateurs d’étapes, membres de groupes — sont des employés, c’est-à-dire des données de référence. Elles n’ont pas de mot de passe, ne se connectent pas, et n’ont donc rien à faire sur cet écran. Il n’existe ni rôle, ni profil, ni niveau de permission.</w:t>
      </w:r>
    </w:p>
    <w:p>
      <w:pPr>
        <w:pStyle w:val="Heading2"/>
      </w:pPr>
      <w:r>
        <w:t>1.1 Ce que l’écran garantit, et ce qu’il ne garantit pas</w:t>
      </w:r>
    </w:p>
    <w:p>
      <w:r>
        <w:rPr>
          <w:i w:val="0"/>
        </w:rPr>
        <w:t>L’écran garantit qu’aucune donnée documentaire n’est visible sans identification préalable, que la session ouverte a une durée de vie limitée, et que les tentatives répétées d’intrusion sont freinées. Il ne garantit pas, en revanche, une séparation des responsabilités entre plusieurs personnes : il n’y a qu’un compte, et ce compte peut tout faire. Toute exigence de cloisonnement exprimée en cours de projet devra donc être traitée en dehors de l’application, par exemple en limitant physiquement l’accès au poste.</w:t>
      </w:r>
    </w:p>
    <w:p>
      <w:pPr>
        <w:pStyle w:val="Heading1"/>
      </w:pPr>
      <w:r>
        <w:t>2. Les notions manipulées</w:t>
      </w:r>
    </w:p>
    <w:p>
      <w:pPr>
        <w:pStyle w:val="Heading2"/>
      </w:pPr>
      <w:r>
        <w:t>2.1 Le compte de connexion et l’employé</w:t>
      </w:r>
    </w:p>
    <w:p>
      <w:r>
        <w:rPr>
          <w:i w:val="0"/>
        </w:rPr>
        <w:t>Ce sont deux objets distincts, et la confusion entre les deux est la principale source de malentendu autour de cet écran.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r>
          </w:p>
        </w:tc>
        <w:tc>
          <w:tcPr>
            <w:tcW w:type="dxa" w:w="3213"/>
          </w:tcPr>
          <w:p>
            <w:r>
              <w:rPr>
                <w:b/>
                <w:sz w:val="18"/>
              </w:rPr>
              <w:t>Le compte de connexion</w:t>
            </w:r>
          </w:p>
        </w:tc>
        <w:tc>
          <w:tcPr>
            <w:tcW w:type="dxa" w:w="3213"/>
          </w:tcPr>
          <w:p>
            <w:r>
              <w:rPr>
                <w:b/>
                <w:sz w:val="18"/>
              </w:rPr>
              <w:t>L’employé</w:t>
            </w:r>
          </w:p>
        </w:tc>
      </w:tr>
      <w:tr>
        <w:tc>
          <w:tcPr>
            <w:tcW w:type="dxa" w:w="3213"/>
          </w:tcPr>
          <w:p>
            <w:pPr>
              <w:spacing w:after="40"/>
            </w:pPr>
            <w:r>
              <w:rPr>
                <w:b w:val="0"/>
                <w:sz w:val="18"/>
              </w:rPr>
              <w:t>Question à laquelle il répond</w:t>
            </w:r>
          </w:p>
        </w:tc>
        <w:tc>
          <w:tcPr>
            <w:tcW w:type="dxa" w:w="3213"/>
          </w:tcPr>
          <w:p>
            <w:pPr>
              <w:spacing w:after="40"/>
            </w:pPr>
            <w:r>
              <w:rPr>
                <w:b w:val="0"/>
                <w:sz w:val="18"/>
              </w:rPr>
              <w:t>Qui peut ouvrir l’application ?</w:t>
            </w:r>
          </w:p>
        </w:tc>
        <w:tc>
          <w:tcPr>
            <w:tcW w:type="dxa" w:w="3213"/>
          </w:tcPr>
          <w:p>
            <w:pPr>
              <w:spacing w:after="40"/>
            </w:pPr>
            <w:r>
              <w:rPr>
                <w:b w:val="0"/>
                <w:sz w:val="18"/>
              </w:rPr>
              <w:t>De qui parle-t-on dans les dossiers et les circuits ?</w:t>
            </w:r>
          </w:p>
        </w:tc>
      </w:tr>
      <w:tr>
        <w:tc>
          <w:tcPr>
            <w:tcW w:type="dxa" w:w="3213"/>
          </w:tcPr>
          <w:p>
            <w:pPr>
              <w:spacing w:after="40"/>
            </w:pPr>
            <w:r>
              <w:rPr>
                <w:b w:val="0"/>
                <w:sz w:val="18"/>
              </w:rPr>
              <w:t>Nombre dans le produit</w:t>
            </w:r>
          </w:p>
        </w:tc>
        <w:tc>
          <w:tcPr>
            <w:tcW w:type="dxa" w:w="3213"/>
          </w:tcPr>
          <w:p>
            <w:pPr>
              <w:spacing w:after="40"/>
            </w:pPr>
            <w:r>
              <w:rPr>
                <w:b w:val="0"/>
                <w:sz w:val="18"/>
              </w:rPr>
              <w:t>Un seul : l’administrateur</w:t>
            </w:r>
          </w:p>
        </w:tc>
        <w:tc>
          <w:tcPr>
            <w:tcW w:type="dxa" w:w="3213"/>
          </w:tcPr>
          <w:p>
            <w:pPr>
              <w:spacing w:after="40"/>
            </w:pPr>
            <w:r>
              <w:rPr>
                <w:b w:val="0"/>
                <w:sz w:val="18"/>
              </w:rPr>
              <w:t>Autant que l’organisation en compte</w:t>
            </w:r>
          </w:p>
        </w:tc>
      </w:tr>
      <w:tr>
        <w:tc>
          <w:tcPr>
            <w:tcW w:type="dxa" w:w="3213"/>
          </w:tcPr>
          <w:p>
            <w:pPr>
              <w:spacing w:after="40"/>
            </w:pPr>
            <w:r>
              <w:rPr>
                <w:b w:val="0"/>
                <w:sz w:val="18"/>
              </w:rPr>
              <w:t>Possède un mot de passe</w:t>
            </w:r>
          </w:p>
        </w:tc>
        <w:tc>
          <w:tcPr>
            <w:tcW w:type="dxa" w:w="3213"/>
          </w:tcPr>
          <w:p>
            <w:pPr>
              <w:spacing w:after="40"/>
            </w:pPr>
            <w:r>
              <w:rPr>
                <w:b w:val="0"/>
                <w:sz w:val="18"/>
              </w:rPr>
              <w:t>Oui</w:t>
            </w:r>
          </w:p>
        </w:tc>
        <w:tc>
          <w:tcPr>
            <w:tcW w:type="dxa" w:w="3213"/>
          </w:tcPr>
          <w:p>
            <w:pPr>
              <w:spacing w:after="40"/>
            </w:pPr>
            <w:r>
              <w:rPr>
                <w:b w:val="0"/>
                <w:sz w:val="18"/>
              </w:rPr>
              <w:t>Non</w:t>
            </w:r>
          </w:p>
        </w:tc>
      </w:tr>
      <w:tr>
        <w:tc>
          <w:tcPr>
            <w:tcW w:type="dxa" w:w="3213"/>
          </w:tcPr>
          <w:p>
            <w:pPr>
              <w:spacing w:after="40"/>
            </w:pPr>
            <w:r>
              <w:rPr>
                <w:b w:val="0"/>
                <w:sz w:val="18"/>
              </w:rPr>
              <w:t>Apparaît dans les écrans</w:t>
            </w:r>
          </w:p>
        </w:tc>
        <w:tc>
          <w:tcPr>
            <w:tcW w:type="dxa" w:w="3213"/>
          </w:tcPr>
          <w:p>
            <w:pPr>
              <w:spacing w:after="40"/>
            </w:pPr>
            <w:r>
              <w:rPr>
                <w:b w:val="0"/>
                <w:sz w:val="18"/>
              </w:rPr>
              <w:t>Par son nom, en haut à droite</w:t>
            </w:r>
          </w:p>
        </w:tc>
        <w:tc>
          <w:tcPr>
            <w:tcW w:type="dxa" w:w="3213"/>
          </w:tcPr>
          <w:p>
            <w:pPr>
              <w:spacing w:after="40"/>
            </w:pPr>
            <w:r>
              <w:rPr>
                <w:b w:val="0"/>
                <w:sz w:val="18"/>
              </w:rPr>
              <w:t>Comme propriétaire de dossier, approbateur d’étape, membre de groupe</w:t>
            </w:r>
          </w:p>
        </w:tc>
      </w:tr>
      <w:tr>
        <w:tc>
          <w:tcPr>
            <w:tcW w:type="dxa" w:w="3213"/>
          </w:tcPr>
          <w:p>
            <w:pPr>
              <w:spacing w:after="40"/>
            </w:pPr>
            <w:r>
              <w:rPr>
                <w:b w:val="0"/>
                <w:sz w:val="18"/>
              </w:rPr>
              <w:t>Peut être désactivé</w:t>
            </w:r>
          </w:p>
        </w:tc>
        <w:tc>
          <w:tcPr>
            <w:tcW w:type="dxa" w:w="3213"/>
          </w:tcPr>
          <w:p>
            <w:pPr>
              <w:spacing w:after="40"/>
            </w:pPr>
            <w:r>
              <w:rPr>
                <w:b w:val="0"/>
                <w:sz w:val="18"/>
              </w:rPr>
              <w:t>Oui</w:t>
            </w:r>
          </w:p>
        </w:tc>
        <w:tc>
          <w:tcPr>
            <w:tcW w:type="dxa" w:w="3213"/>
          </w:tcPr>
          <w:p>
            <w:pPr>
              <w:spacing w:after="40"/>
            </w:pPr>
            <w:r>
              <w:rPr>
                <w:b w:val="0"/>
                <w:sz w:val="18"/>
              </w:rPr>
              <w:t>Sans objet</w:t>
            </w:r>
          </w:p>
        </w:tc>
      </w:tr>
    </w:tbl>
    <w:p/>
    <w:p>
      <w:r>
        <w:rPr>
          <w:i w:val="0"/>
        </w:rPr>
        <w:t>Un employé peut porter la mention « peut se connecter ». Cette mention sert exclusivement à alimenter les listes de choix d’approbateur et de propriétaire : elle ne crée aucun compte et n’ouvre aucun accès. Il ne faut donc jamais présenter un employé comme un utilisateur en attente d’activation.</w:t>
      </w:r>
    </w:p>
    <w:p>
      <w:pPr>
        <w:pStyle w:val="Heading2"/>
      </w:pPr>
      <w:r>
        <w:t>2.2 La session</w:t>
      </w:r>
    </w:p>
    <w:p>
      <w:r>
        <w:rPr>
          <w:i w:val="0"/>
        </w:rPr>
        <w:t>La session est la période pendant laquelle l’application reconnaît la personne connectée sans lui redemander son mot de passe. Elle est ouverte par une connexion réussie et se referme dans trois cas : la déconnexion volontaire, la fermeture de l’onglet lorsque la session n’a pas été mémorisée, et l’expiration au terme de sa durée de vie (deux heures dans le paramétrage courant).</w:t>
      </w:r>
    </w:p>
    <w:p>
      <w:r>
        <w:rPr>
          <w:i w:val="0"/>
        </w:rPr>
        <w:t>La session n’est pas le compte. Fermer une session ne supprime rien, ne désactive rien : elle rend simplement une nouvelle identification nécessaire.</w:t>
      </w:r>
    </w:p>
    <w:p>
      <w:pPr>
        <w:pStyle w:val="Heading2"/>
      </w:pPr>
      <w:r>
        <w:t>2.3 La portée de la session : « Se souvenir de moi »</w:t>
      </w:r>
    </w:p>
    <w:p>
      <w:r>
        <w:rPr>
          <w:i w:val="0"/>
        </w:rPr>
        <w:t>Cette case décide de la portée de la session, et non de sa durée de validité côté serveur, qui reste la même dans les deux cas.</w:t>
      </w:r>
    </w:p>
    <w:tbl>
      <w:tblPr>
        <w:tblStyle w:val="LightGrid-Accent1"/>
        <w:tblW w:type="auto" w:w="0"/>
        <w:tblLayout w:type="autofit"/>
        <w:tblLook w:firstColumn="1" w:firstRow="1" w:lastColumn="0" w:lastRow="0" w:noHBand="0" w:noVBand="1" w:val="04A0"/>
      </w:tblPr>
      <w:tblGrid>
        <w:gridCol w:w="2409"/>
        <w:gridCol w:w="2409"/>
        <w:gridCol w:w="2409"/>
        <w:gridCol w:w="2409"/>
      </w:tblGrid>
      <w:tr>
        <w:tc>
          <w:tcPr>
            <w:tcW w:type="dxa" w:w="2409"/>
          </w:tcPr>
          <w:p>
            <w:r>
              <w:rPr>
                <w:b/>
                <w:sz w:val="18"/>
              </w:rPr>
              <w:t>Case</w:t>
            </w:r>
          </w:p>
        </w:tc>
        <w:tc>
          <w:tcPr>
            <w:tcW w:type="dxa" w:w="2409"/>
          </w:tcPr>
          <w:p>
            <w:r>
              <w:rPr>
                <w:b/>
                <w:sz w:val="18"/>
              </w:rPr>
              <w:t>Portée de la session</w:t>
            </w:r>
          </w:p>
        </w:tc>
        <w:tc>
          <w:tcPr>
            <w:tcW w:type="dxa" w:w="2409"/>
          </w:tcPr>
          <w:p>
            <w:r>
              <w:rPr>
                <w:b/>
                <w:sz w:val="18"/>
              </w:rPr>
              <w:t>Ce qui la referme</w:t>
            </w:r>
          </w:p>
        </w:tc>
        <w:tc>
          <w:tcPr>
            <w:tcW w:type="dxa" w:w="2409"/>
          </w:tcPr>
          <w:p>
            <w:r>
              <w:rPr>
                <w:b/>
                <w:sz w:val="18"/>
              </w:rPr>
              <w:t>Usage indiqué</w:t>
            </w:r>
          </w:p>
        </w:tc>
      </w:tr>
      <w:tr>
        <w:tc>
          <w:tcPr>
            <w:tcW w:type="dxa" w:w="2409"/>
          </w:tcPr>
          <w:p>
            <w:pPr>
              <w:spacing w:after="40"/>
            </w:pPr>
            <w:r>
              <w:rPr>
                <w:b w:val="0"/>
                <w:sz w:val="18"/>
              </w:rPr>
              <w:t>Décochée (valeur par défaut)</w:t>
            </w:r>
          </w:p>
        </w:tc>
        <w:tc>
          <w:tcPr>
            <w:tcW w:type="dxa" w:w="2409"/>
          </w:tcPr>
          <w:p>
            <w:pPr>
              <w:spacing w:after="40"/>
            </w:pPr>
            <w:r>
              <w:rPr>
                <w:b w:val="0"/>
                <w:sz w:val="18"/>
              </w:rPr>
              <w:t>L’onglet du navigateur</w:t>
            </w:r>
          </w:p>
        </w:tc>
        <w:tc>
          <w:tcPr>
            <w:tcW w:type="dxa" w:w="2409"/>
          </w:tcPr>
          <w:p>
            <w:pPr>
              <w:spacing w:after="40"/>
            </w:pPr>
            <w:r>
              <w:rPr>
                <w:b w:val="0"/>
                <w:sz w:val="18"/>
              </w:rPr>
              <w:t>La fermeture de l’onglet</w:t>
            </w:r>
          </w:p>
        </w:tc>
        <w:tc>
          <w:tcPr>
            <w:tcW w:type="dxa" w:w="2409"/>
          </w:tcPr>
          <w:p>
            <w:pPr>
              <w:spacing w:after="40"/>
            </w:pPr>
            <w:r>
              <w:rPr>
                <w:b w:val="0"/>
                <w:sz w:val="18"/>
              </w:rPr>
              <w:t>Poste partagé, poste d’accueil, ordinateur d’un tiers</w:t>
            </w:r>
          </w:p>
        </w:tc>
      </w:tr>
      <w:tr>
        <w:tc>
          <w:tcPr>
            <w:tcW w:type="dxa" w:w="2409"/>
          </w:tcPr>
          <w:p>
            <w:pPr>
              <w:spacing w:after="40"/>
            </w:pPr>
            <w:r>
              <w:rPr>
                <w:b w:val="0"/>
                <w:sz w:val="18"/>
              </w:rPr>
              <w:t>Cochée</w:t>
            </w:r>
          </w:p>
        </w:tc>
        <w:tc>
          <w:tcPr>
            <w:tcW w:type="dxa" w:w="2409"/>
          </w:tcPr>
          <w:p>
            <w:pPr>
              <w:spacing w:after="40"/>
            </w:pPr>
            <w:r>
              <w:rPr>
                <w:b w:val="0"/>
                <w:sz w:val="18"/>
              </w:rPr>
              <w:t>Le poste, tous onglets confondus</w:t>
            </w:r>
          </w:p>
        </w:tc>
        <w:tc>
          <w:tcPr>
            <w:tcW w:type="dxa" w:w="2409"/>
          </w:tcPr>
          <w:p>
            <w:pPr>
              <w:spacing w:after="40"/>
            </w:pPr>
            <w:r>
              <w:rPr>
                <w:b w:val="0"/>
                <w:sz w:val="18"/>
              </w:rPr>
              <w:t>La déconnexion, ou l’expiration</w:t>
            </w:r>
          </w:p>
        </w:tc>
        <w:tc>
          <w:tcPr>
            <w:tcW w:type="dxa" w:w="2409"/>
          </w:tcPr>
          <w:p>
            <w:pPr>
              <w:spacing w:after="40"/>
            </w:pPr>
            <w:r>
              <w:rPr>
                <w:b w:val="0"/>
                <w:sz w:val="18"/>
              </w:rPr>
              <w:t>Poste personnel dont l’utilisateur a la maîtrise</w:t>
            </w:r>
          </w:p>
        </w:tc>
      </w:tr>
    </w:tbl>
    <w:p/>
    <w:p>
      <w:pPr>
        <w:pStyle w:val="Heading2"/>
      </w:pPr>
      <w:r>
        <w:t>2.4 La destination mémorisée</w:t>
      </w:r>
    </w:p>
    <w:p>
      <w:r>
        <w:rPr>
          <w:i w:val="0"/>
        </w:rPr>
        <w:t>Lorsqu’une personne demande une adresse précise de l’application — la fiche d’un dossier, la liste des documents — sans session valide, l’application retient cette destination avant de la renvoyer vers la connexion. Une fois l’identité vérifiée, elle est conduite à la destination initialement demandée, et non à l’accueil. Cette mémoire est ponctuelle : elle ne vaut que pour la tentative en cours.</w:t>
      </w:r>
    </w:p>
    <w:p>
      <w:pPr>
        <w:pStyle w:val="Heading2"/>
      </w:pPr>
      <w:r>
        <w:t>2.5 Trois refus qu’il ne faut pas confondre</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Refus</w:t>
            </w:r>
          </w:p>
        </w:tc>
        <w:tc>
          <w:tcPr>
            <w:tcW w:type="dxa" w:w="3213"/>
          </w:tcPr>
          <w:p>
            <w:r>
              <w:rPr>
                <w:b/>
                <w:sz w:val="18"/>
              </w:rPr>
              <w:t>Signification</w:t>
            </w:r>
          </w:p>
        </w:tc>
        <w:tc>
          <w:tcPr>
            <w:tcW w:type="dxa" w:w="3213"/>
          </w:tcPr>
          <w:p>
            <w:r>
              <w:rPr>
                <w:b/>
                <w:sz w:val="18"/>
              </w:rPr>
              <w:t>Ce que la personne doit faire</w:t>
            </w:r>
          </w:p>
        </w:tc>
      </w:tr>
      <w:tr>
        <w:tc>
          <w:tcPr>
            <w:tcW w:type="dxa" w:w="3213"/>
          </w:tcPr>
          <w:p>
            <w:pPr>
              <w:spacing w:after="40"/>
            </w:pPr>
            <w:r>
              <w:rPr>
                <w:b w:val="0"/>
                <w:sz w:val="18"/>
              </w:rPr>
              <w:t>Identifiants incorrects</w:t>
            </w:r>
          </w:p>
        </w:tc>
        <w:tc>
          <w:tcPr>
            <w:tcW w:type="dxa" w:w="3213"/>
          </w:tcPr>
          <w:p>
            <w:pPr>
              <w:spacing w:after="40"/>
            </w:pPr>
            <w:r>
              <w:rPr>
                <w:b w:val="0"/>
                <w:sz w:val="18"/>
              </w:rPr>
              <w:t>L’adresse ou le mot de passe ne correspond pas. L’application ne dit jamais lequel des deux est en cause.</w:t>
            </w:r>
          </w:p>
        </w:tc>
        <w:tc>
          <w:tcPr>
            <w:tcW w:type="dxa" w:w="3213"/>
          </w:tcPr>
          <w:p>
            <w:pPr>
              <w:spacing w:after="40"/>
            </w:pPr>
            <w:r>
              <w:rPr>
                <w:b w:val="0"/>
                <w:sz w:val="18"/>
              </w:rPr>
              <w:t>Vérifier sa saisie et recommencer</w:t>
            </w:r>
          </w:p>
        </w:tc>
      </w:tr>
      <w:tr>
        <w:tc>
          <w:tcPr>
            <w:tcW w:type="dxa" w:w="3213"/>
          </w:tcPr>
          <w:p>
            <w:pPr>
              <w:spacing w:after="40"/>
            </w:pPr>
            <w:r>
              <w:rPr>
                <w:b w:val="0"/>
                <w:sz w:val="18"/>
              </w:rPr>
              <w:t>Compte désactivé</w:t>
            </w:r>
          </w:p>
        </w:tc>
        <w:tc>
          <w:tcPr>
            <w:tcW w:type="dxa" w:w="3213"/>
          </w:tcPr>
          <w:p>
            <w:pPr>
              <w:spacing w:after="40"/>
            </w:pPr>
            <w:r>
              <w:rPr>
                <w:b w:val="0"/>
                <w:sz w:val="18"/>
              </w:rPr>
              <w:t>Le compte existe mais il a été mis hors service par décision d’administration.</w:t>
            </w:r>
          </w:p>
        </w:tc>
        <w:tc>
          <w:tcPr>
            <w:tcW w:type="dxa" w:w="3213"/>
          </w:tcPr>
          <w:p>
            <w:pPr>
              <w:spacing w:after="40"/>
            </w:pPr>
            <w:r>
              <w:rPr>
                <w:b w:val="0"/>
                <w:sz w:val="18"/>
              </w:rPr>
              <w:t>Se rapprocher de l’exploitant : aucune correction de saisie n’y changera rien</w:t>
            </w:r>
          </w:p>
        </w:tc>
      </w:tr>
      <w:tr>
        <w:tc>
          <w:tcPr>
            <w:tcW w:type="dxa" w:w="3213"/>
          </w:tcPr>
          <w:p>
            <w:pPr>
              <w:spacing w:after="40"/>
            </w:pPr>
            <w:r>
              <w:rPr>
                <w:b w:val="0"/>
                <w:sz w:val="18"/>
              </w:rPr>
              <w:t>Trop de tentatives</w:t>
            </w:r>
          </w:p>
        </w:tc>
        <w:tc>
          <w:tcPr>
            <w:tcW w:type="dxa" w:w="3213"/>
          </w:tcPr>
          <w:p>
            <w:pPr>
              <w:spacing w:after="40"/>
            </w:pPr>
            <w:r>
              <w:rPr>
                <w:b w:val="0"/>
                <w:sz w:val="18"/>
              </w:rPr>
              <w:t>Un seuil d’échecs a été atteint pour cette adresse. Le refus est temporaire et s’applique même si le mot de passe fourni est correct.</w:t>
            </w:r>
          </w:p>
        </w:tc>
        <w:tc>
          <w:tcPr>
            <w:tcW w:type="dxa" w:w="3213"/>
          </w:tcPr>
          <w:p>
            <w:pPr>
              <w:spacing w:after="40"/>
            </w:pPr>
            <w:r>
              <w:rPr>
                <w:b w:val="0"/>
                <w:sz w:val="18"/>
              </w:rPr>
              <w:t>Attendre le délai annoncé</w:t>
            </w:r>
          </w:p>
        </w:tc>
      </w:tr>
    </w:tbl>
    <w:p/>
    <w:p>
      <w:r>
        <w:rPr>
          <w:i w:val="0"/>
        </w:rPr>
        <w:t>Une quatrième situation, distincte des trois précédentes, se présente lorsque le service ne répond pas du tout. Ce n’est pas un refus d’identité mais une indisponibilité : le message est alors différent, et la personne n’a rien à corriger dans sa saisie.</w:t>
      </w:r>
    </w:p>
    <w:p>
      <w:pPr>
        <w:pStyle w:val="Heading1"/>
      </w:pPr>
      <w:r>
        <w:t>3. Ce que l’utilisateur voit</w:t>
      </w:r>
    </w:p>
    <w:p>
      <w:pPr>
        <w:pStyle w:val="Heading2"/>
      </w:pPr>
      <w:r>
        <w:t>3.1 Organisation générale de l’écran</w:t>
      </w:r>
    </w:p>
    <w:p>
      <w:r>
        <w:rPr>
          <w:i w:val="0"/>
        </w:rPr>
        <w:t>L’écran se divise en deux panneaux. Le panneau de gauche est un panneau de marque, entièrement décoratif : il porte une scène animée et une accroche en trois mots, « Classez. Signez. Retrouvez. », qui apparaissent l’un après l’autre. Il ne contient aucune commande et ne demande aucune action. Le panneau de droite porte l’intégralité de l’interaction.</w:t>
      </w:r>
    </w:p>
    <w:p>
      <w:pPr>
        <w:pStyle w:val="Heading2"/>
      </w:pPr>
      <w:r>
        <w:t>3.2 Le panneau de formulaire, de haut en bas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Élément</w:t>
            </w:r>
          </w:p>
        </w:tc>
        <w:tc>
          <w:tcPr>
            <w:tcW w:type="dxa" w:w="3213"/>
          </w:tcPr>
          <w:p>
            <w:r>
              <w:rPr>
                <w:b/>
                <w:sz w:val="18"/>
              </w:rPr>
              <w:t>Libellé exact</w:t>
            </w:r>
          </w:p>
        </w:tc>
        <w:tc>
          <w:tcPr>
            <w:tcW w:type="dxa" w:w="3213"/>
          </w:tcPr>
          <w:p>
            <w:r>
              <w:rPr>
                <w:b/>
                <w:sz w:val="18"/>
              </w:rPr>
              <w:t>Ce qu’il apprend au lecteur</w:t>
            </w:r>
          </w:p>
        </w:tc>
      </w:tr>
      <w:tr>
        <w:tc>
          <w:tcPr>
            <w:tcW w:type="dxa" w:w="3213"/>
          </w:tcPr>
          <w:p>
            <w:pPr>
              <w:spacing w:after="40"/>
            </w:pPr>
            <w:r>
              <w:rPr>
                <w:b w:val="0"/>
                <w:sz w:val="18"/>
              </w:rPr>
              <w:t>Logo et nom</w:t>
            </w:r>
          </w:p>
        </w:tc>
        <w:tc>
          <w:tcPr>
            <w:tcW w:type="dxa" w:w="3213"/>
          </w:tcPr>
          <w:p>
            <w:pPr>
              <w:spacing w:after="40"/>
            </w:pPr>
            <w:r>
              <w:rPr>
                <w:b w:val="0"/>
                <w:sz w:val="18"/>
              </w:rPr>
              <w:t>GED Marchica Med</w:t>
            </w:r>
          </w:p>
        </w:tc>
        <w:tc>
          <w:tcPr>
            <w:tcW w:type="dxa" w:w="3213"/>
          </w:tcPr>
          <w:p>
            <w:pPr>
              <w:spacing w:after="40"/>
            </w:pPr>
            <w:r>
              <w:rPr>
                <w:b w:val="0"/>
                <w:sz w:val="18"/>
              </w:rPr>
              <w:t>Confirme que l’on est bien sur l’application attendue et non sur un écran ressemblant</w:t>
            </w:r>
          </w:p>
        </w:tc>
      </w:tr>
      <w:tr>
        <w:tc>
          <w:tcPr>
            <w:tcW w:type="dxa" w:w="3213"/>
          </w:tcPr>
          <w:p>
            <w:pPr>
              <w:spacing w:after="40"/>
            </w:pPr>
            <w:r>
              <w:rPr>
                <w:b w:val="0"/>
                <w:sz w:val="18"/>
              </w:rPr>
              <w:t>Titre</w:t>
            </w:r>
          </w:p>
        </w:tc>
        <w:tc>
          <w:tcPr>
            <w:tcW w:type="dxa" w:w="3213"/>
          </w:tcPr>
          <w:p>
            <w:pPr>
              <w:spacing w:after="40"/>
            </w:pPr>
            <w:r>
              <w:rPr>
                <w:b w:val="0"/>
                <w:sz w:val="18"/>
              </w:rPr>
              <w:t>Connexion</w:t>
            </w:r>
          </w:p>
        </w:tc>
        <w:tc>
          <w:tcPr>
            <w:tcW w:type="dxa" w:w="3213"/>
          </w:tcPr>
          <w:p>
            <w:pPr>
              <w:spacing w:after="40"/>
            </w:pPr>
            <w:r>
              <w:rPr>
                <w:b w:val="0"/>
                <w:sz w:val="18"/>
              </w:rPr>
              <w:t>Nomme l’action demandée</w:t>
            </w:r>
          </w:p>
        </w:tc>
      </w:tr>
      <w:tr>
        <w:tc>
          <w:tcPr>
            <w:tcW w:type="dxa" w:w="3213"/>
          </w:tcPr>
          <w:p>
            <w:pPr>
              <w:spacing w:after="40"/>
            </w:pPr>
            <w:r>
              <w:rPr>
                <w:b w:val="0"/>
                <w:sz w:val="18"/>
              </w:rPr>
              <w:t>Accroche</w:t>
            </w:r>
          </w:p>
        </w:tc>
        <w:tc>
          <w:tcPr>
            <w:tcW w:type="dxa" w:w="3213"/>
          </w:tcPr>
          <w:p>
            <w:pPr>
              <w:spacing w:after="40"/>
            </w:pPr>
            <w:r>
              <w:rPr>
                <w:b w:val="0"/>
                <w:sz w:val="18"/>
              </w:rPr>
              <w:t>Accédez à votre espace documentaire.</w:t>
            </w:r>
          </w:p>
        </w:tc>
        <w:tc>
          <w:tcPr>
            <w:tcW w:type="dxa" w:w="3213"/>
          </w:tcPr>
          <w:p>
            <w:pPr>
              <w:spacing w:after="40"/>
            </w:pPr>
            <w:r>
              <w:rPr>
                <w:b w:val="0"/>
                <w:sz w:val="18"/>
              </w:rPr>
              <w:t>Rappelle la nature de l’application</w:t>
            </w:r>
          </w:p>
        </w:tc>
      </w:tr>
      <w:tr>
        <w:tc>
          <w:tcPr>
            <w:tcW w:type="dxa" w:w="3213"/>
          </w:tcPr>
          <w:p>
            <w:pPr>
              <w:spacing w:after="40"/>
            </w:pPr>
            <w:r>
              <w:rPr>
                <w:b w:val="0"/>
                <w:sz w:val="18"/>
              </w:rPr>
              <w:t>Bandeau d’information</w:t>
            </w:r>
          </w:p>
        </w:tc>
        <w:tc>
          <w:tcPr>
            <w:tcW w:type="dxa" w:w="3213"/>
          </w:tcPr>
          <w:p>
            <w:pPr>
              <w:spacing w:after="40"/>
            </w:pPr>
            <w:r>
              <w:rPr>
                <w:b w:val="0"/>
                <w:sz w:val="18"/>
              </w:rPr>
              <w:t>Votre session a expiré. Reconnectez-vous.</w:t>
            </w:r>
          </w:p>
        </w:tc>
        <w:tc>
          <w:tcPr>
            <w:tcW w:type="dxa" w:w="3213"/>
          </w:tcPr>
          <w:p>
            <w:pPr>
              <w:spacing w:after="40"/>
            </w:pPr>
            <w:r>
              <w:rPr>
                <w:b w:val="0"/>
                <w:sz w:val="18"/>
              </w:rPr>
              <w:t>N’apparaît que si l’on a été ramené ici depuis un autre écran par expiration</w:t>
            </w:r>
          </w:p>
        </w:tc>
      </w:tr>
      <w:tr>
        <w:tc>
          <w:tcPr>
            <w:tcW w:type="dxa" w:w="3213"/>
          </w:tcPr>
          <w:p>
            <w:pPr>
              <w:spacing w:after="40"/>
            </w:pPr>
            <w:r>
              <w:rPr>
                <w:b w:val="0"/>
                <w:sz w:val="18"/>
              </w:rPr>
              <w:t>Bandeau d’erreur</w:t>
            </w:r>
          </w:p>
        </w:tc>
        <w:tc>
          <w:tcPr>
            <w:tcW w:type="dxa" w:w="3213"/>
          </w:tcPr>
          <w:p>
            <w:pPr>
              <w:spacing w:after="40"/>
            </w:pPr>
            <w:r>
              <w:rPr>
                <w:b w:val="0"/>
                <w:sz w:val="18"/>
              </w:rPr>
              <w:t>Message renvoyé par la vérification d’identité</w:t>
            </w:r>
          </w:p>
        </w:tc>
        <w:tc>
          <w:tcPr>
            <w:tcW w:type="dxa" w:w="3213"/>
          </w:tcPr>
          <w:p>
            <w:pPr>
              <w:spacing w:after="40"/>
            </w:pPr>
            <w:r>
              <w:rPr>
                <w:b w:val="0"/>
                <w:sz w:val="18"/>
              </w:rPr>
              <w:t>Explique le refus de la tentative précédente ; il remplace le bandeau d’expiration</w:t>
            </w:r>
          </w:p>
        </w:tc>
      </w:tr>
      <w:tr>
        <w:tc>
          <w:tcPr>
            <w:tcW w:type="dxa" w:w="3213"/>
          </w:tcPr>
          <w:p>
            <w:pPr>
              <w:spacing w:after="40"/>
            </w:pPr>
            <w:r>
              <w:rPr>
                <w:b w:val="0"/>
                <w:sz w:val="18"/>
              </w:rPr>
              <w:t>Champ d’identité</w:t>
            </w:r>
          </w:p>
        </w:tc>
        <w:tc>
          <w:tcPr>
            <w:tcW w:type="dxa" w:w="3213"/>
          </w:tcPr>
          <w:p>
            <w:pPr>
              <w:spacing w:after="40"/>
            </w:pPr>
            <w:r>
              <w:rPr>
                <w:b w:val="0"/>
                <w:sz w:val="18"/>
              </w:rPr>
              <w:t>Adresse e-mail (texte d’aide dans le champ)</w:t>
            </w:r>
          </w:p>
        </w:tc>
        <w:tc>
          <w:tcPr>
            <w:tcW w:type="dxa" w:w="3213"/>
          </w:tcPr>
          <w:p>
            <w:pPr>
              <w:spacing w:after="40"/>
            </w:pPr>
            <w:r>
              <w:rPr>
                <w:b w:val="0"/>
                <w:sz w:val="18"/>
              </w:rPr>
              <w:t>Champ de saisie de l’identifiant</w:t>
            </w:r>
          </w:p>
        </w:tc>
      </w:tr>
      <w:tr>
        <w:tc>
          <w:tcPr>
            <w:tcW w:type="dxa" w:w="3213"/>
          </w:tcPr>
          <w:p>
            <w:pPr>
              <w:spacing w:after="40"/>
            </w:pPr>
            <w:r>
              <w:rPr>
                <w:b w:val="0"/>
                <w:sz w:val="18"/>
              </w:rPr>
              <w:t>Champ de secret</w:t>
            </w:r>
          </w:p>
        </w:tc>
        <w:tc>
          <w:tcPr>
            <w:tcW w:type="dxa" w:w="3213"/>
          </w:tcPr>
          <w:p>
            <w:pPr>
              <w:spacing w:after="40"/>
            </w:pPr>
            <w:r>
              <w:rPr>
                <w:b w:val="0"/>
                <w:sz w:val="18"/>
              </w:rPr>
              <w:t>Mot de passe (texte d’aide dans le champ)</w:t>
            </w:r>
          </w:p>
        </w:tc>
        <w:tc>
          <w:tcPr>
            <w:tcW w:type="dxa" w:w="3213"/>
          </w:tcPr>
          <w:p>
            <w:pPr>
              <w:spacing w:after="40"/>
            </w:pPr>
            <w:r>
              <w:rPr>
                <w:b w:val="0"/>
                <w:sz w:val="18"/>
              </w:rPr>
              <w:t>Champ masqué, doté d’un bouton de bascule affiché / masqué</w:t>
            </w:r>
          </w:p>
        </w:tc>
      </w:tr>
      <w:tr>
        <w:tc>
          <w:tcPr>
            <w:tcW w:type="dxa" w:w="3213"/>
          </w:tcPr>
          <w:p>
            <w:pPr>
              <w:spacing w:after="40"/>
            </w:pPr>
            <w:r>
              <w:rPr>
                <w:b w:val="0"/>
                <w:sz w:val="18"/>
              </w:rPr>
              <w:t>Case à cocher</w:t>
            </w:r>
          </w:p>
        </w:tc>
        <w:tc>
          <w:tcPr>
            <w:tcW w:type="dxa" w:w="3213"/>
          </w:tcPr>
          <w:p>
            <w:pPr>
              <w:spacing w:after="40"/>
            </w:pPr>
            <w:r>
              <w:rPr>
                <w:b w:val="0"/>
                <w:sz w:val="18"/>
              </w:rPr>
              <w:t>Se souvenir de moi</w:t>
            </w:r>
          </w:p>
        </w:tc>
        <w:tc>
          <w:tcPr>
            <w:tcW w:type="dxa" w:w="3213"/>
          </w:tcPr>
          <w:p>
            <w:pPr>
              <w:spacing w:after="40"/>
            </w:pPr>
            <w:r>
              <w:rPr>
                <w:b w:val="0"/>
                <w:sz w:val="18"/>
              </w:rPr>
              <w:t>Décide de la portée de la session</w:t>
            </w:r>
          </w:p>
        </w:tc>
      </w:tr>
      <w:tr>
        <w:tc>
          <w:tcPr>
            <w:tcW w:type="dxa" w:w="3213"/>
          </w:tcPr>
          <w:p>
            <w:pPr>
              <w:spacing w:after="40"/>
            </w:pPr>
            <w:r>
              <w:rPr>
                <w:b w:val="0"/>
                <w:sz w:val="18"/>
              </w:rPr>
              <w:t>Lien</w:t>
            </w:r>
          </w:p>
        </w:tc>
        <w:tc>
          <w:tcPr>
            <w:tcW w:type="dxa" w:w="3213"/>
          </w:tcPr>
          <w:p>
            <w:pPr>
              <w:spacing w:after="40"/>
            </w:pPr>
            <w:r>
              <w:rPr>
                <w:b w:val="0"/>
                <w:sz w:val="18"/>
              </w:rPr>
              <w:t>Mot de passe oublié ?</w:t>
            </w:r>
          </w:p>
        </w:tc>
        <w:tc>
          <w:tcPr>
            <w:tcW w:type="dxa" w:w="3213"/>
          </w:tcPr>
          <w:p>
            <w:pPr>
              <w:spacing w:after="40"/>
            </w:pPr>
            <w:r>
              <w:rPr>
                <w:b w:val="0"/>
                <w:sz w:val="18"/>
              </w:rPr>
              <w:t>Présent à l’écran ; voir la section 10, il n’est relié à aucune procédure</w:t>
            </w:r>
          </w:p>
        </w:tc>
      </w:tr>
      <w:tr>
        <w:tc>
          <w:tcPr>
            <w:tcW w:type="dxa" w:w="3213"/>
          </w:tcPr>
          <w:p>
            <w:pPr>
              <w:spacing w:after="40"/>
            </w:pPr>
            <w:r>
              <w:rPr>
                <w:b w:val="0"/>
                <w:sz w:val="18"/>
              </w:rPr>
              <w:t>Bouton principal</w:t>
            </w:r>
          </w:p>
        </w:tc>
        <w:tc>
          <w:tcPr>
            <w:tcW w:type="dxa" w:w="3213"/>
          </w:tcPr>
          <w:p>
            <w:pPr>
              <w:spacing w:after="40"/>
            </w:pPr>
            <w:r>
              <w:rPr>
                <w:b w:val="0"/>
                <w:sz w:val="18"/>
              </w:rPr>
              <w:t>Se connecter, puis Connexion… pendant l’envoi</w:t>
            </w:r>
          </w:p>
        </w:tc>
        <w:tc>
          <w:tcPr>
            <w:tcW w:type="dxa" w:w="3213"/>
          </w:tcPr>
          <w:p>
            <w:pPr>
              <w:spacing w:after="40"/>
            </w:pPr>
            <w:r>
              <w:rPr>
                <w:b w:val="0"/>
                <w:sz w:val="18"/>
              </w:rPr>
              <w:t>Déclenche la vérification ; le libellé change pendant l’attente</w:t>
            </w:r>
          </w:p>
        </w:tc>
      </w:tr>
      <w:tr>
        <w:tc>
          <w:tcPr>
            <w:tcW w:type="dxa" w:w="3213"/>
          </w:tcPr>
          <w:p>
            <w:pPr>
              <w:spacing w:after="40"/>
            </w:pPr>
            <w:r>
              <w:rPr>
                <w:b w:val="0"/>
                <w:sz w:val="18"/>
              </w:rPr>
              <w:t>Mention de pied</w:t>
            </w:r>
          </w:p>
        </w:tc>
        <w:tc>
          <w:tcPr>
            <w:tcW w:type="dxa" w:w="3213"/>
          </w:tcPr>
          <w:p>
            <w:pPr>
              <w:spacing w:after="40"/>
            </w:pPr>
            <w:r>
              <w:rPr>
                <w:b w:val="0"/>
                <w:sz w:val="18"/>
              </w:rPr>
              <w:t>Connexion sécurisée · vos accès sont personnels</w:t>
            </w:r>
          </w:p>
        </w:tc>
        <w:tc>
          <w:tcPr>
            <w:tcW w:type="dxa" w:w="3213"/>
          </w:tcPr>
          <w:p>
            <w:pPr>
              <w:spacing w:after="40"/>
            </w:pPr>
            <w:r>
              <w:rPr>
                <w:b w:val="0"/>
                <w:sz w:val="18"/>
              </w:rPr>
              <w:t>Rappel de bon usage</w:t>
            </w:r>
          </w:p>
        </w:tc>
      </w:tr>
    </w:tbl>
    <w:p/>
    <w:p>
      <w:pPr>
        <w:pStyle w:val="Heading2"/>
      </w:pPr>
      <w:r>
        <w:t>3.3 Les états de l’écran</w:t>
      </w:r>
    </w:p>
    <w:p>
      <w:r>
        <w:rPr>
          <w:i w:val="0"/>
        </w:rPr>
        <w:t>L’écran connaît cinq états observables. Les distinguer évite de qualifier de panne ce qui n’est qu’un refus, et inversement.</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État</w:t>
            </w:r>
          </w:p>
        </w:tc>
        <w:tc>
          <w:tcPr>
            <w:tcW w:type="dxa" w:w="3213"/>
          </w:tcPr>
          <w:p>
            <w:r>
              <w:rPr>
                <w:b/>
                <w:sz w:val="18"/>
              </w:rPr>
              <w:t>Ce que l’on voit</w:t>
            </w:r>
          </w:p>
        </w:tc>
        <w:tc>
          <w:tcPr>
            <w:tcW w:type="dxa" w:w="3213"/>
          </w:tcPr>
          <w:p>
            <w:r>
              <w:rPr>
                <w:b/>
                <w:sz w:val="18"/>
              </w:rPr>
              <w:t>Ce que l’on peut faire</w:t>
            </w:r>
          </w:p>
        </w:tc>
      </w:tr>
      <w:tr>
        <w:tc>
          <w:tcPr>
            <w:tcW w:type="dxa" w:w="3213"/>
          </w:tcPr>
          <w:p>
            <w:pPr>
              <w:spacing w:after="40"/>
            </w:pPr>
            <w:r>
              <w:rPr>
                <w:b w:val="0"/>
                <w:sz w:val="18"/>
              </w:rPr>
              <w:t>Repos</w:t>
            </w:r>
          </w:p>
        </w:tc>
        <w:tc>
          <w:tcPr>
            <w:tcW w:type="dxa" w:w="3213"/>
          </w:tcPr>
          <w:p>
            <w:pPr>
              <w:spacing w:after="40"/>
            </w:pPr>
            <w:r>
              <w:rPr>
                <w:b w:val="0"/>
                <w:sz w:val="18"/>
              </w:rPr>
              <w:t>Formulaire vierge, aucun bandeau, aucun message sous les champs</w:t>
            </w:r>
          </w:p>
        </w:tc>
        <w:tc>
          <w:tcPr>
            <w:tcW w:type="dxa" w:w="3213"/>
          </w:tcPr>
          <w:p>
            <w:pPr>
              <w:spacing w:after="40"/>
            </w:pPr>
            <w:r>
              <w:rPr>
                <w:b w:val="0"/>
                <w:sz w:val="18"/>
              </w:rPr>
              <w:t>Saisir</w:t>
            </w:r>
          </w:p>
        </w:tc>
      </w:tr>
      <w:tr>
        <w:tc>
          <w:tcPr>
            <w:tcW w:type="dxa" w:w="3213"/>
          </w:tcPr>
          <w:p>
            <w:pPr>
              <w:spacing w:after="40"/>
            </w:pPr>
            <w:r>
              <w:rPr>
                <w:b w:val="0"/>
                <w:sz w:val="18"/>
              </w:rPr>
              <w:t>Saisie fautive</w:t>
            </w:r>
          </w:p>
        </w:tc>
        <w:tc>
          <w:tcPr>
            <w:tcW w:type="dxa" w:w="3213"/>
          </w:tcPr>
          <w:p>
            <w:pPr>
              <w:spacing w:after="40"/>
            </w:pPr>
            <w:r>
              <w:rPr>
                <w:b w:val="0"/>
                <w:sz w:val="18"/>
              </w:rPr>
              <w:t>Message rouge sous le champ concerné, encadrement du champ</w:t>
            </w:r>
          </w:p>
        </w:tc>
        <w:tc>
          <w:tcPr>
            <w:tcW w:type="dxa" w:w="3213"/>
          </w:tcPr>
          <w:p>
            <w:pPr>
              <w:spacing w:after="40"/>
            </w:pPr>
            <w:r>
              <w:rPr>
                <w:b w:val="0"/>
                <w:sz w:val="18"/>
              </w:rPr>
              <w:t>Corriger ; l’erreur disparaît dès la correction</w:t>
            </w:r>
          </w:p>
        </w:tc>
      </w:tr>
      <w:tr>
        <w:tc>
          <w:tcPr>
            <w:tcW w:type="dxa" w:w="3213"/>
          </w:tcPr>
          <w:p>
            <w:pPr>
              <w:spacing w:after="40"/>
            </w:pPr>
            <w:r>
              <w:rPr>
                <w:b w:val="0"/>
                <w:sz w:val="18"/>
              </w:rPr>
              <w:t>Envoi en cours</w:t>
            </w:r>
          </w:p>
        </w:tc>
        <w:tc>
          <w:tcPr>
            <w:tcW w:type="dxa" w:w="3213"/>
          </w:tcPr>
          <w:p>
            <w:pPr>
              <w:spacing w:after="40"/>
            </w:pPr>
            <w:r>
              <w:rPr>
                <w:b w:val="0"/>
                <w:sz w:val="18"/>
              </w:rPr>
              <w:t>Bouton libellé « Connexion… », bouton inactif</w:t>
            </w:r>
          </w:p>
        </w:tc>
        <w:tc>
          <w:tcPr>
            <w:tcW w:type="dxa" w:w="3213"/>
          </w:tcPr>
          <w:p>
            <w:pPr>
              <w:spacing w:after="40"/>
            </w:pPr>
            <w:r>
              <w:rPr>
                <w:b w:val="0"/>
                <w:sz w:val="18"/>
              </w:rPr>
              <w:t>Attendre ; un second clic est impossible</w:t>
            </w:r>
          </w:p>
        </w:tc>
      </w:tr>
      <w:tr>
        <w:tc>
          <w:tcPr>
            <w:tcW w:type="dxa" w:w="3213"/>
          </w:tcPr>
          <w:p>
            <w:pPr>
              <w:spacing w:after="40"/>
            </w:pPr>
            <w:r>
              <w:rPr>
                <w:b w:val="0"/>
                <w:sz w:val="18"/>
              </w:rPr>
              <w:t>Refus</w:t>
            </w:r>
          </w:p>
        </w:tc>
        <w:tc>
          <w:tcPr>
            <w:tcW w:type="dxa" w:w="3213"/>
          </w:tcPr>
          <w:p>
            <w:pPr>
              <w:spacing w:after="40"/>
            </w:pPr>
            <w:r>
              <w:rPr>
                <w:b w:val="0"/>
                <w:sz w:val="18"/>
              </w:rPr>
              <w:t>Bandeau d’erreur en haut du formulaire, adresse conservée, mot de passe vidé</w:t>
            </w:r>
          </w:p>
        </w:tc>
        <w:tc>
          <w:tcPr>
            <w:tcW w:type="dxa" w:w="3213"/>
          </w:tcPr>
          <w:p>
            <w:pPr>
              <w:spacing w:after="40"/>
            </w:pPr>
            <w:r>
              <w:rPr>
                <w:b w:val="0"/>
                <w:sz w:val="18"/>
              </w:rPr>
              <w:t>Ressaisir le mot de passe</w:t>
            </w:r>
          </w:p>
        </w:tc>
      </w:tr>
      <w:tr>
        <w:tc>
          <w:tcPr>
            <w:tcW w:type="dxa" w:w="3213"/>
          </w:tcPr>
          <w:p>
            <w:pPr>
              <w:spacing w:after="40"/>
            </w:pPr>
            <w:r>
              <w:rPr>
                <w:b w:val="0"/>
                <w:sz w:val="18"/>
              </w:rPr>
              <w:t>Expiration signalée</w:t>
            </w:r>
          </w:p>
        </w:tc>
        <w:tc>
          <w:tcPr>
            <w:tcW w:type="dxa" w:w="3213"/>
          </w:tcPr>
          <w:p>
            <w:pPr>
              <w:spacing w:after="40"/>
            </w:pPr>
            <w:r>
              <w:rPr>
                <w:b w:val="0"/>
                <w:sz w:val="18"/>
              </w:rPr>
              <w:t>Bandeau « Votre session a expiré. Reconnectez-vous. »</w:t>
            </w:r>
          </w:p>
        </w:tc>
        <w:tc>
          <w:tcPr>
            <w:tcW w:type="dxa" w:w="3213"/>
          </w:tcPr>
          <w:p>
            <w:pPr>
              <w:spacing w:after="40"/>
            </w:pPr>
            <w:r>
              <w:rPr>
                <w:b w:val="0"/>
                <w:sz w:val="18"/>
              </w:rPr>
              <w:t>Se reconnecter ; on sera ramené là où l’on était</w:t>
            </w:r>
          </w:p>
        </w:tc>
      </w:tr>
    </w:tbl>
    <w:p/>
    <w:p>
      <w:r>
        <w:rPr>
          <w:i w:val="0"/>
        </w:rPr>
        <w:t>Les messages de saisie n’apparaissent qu’après une première interaction avec le champ. Un formulaire qui s’ouvrirait déjà couvert de messages rouges accuserait l’utilisateur avant qu’il n’ait rien fait.</w:t>
      </w:r>
    </w:p>
    <w:p>
      <w:pPr>
        <w:pStyle w:val="Heading1"/>
      </w:pPr>
      <w:r>
        <w:t>4. Le processus, étape par étape</w:t>
      </w:r>
    </w:p>
    <w:p>
      <w:pPr>
        <w:pStyle w:val="Heading2"/>
      </w:pPr>
      <w:r>
        <w:t>4.1 Parcours nominal : connexion réussie</w:t>
      </w:r>
    </w:p>
    <w:p>
      <w:pPr>
        <w:pStyle w:val="ListNumber"/>
      </w:pPr>
      <w:r>
        <w:rPr>
          <w:b/>
        </w:rPr>
        <w:t>L’utilisateur ouvre l’application.</w:t>
      </w:r>
      <w:r>
        <w:rPr>
          <w:b w:val="0"/>
        </w:rPr>
        <w:t xml:space="preserve"> L’application constate l’absence de session valide et affiche l’écran de connexion.</w:t>
      </w:r>
    </w:p>
    <w:p>
      <w:pPr>
        <w:pStyle w:val="ListNumber"/>
      </w:pPr>
      <w:r>
        <w:rPr>
          <w:b/>
        </w:rPr>
        <w:t>L’utilisateur saisit son adresse électronique.</w:t>
      </w:r>
      <w:r>
        <w:rPr>
          <w:b w:val="0"/>
        </w:rPr>
        <w:t xml:space="preserve"> L’application vérifie, au fil de la frappe, que la forme de l’adresse est plausible ; elle n’interroge encore rien.</w:t>
      </w:r>
    </w:p>
    <w:p>
      <w:pPr>
        <w:pStyle w:val="ListNumber"/>
      </w:pPr>
      <w:r>
        <w:rPr>
          <w:b/>
        </w:rPr>
        <w:t>L’utilisateur saisit son mot de passe.</w:t>
      </w:r>
      <w:r>
        <w:rPr>
          <w:b w:val="0"/>
        </w:rPr>
        <w:t xml:space="preserve"> Le contenu reste masqué ; il peut le rendre lisible par le bouton en fin de champ, et le remasquer.</w:t>
      </w:r>
    </w:p>
    <w:p>
      <w:pPr>
        <w:pStyle w:val="ListNumber"/>
      </w:pPr>
      <w:r>
        <w:rPr>
          <w:b/>
        </w:rPr>
        <w:t>L’utilisateur décide de la portée de la session</w:t>
      </w:r>
      <w:r>
        <w:rPr>
          <w:b w:val="0"/>
        </w:rPr>
        <w:t xml:space="preserve"> en cochant ou non « Se souvenir de moi ». La case est décochée par défaut.</w:t>
      </w:r>
    </w:p>
    <w:p>
      <w:pPr>
        <w:pStyle w:val="ListNumber"/>
      </w:pPr>
      <w:r>
        <w:rPr>
          <w:b/>
        </w:rPr>
        <w:t>L’utilisateur active « Se connecter ».</w:t>
      </w:r>
      <w:r>
        <w:rPr>
          <w:b w:val="0"/>
        </w:rPr>
        <w:t xml:space="preserve"> L’application désactive le bouton, remplace son libellé par « Connexion… » et soumet les identifiants à vérification.</w:t>
      </w:r>
    </w:p>
    <w:p>
      <w:pPr>
        <w:pStyle w:val="ListNumber"/>
      </w:pPr>
      <w:r>
        <w:rPr>
          <w:b/>
        </w:rPr>
        <w:t>L’identité est reconnue.</w:t>
      </w:r>
      <w:r>
        <w:rPr>
          <w:b w:val="0"/>
        </w:rPr>
        <w:t xml:space="preserve"> L’application ouvre la session, retient le nom et l’adresse de la personne pour les afficher dans le bandeau supérieur, et efface immédiatement le mot de passe du formulaire.</w:t>
      </w:r>
    </w:p>
    <w:p>
      <w:pPr>
        <w:pStyle w:val="ListNumber"/>
      </w:pPr>
      <w:r>
        <w:rPr>
          <w:b/>
        </w:rPr>
        <w:t>L’application conduit l’utilisateur à destination</w:t>
      </w:r>
      <w:r>
        <w:rPr>
          <w:b w:val="0"/>
        </w:rPr>
        <w:t xml:space="preserve"> : la page qu’il avait demandée si elle avait été mémorisée, l’accueil dans tous les autres cas.</w:t>
      </w:r>
    </w:p>
    <w:p>
      <w:pPr>
        <w:pStyle w:val="Heading2"/>
      </w:pPr>
      <w:r>
        <w:t>4.2 Parcours de refus : identité non reconnue</w:t>
      </w:r>
    </w:p>
    <w:p>
      <w:pPr>
        <w:pStyle w:val="ListNumber"/>
      </w:pPr>
      <w:r>
        <w:rPr>
          <w:b w:val="0"/>
        </w:rPr>
        <w:t>L’utilisateur active « Se connecter » avec une adresse ou un mot de passe erroné.</w:t>
      </w:r>
    </w:p>
    <w:p>
      <w:pPr>
        <w:pStyle w:val="ListNumber"/>
      </w:pPr>
      <w:r>
        <w:rPr>
          <w:b w:val="0"/>
        </w:rPr>
        <w:t>L’application soumet la tentative, puis rend la main : le bouton retrouve son libellé.</w:t>
      </w:r>
    </w:p>
    <w:p>
      <w:pPr>
        <w:pStyle w:val="ListNumber"/>
      </w:pPr>
      <w:r>
        <w:rPr>
          <w:b/>
        </w:rPr>
        <w:t>Un bandeau d’erreur s’affiche</w:t>
      </w:r>
      <w:r>
        <w:rPr>
          <w:b w:val="0"/>
        </w:rPr>
        <w:t xml:space="preserve"> en haut du formulaire, avec le message renvoyé par la vérification.</w:t>
      </w:r>
    </w:p>
    <w:p>
      <w:pPr>
        <w:pStyle w:val="ListNumber"/>
      </w:pPr>
      <w:r>
        <w:rPr>
          <w:b/>
        </w:rPr>
        <w:t>L’adresse saisie est conservée ; le mot de passe est vidé.</w:t>
      </w:r>
      <w:r>
        <w:rPr>
          <w:b w:val="0"/>
        </w:rPr>
        <w:t xml:space="preserve"> L’utilisateur n’a donc à ressaisir que le secret.</w:t>
      </w:r>
    </w:p>
    <w:p>
      <w:pPr>
        <w:pStyle w:val="ListNumber"/>
      </w:pPr>
      <w:r>
        <w:rPr>
          <w:b w:val="0"/>
        </w:rPr>
        <w:t>L’échec est comptabilisé pour cette adresse. Une succession d’échecs conduit au parcours 4.5.</w:t>
      </w:r>
    </w:p>
    <w:p>
      <w:pPr>
        <w:pStyle w:val="Heading2"/>
      </w:pPr>
      <w:r>
        <w:t>4.3 Parcours d’arrivée détournée : retour à la destination</w:t>
      </w:r>
    </w:p>
    <w:p>
      <w:pPr>
        <w:pStyle w:val="ListNumber"/>
      </w:pPr>
      <w:r>
        <w:rPr>
          <w:b w:val="0"/>
        </w:rPr>
        <w:t>L’utilisateur ouvre un lien profond de l’application — par exemple la fiche d’un dossier reçue par message.</w:t>
      </w:r>
    </w:p>
    <w:p>
      <w:pPr>
        <w:pStyle w:val="ListNumber"/>
      </w:pPr>
      <w:r>
        <w:rPr>
          <w:b w:val="0"/>
        </w:rPr>
        <w:t xml:space="preserve">L’application constate l’absence de session valide, </w:t>
      </w:r>
      <w:r>
        <w:rPr>
          <w:b/>
        </w:rPr>
        <w:t>retient l’adresse demandée</w:t>
      </w:r>
      <w:r>
        <w:rPr>
          <w:b w:val="0"/>
        </w:rPr>
        <w:t>, puis affiche l’écran de connexion.</w:t>
      </w:r>
    </w:p>
    <w:p>
      <w:pPr>
        <w:pStyle w:val="ListNumber"/>
      </w:pPr>
      <w:r>
        <w:rPr>
          <w:b w:val="0"/>
        </w:rPr>
        <w:t>L’utilisateur s’identifie normalement.</w:t>
      </w:r>
    </w:p>
    <w:p>
      <w:pPr>
        <w:pStyle w:val="ListNumber"/>
      </w:pPr>
      <w:r>
        <w:rPr>
          <w:b/>
        </w:rPr>
        <w:t>L’application le conduit à l’adresse initialement demandée</w:t>
      </w:r>
      <w:r>
        <w:rPr>
          <w:b w:val="0"/>
        </w:rPr>
        <w:t>, et non à l’accueil.</w:t>
      </w:r>
    </w:p>
    <w:p>
      <w:pPr>
        <w:pStyle w:val="ListNumber"/>
      </w:pPr>
      <w:r>
        <w:rPr>
          <w:b w:val="0"/>
        </w:rPr>
        <w:t>Si l’adresse retenue était elle-même l’écran de connexion, l’accueil est utilisé à la place.</w:t>
      </w:r>
    </w:p>
    <w:p>
      <w:pPr>
        <w:pStyle w:val="Heading2"/>
      </w:pPr>
      <w:r>
        <w:t>4.4 Parcours d’expiration : la session se termine en cours d’usage</w:t>
      </w:r>
    </w:p>
    <w:p>
      <w:pPr>
        <w:pStyle w:val="ListNumber"/>
      </w:pPr>
      <w:r>
        <w:rPr>
          <w:b w:val="0"/>
        </w:rPr>
        <w:t>L’utilisateur travaille normalement dans un écran quelconque.</w:t>
      </w:r>
    </w:p>
    <w:p>
      <w:pPr>
        <w:pStyle w:val="ListNumber"/>
      </w:pPr>
      <w:r>
        <w:rPr>
          <w:b w:val="0"/>
        </w:rPr>
        <w:t>Une action est refusée parce que la session n’est plus reconnue : durée de vie atteinte, compte désactivé entre-temps, ou service redémarré.</w:t>
      </w:r>
    </w:p>
    <w:p>
      <w:pPr>
        <w:pStyle w:val="ListNumber"/>
      </w:pPr>
      <w:r>
        <w:rPr>
          <w:b/>
        </w:rPr>
        <w:t>L’application ferme la session localement</w:t>
      </w:r>
      <w:r>
        <w:rPr>
          <w:b w:val="0"/>
        </w:rPr>
        <w:t xml:space="preserve"> et ramène l’utilisateur à l’écran de connexion.</w:t>
      </w:r>
    </w:p>
    <w:p>
      <w:pPr>
        <w:pStyle w:val="ListNumber"/>
      </w:pPr>
      <w:r>
        <w:rPr>
          <w:b w:val="0"/>
        </w:rPr>
        <w:t>Le bandeau « Votre session a expiré. Reconnectez-vous. » est affiché, afin que le retour à la connexion ne passe pas pour une anomalie.</w:t>
      </w:r>
    </w:p>
    <w:p>
      <w:pPr>
        <w:pStyle w:val="ListNumber"/>
      </w:pPr>
      <w:r>
        <w:rPr>
          <w:b w:val="0"/>
        </w:rPr>
        <w:t>Après une nouvelle identification, l’utilisateur reprend son travail.</w:t>
      </w:r>
    </w:p>
    <w:p>
      <w:pPr>
        <w:pStyle w:val="Heading2"/>
      </w:pPr>
      <w:r>
        <w:t>4.5 Parcours de blocage : trop de tentatives</w:t>
      </w:r>
    </w:p>
    <w:p>
      <w:pPr>
        <w:pStyle w:val="ListNumber"/>
      </w:pPr>
      <w:r>
        <w:rPr>
          <w:b w:val="0"/>
        </w:rPr>
        <w:t xml:space="preserve">Les échecs successifs sont comptés </w:t>
      </w:r>
      <w:r>
        <w:rPr>
          <w:b/>
        </w:rPr>
        <w:t>par adresse électronique</w:t>
      </w:r>
      <w:r>
        <w:rPr>
          <w:b w:val="0"/>
        </w:rPr>
        <w:t>, et non par poste.</w:t>
      </w:r>
    </w:p>
    <w:p>
      <w:pPr>
        <w:pStyle w:val="ListNumber"/>
      </w:pPr>
      <w:r>
        <w:rPr>
          <w:b w:val="0"/>
        </w:rPr>
        <w:t>Au-delà du seuil paramétré — huit échecs dans la configuration courante — l’adresse est refusée pendant une durée paramétrée, dix minutes par défaut.</w:t>
      </w:r>
    </w:p>
    <w:p>
      <w:pPr>
        <w:pStyle w:val="ListNumber"/>
      </w:pPr>
      <w:r>
        <w:rPr>
          <w:b/>
        </w:rPr>
        <w:t>Pendant ce délai, toute tentative est refusée</w:t>
      </w:r>
      <w:r>
        <w:rPr>
          <w:b w:val="0"/>
        </w:rPr>
        <w:t>, y compris avec le mot de passe exact : c’est précisément ce qui rend le frein efficace.</w:t>
      </w:r>
    </w:p>
    <w:p>
      <w:pPr>
        <w:pStyle w:val="ListNumber"/>
      </w:pPr>
      <w:r>
        <w:rPr>
          <w:b w:val="0"/>
        </w:rPr>
        <w:t>Le message annonce le nombre de minutes restantes.</w:t>
      </w:r>
    </w:p>
    <w:p>
      <w:pPr>
        <w:pStyle w:val="ListNumber"/>
      </w:pPr>
      <w:r>
        <w:rPr>
          <w:b w:val="0"/>
        </w:rPr>
        <w:t>Une connexion réussie efface le compteur ; le délai écoulé l’efface également.</w:t>
      </w:r>
    </w:p>
    <w:p>
      <w:pPr>
        <w:pStyle w:val="Heading2"/>
      </w:pPr>
      <w:r>
        <w:t>4.6 Schéma d’ensemble</w:t>
      </w:r>
    </w:p>
    <w:p>
      <w:pPr>
        <w:spacing w:after="40"/>
      </w:pPr>
      <w:r>
        <w:rPr>
          <w:b/>
          <w:sz w:val="19"/>
        </w:rPr>
        <w:t>Suite des decisions, de l'arrivee a l'ouverture de la session</w:t>
      </w:r>
    </w:p>
    <w:p>
      <w:pPr>
        <w:spacing w:after="0" w:before="0" w:line="240" w:lineRule="auto"/>
      </w:pPr>
      <w:r>
        <w:rPr>
          <w:rFonts w:ascii="Consolas" w:hAnsi="Consolas" w:cs="Consolas" w:eastAsia="Consolas"/>
          <w:sz w:val="18"/>
        </w:rPr>
        <w:t xml:space="preserve">   L'utilisateur demande une adresse de l'application</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Session valide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non                 | oui</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     l'ecran demande</w:t>
      </w:r>
    </w:p>
    <w:p>
      <w:pPr>
        <w:spacing w:after="0" w:before="0" w:line="240" w:lineRule="auto"/>
      </w:pPr>
      <w:r>
        <w:rPr>
          <w:rFonts w:ascii="Consolas" w:hAnsi="Consolas" w:cs="Consolas" w:eastAsia="Consolas"/>
          <w:sz w:val="18"/>
        </w:rPr>
        <w:t xml:space="preserve">   | Destination retenue |     s'affiche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ECRAN DE CONNEXION</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saisie adresse + mot de passe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Adresse bloquee (tentatives) |--- oui --&gt; refus temporaire</w:t>
      </w:r>
    </w:p>
    <w:p>
      <w:pPr>
        <w:spacing w:after="0" w:before="0" w:line="240" w:lineRule="auto"/>
      </w:pPr>
      <w:r>
        <w:rPr>
          <w:rFonts w:ascii="Consolas" w:hAnsi="Consolas" w:cs="Consolas" w:eastAsia="Consolas"/>
          <w:sz w:val="18"/>
        </w:rPr>
        <w:t xml:space="preserve">   +------------------------------+            « Trop de tentatives. »</w:t>
      </w:r>
    </w:p>
    <w:p>
      <w:pPr>
        <w:spacing w:after="0" w:before="0" w:line="240" w:lineRule="auto"/>
      </w:pPr>
      <w:r>
        <w:rPr>
          <w:rFonts w:ascii="Consolas" w:hAnsi="Consolas" w:cs="Consolas" w:eastAsia="Consolas"/>
          <w:sz w:val="18"/>
        </w:rPr>
        <w:t xml:space="preserve">              | non</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Identite reconnue ?          |</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non                | oui</w:t>
      </w:r>
    </w:p>
    <w:p>
      <w:pPr>
        <w:spacing w:after="0" w:before="0" w:line="240" w:lineRule="auto"/>
      </w:pPr>
      <w:r>
        <w:rPr>
          <w:rFonts w:ascii="Consolas" w:hAnsi="Consolas" w:cs="Consolas" w:eastAsia="Consolas"/>
          <w:sz w:val="18"/>
        </w:rPr>
        <w:t xml:space="preserve">       v                    v</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compte hors    |   | ouverture de la session   |</w:t>
      </w:r>
    </w:p>
    <w:p>
      <w:pPr>
        <w:spacing w:after="0" w:before="0" w:line="240" w:lineRule="auto"/>
      </w:pPr>
      <w:r>
        <w:rPr>
          <w:rFonts w:ascii="Consolas" w:hAnsi="Consolas" w:cs="Consolas" w:eastAsia="Consolas"/>
          <w:sz w:val="18"/>
        </w:rPr>
        <w:t xml:space="preserve">  | service ?      |   | mot de passe efface       |</w:t>
      </w:r>
    </w:p>
    <w:p>
      <w:pPr>
        <w:spacing w:after="0" w:before="0" w:line="240" w:lineRule="auto"/>
      </w:pPr>
      <w:r>
        <w:rPr>
          <w:rFonts w:ascii="Consolas" w:hAnsi="Consolas" w:cs="Consolas" w:eastAsia="Consolas"/>
          <w:sz w:val="18"/>
        </w:rPr>
        <w:t xml:space="preserve">  +----------------+   +---------------------------+</w:t>
      </w:r>
    </w:p>
    <w:p>
      <w:pPr>
        <w:spacing w:after="0" w:before="0" w:line="240" w:lineRule="auto"/>
      </w:pPr>
      <w:r>
        <w:rPr>
          <w:rFonts w:ascii="Consolas" w:hAnsi="Consolas" w:cs="Consolas" w:eastAsia="Consolas"/>
          <w:sz w:val="18"/>
        </w:rPr>
        <w:t xml:space="preserve">    | oui    | non                 |</w:t>
      </w:r>
    </w:p>
    <w:p>
      <w:pPr>
        <w:spacing w:after="0" w:before="0" w:line="240" w:lineRule="auto"/>
      </w:pPr>
      <w:r>
        <w:rPr>
          <w:rFonts w:ascii="Consolas" w:hAnsi="Consolas" w:cs="Consolas" w:eastAsia="Consolas"/>
          <w:sz w:val="18"/>
        </w:rPr>
        <w:t xml:space="preserve">    v        v                     v</w:t>
      </w:r>
    </w:p>
    <w:p>
      <w:pPr>
        <w:spacing w:after="0" w:before="0" w:line="240" w:lineRule="auto"/>
      </w:pPr>
      <w:r>
        <w:rPr>
          <w:rFonts w:ascii="Consolas" w:hAnsi="Consolas" w:cs="Consolas" w:eastAsia="Consolas"/>
          <w:sz w:val="18"/>
        </w:rPr>
        <w:t xml:space="preserve"> « Ce      « E-mail ou      +---------------------------+</w:t>
      </w:r>
    </w:p>
    <w:p>
      <w:pPr>
        <w:spacing w:after="0" w:before="0" w:line="240" w:lineRule="auto"/>
      </w:pPr>
      <w:r>
        <w:rPr>
          <w:rFonts w:ascii="Consolas" w:hAnsi="Consolas" w:cs="Consolas" w:eastAsia="Consolas"/>
          <w:sz w:val="18"/>
        </w:rPr>
        <w:t xml:space="preserve">  compte    mot de passe    | Destination retenue ?     |</w:t>
      </w:r>
    </w:p>
    <w:p>
      <w:pPr>
        <w:spacing w:after="0" w:before="0" w:line="240" w:lineRule="auto"/>
      </w:pPr>
      <w:r>
        <w:rPr>
          <w:rFonts w:ascii="Consolas" w:hAnsi="Consolas" w:cs="Consolas" w:eastAsia="Consolas"/>
          <w:sz w:val="18"/>
        </w:rPr>
        <w:t xml:space="preserve">  est       incorrect. »    +---------------------------+</w:t>
      </w:r>
    </w:p>
    <w:p>
      <w:pPr>
        <w:spacing w:after="0" w:before="0" w:line="240" w:lineRule="auto"/>
      </w:pPr>
      <w:r>
        <w:rPr>
          <w:rFonts w:ascii="Consolas" w:hAnsi="Consolas" w:cs="Consolas" w:eastAsia="Consolas"/>
          <w:sz w:val="18"/>
        </w:rPr>
        <w:t xml:space="preserve">  desactive »                 | oui           | non</w:t>
      </w:r>
    </w:p>
    <w:p>
      <w:pPr>
        <w:spacing w:after="0" w:before="0" w:line="240" w:lineRule="auto"/>
      </w:pPr>
      <w:r>
        <w:rPr>
          <w:rFonts w:ascii="Consolas" w:hAnsi="Consolas" w:cs="Consolas" w:eastAsia="Consolas"/>
          <w:sz w:val="18"/>
        </w:rPr>
        <w:t xml:space="preserve">    |          |              v               v</w:t>
      </w:r>
    </w:p>
    <w:p>
      <w:pPr>
        <w:spacing w:after="0" w:before="0" w:line="240" w:lineRule="auto"/>
      </w:pPr>
      <w:r>
        <w:rPr>
          <w:rFonts w:ascii="Consolas" w:hAnsi="Consolas" w:cs="Consolas" w:eastAsia="Consolas"/>
          <w:sz w:val="18"/>
        </w:rPr>
        <w:t xml:space="preserve">    +----------+        page demandee      ACCUEIL</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compteur d'echecs + 1</w:t>
      </w:r>
    </w:p>
    <w:p/>
    <w:p>
      <w:pPr>
        <w:pStyle w:val="Heading1"/>
      </w:pPr>
      <w:r>
        <w:t>5. Les données saisies</w:t>
      </w:r>
    </w:p>
    <w:tbl>
      <w:tblPr>
        <w:tblStyle w:val="LightGrid-Accent1"/>
        <w:tblW w:type="auto" w:w="0"/>
        <w:tblLayout w:type="autofit"/>
        <w:tblLook w:firstColumn="1" w:firstRow="1" w:lastColumn="0" w:lastRow="0" w:noHBand="0" w:noVBand="1" w:val="04A0"/>
      </w:tblPr>
      <w:tblGrid>
        <w:gridCol w:w="1928"/>
        <w:gridCol w:w="1928"/>
        <w:gridCol w:w="1928"/>
        <w:gridCol w:w="1928"/>
        <w:gridCol w:w="1928"/>
      </w:tblGrid>
      <w:tr>
        <w:tc>
          <w:tcPr>
            <w:tcW w:type="dxa" w:w="1928"/>
          </w:tcPr>
          <w:p>
            <w:r>
              <w:rPr>
                <w:b/>
                <w:sz w:val="19"/>
              </w:rPr>
              <w:t>Intitulé affiché</w:t>
            </w:r>
          </w:p>
        </w:tc>
        <w:tc>
          <w:tcPr>
            <w:tcW w:type="dxa" w:w="1928"/>
          </w:tcPr>
          <w:p>
            <w:r>
              <w:rPr>
                <w:b/>
                <w:sz w:val="19"/>
              </w:rPr>
              <w:t>Nature</w:t>
            </w:r>
          </w:p>
        </w:tc>
        <w:tc>
          <w:tcPr>
            <w:tcW w:type="dxa" w:w="1928"/>
          </w:tcPr>
          <w:p>
            <w:r>
              <w:rPr>
                <w:b/>
                <w:sz w:val="19"/>
              </w:rPr>
              <w:t>Obligatoire</w:t>
            </w:r>
          </w:p>
        </w:tc>
        <w:tc>
          <w:tcPr>
            <w:tcW w:type="dxa" w:w="1928"/>
          </w:tcPr>
          <w:p>
            <w:r>
              <w:rPr>
                <w:b/>
                <w:sz w:val="19"/>
              </w:rPr>
              <w:t>Valeur par défaut</w:t>
            </w:r>
          </w:p>
        </w:tc>
        <w:tc>
          <w:tcPr>
            <w:tcW w:type="dxa" w:w="1928"/>
          </w:tcPr>
          <w:p>
            <w:r>
              <w:rPr>
                <w:b/>
                <w:sz w:val="19"/>
              </w:rPr>
              <w:t>Exemple</w:t>
            </w:r>
          </w:p>
        </w:tc>
      </w:tr>
      <w:tr>
        <w:tc>
          <w:tcPr>
            <w:tcW w:type="dxa" w:w="1928"/>
          </w:tcPr>
          <w:p>
            <w:pPr>
              <w:spacing w:after="40"/>
            </w:pPr>
            <w:r>
              <w:rPr>
                <w:b w:val="0"/>
                <w:sz w:val="19"/>
              </w:rPr>
              <w:t>Adresse e-mail</w:t>
            </w:r>
          </w:p>
        </w:tc>
        <w:tc>
          <w:tcPr>
            <w:tcW w:type="dxa" w:w="1928"/>
          </w:tcPr>
          <w:p>
            <w:pPr>
              <w:spacing w:after="40"/>
            </w:pPr>
            <w:r>
              <w:rPr>
                <w:b w:val="0"/>
                <w:sz w:val="19"/>
              </w:rPr>
              <w:t>Texte, au format d’une adresse électronique</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direction@marchica.ma</w:t>
            </w:r>
          </w:p>
        </w:tc>
      </w:tr>
      <w:tr>
        <w:tc>
          <w:tcPr>
            <w:tcW w:type="dxa" w:w="1928"/>
          </w:tcPr>
          <w:p>
            <w:pPr>
              <w:spacing w:after="40"/>
            </w:pPr>
            <w:r>
              <w:rPr>
                <w:b w:val="0"/>
                <w:sz w:val="19"/>
              </w:rPr>
              <w:t>Mot de passe</w:t>
            </w:r>
          </w:p>
        </w:tc>
        <w:tc>
          <w:tcPr>
            <w:tcW w:type="dxa" w:w="1928"/>
          </w:tcPr>
          <w:p>
            <w:pPr>
              <w:spacing w:after="40"/>
            </w:pPr>
            <w:r>
              <w:rPr>
                <w:b w:val="0"/>
                <w:sz w:val="19"/>
              </w:rPr>
              <w:t>Texte masqué, avec bascule affiché / masqué</w:t>
            </w:r>
          </w:p>
        </w:tc>
        <w:tc>
          <w:tcPr>
            <w:tcW w:type="dxa" w:w="1928"/>
          </w:tcPr>
          <w:p>
            <w:pPr>
              <w:spacing w:after="40"/>
            </w:pPr>
            <w:r>
              <w:rPr>
                <w:b w:val="0"/>
                <w:sz w:val="19"/>
              </w:rPr>
              <w:t>Oui</w:t>
            </w:r>
          </w:p>
        </w:tc>
        <w:tc>
          <w:tcPr>
            <w:tcW w:type="dxa" w:w="1928"/>
          </w:tcPr>
          <w:p>
            <w:pPr>
              <w:spacing w:after="40"/>
            </w:pPr>
            <w:r>
              <w:rPr>
                <w:b w:val="0"/>
                <w:sz w:val="19"/>
              </w:rPr>
              <w:t>Vide</w:t>
            </w:r>
          </w:p>
        </w:tc>
        <w:tc>
          <w:tcPr>
            <w:tcW w:type="dxa" w:w="1928"/>
          </w:tcPr>
          <w:p>
            <w:pPr>
              <w:spacing w:after="40"/>
            </w:pPr>
            <w:r>
              <w:rPr>
                <w:b w:val="0"/>
                <w:sz w:val="19"/>
              </w:rPr>
              <w:t>—</w:t>
            </w:r>
          </w:p>
        </w:tc>
      </w:tr>
      <w:tr>
        <w:tc>
          <w:tcPr>
            <w:tcW w:type="dxa" w:w="1928"/>
          </w:tcPr>
          <w:p>
            <w:pPr>
              <w:spacing w:after="40"/>
            </w:pPr>
            <w:r>
              <w:rPr>
                <w:b w:val="0"/>
                <w:sz w:val="19"/>
              </w:rPr>
              <w:t>Se souvenir de moi</w:t>
            </w:r>
          </w:p>
        </w:tc>
        <w:tc>
          <w:tcPr>
            <w:tcW w:type="dxa" w:w="1928"/>
          </w:tcPr>
          <w:p>
            <w:pPr>
              <w:spacing w:after="40"/>
            </w:pPr>
            <w:r>
              <w:rPr>
                <w:b w:val="0"/>
                <w:sz w:val="19"/>
              </w:rPr>
              <w:t>Oui / non (case à cocher)</w:t>
            </w:r>
          </w:p>
        </w:tc>
        <w:tc>
          <w:tcPr>
            <w:tcW w:type="dxa" w:w="1928"/>
          </w:tcPr>
          <w:p>
            <w:pPr>
              <w:spacing w:after="40"/>
            </w:pPr>
            <w:r>
              <w:rPr>
                <w:b w:val="0"/>
                <w:sz w:val="19"/>
              </w:rPr>
              <w:t>Non</w:t>
            </w:r>
          </w:p>
        </w:tc>
        <w:tc>
          <w:tcPr>
            <w:tcW w:type="dxa" w:w="1928"/>
          </w:tcPr>
          <w:p>
            <w:pPr>
              <w:spacing w:after="40"/>
            </w:pPr>
            <w:r>
              <w:rPr>
                <w:b w:val="0"/>
                <w:sz w:val="19"/>
              </w:rPr>
              <w:t>Décochée</w:t>
            </w:r>
          </w:p>
        </w:tc>
        <w:tc>
          <w:tcPr>
            <w:tcW w:type="dxa" w:w="1928"/>
          </w:tcPr>
          <w:p>
            <w:pPr>
              <w:spacing w:after="40"/>
            </w:pPr>
            <w:r>
              <w:rPr>
                <w:b w:val="0"/>
                <w:sz w:val="19"/>
              </w:rPr>
              <w:t>—</w:t>
            </w:r>
          </w:p>
        </w:tc>
      </w:tr>
    </w:tbl>
    <w:p/>
    <w:p>
      <w:pPr>
        <w:pStyle w:val="Heading2"/>
      </w:pPr>
      <w:r>
        <w:t>5.1 Explication des champs</w:t>
      </w:r>
    </w:p>
    <w:p>
      <w:r>
        <w:rPr>
          <w:i w:val="0"/>
        </w:rPr>
        <w:t>**Adresse e-mail.** C’est l’identifiant de connexion. La casse est sans importance : l’adresse est ramenée en minuscules avant vérification, et les espaces de début et de fin sont retirés. Le format est contrôlé avant tout envoi, ce qui évite d’aller solliciter le service pour une saisie manifestement incomplète. La longueur admise va jusqu’à 190 caractères.</w:t>
      </w:r>
    </w:p>
    <w:p>
      <w:r>
        <w:rPr>
          <w:i w:val="0"/>
        </w:rPr>
        <w:t>**Mot de passe.** Le champ est masqué par défaut. Le bouton en fin de champ bascule l’affichage, ce qui est utile sur un poste isolé pour vérifier une saisie longue. L’écran exige au minimum quatre caractères avant d’accepter d’envoyer la tentative ; il faut lire cette borne comme un garde-fou de saisie, et non comme la politique de mot de passe de l’organisation, qui relève de l’exploitation. La longueur transmise est plafonnée à 200 caractères. Le champ est vidé après chaque tentative, réussie ou non.</w:t>
      </w:r>
    </w:p>
    <w:p>
      <w:r>
        <w:rPr>
          <w:i w:val="0"/>
        </w:rPr>
        <w:t>**Se souvenir de moi.** Cette case doit rester une décision de la personne. L’application ne peut pas savoir si le poste est partagé ; en cochant à sa place, elle laisserait une session ouverte sur une machine d’accueil. La valeur par défaut est donc la plus prudente des deux.</w:t>
      </w:r>
    </w:p>
    <w:p>
      <w:pPr>
        <w:pStyle w:val="Heading1"/>
      </w:pPr>
      <w:r>
        <w:t>6. Les règles de gestion</w:t>
      </w:r>
    </w:p>
    <w:p>
      <w:pPr>
        <w:spacing w:after="40"/>
      </w:pPr>
      <w:r>
        <w:rPr>
          <w:b/>
        </w:rPr>
        <w:t xml:space="preserve">R1. </w:t>
      </w:r>
      <w:r>
        <w:rPr>
          <w:b/>
        </w:rPr>
        <w:t>Aucun écran de l’application n’est accessible sans session valide.</w:t>
      </w:r>
      <w:r>
        <w:rPr>
          <w:b w:val="0"/>
        </w:rPr>
        <w:t xml:space="preserve"> Toute adresse demandée sans session ramène à la connexion.</w:t>
      </w:r>
    </w:p>
    <w:p>
      <w:pPr>
        <w:spacing w:after="200"/>
        <w:ind w:left="454"/>
      </w:pPr>
      <w:r>
        <w:rPr>
          <w:b/>
          <w:sz w:val="19"/>
        </w:rPr>
        <w:t xml:space="preserve">Pourquoi : </w:t>
      </w:r>
      <w:r>
        <w:rPr>
          <w:color w:val="353535"/>
          <w:sz w:val="19"/>
        </w:rPr>
        <w:t>Un écran qui s’ouvrirait sans identification se remplirait de refus au premier chargement de données. L’utilisateur croirait à une panne alors qu’il s’agit d’un défaut d’identification.</w:t>
      </w:r>
    </w:p>
    <w:p>
      <w:pPr>
        <w:spacing w:after="40"/>
      </w:pPr>
      <w:r>
        <w:rPr>
          <w:b/>
        </w:rPr>
        <w:t xml:space="preserve">R2. </w:t>
      </w:r>
      <w:r>
        <w:rPr>
          <w:b/>
        </w:rPr>
        <w:t>La destination demandée est mémorisée puis restituée après connexion.</w:t>
      </w:r>
      <w:r>
        <w:rPr>
          <w:b w:val="0"/>
        </w:rPr>
        <w:t xml:space="preserve"> L’utilisateur n’est pas systématiquement renvoyé à l’accueil.</w:t>
      </w:r>
    </w:p>
    <w:p>
      <w:pPr>
        <w:spacing w:after="200"/>
        <w:ind w:left="454"/>
      </w:pPr>
      <w:r>
        <w:rPr>
          <w:b/>
          <w:sz w:val="19"/>
        </w:rPr>
        <w:t xml:space="preserve">Pourquoi : </w:t>
      </w:r>
      <w:r>
        <w:rPr>
          <w:color w:val="353535"/>
          <w:sz w:val="19"/>
        </w:rPr>
        <w:t>Un lien profond transmis à un collègue doit rester utilisable. Renvoyer à l’accueil obligerait à refaire à la main tout le chemin, et transforme un partage de lien en parcours de navigation.</w:t>
      </w:r>
    </w:p>
    <w:p>
      <w:pPr>
        <w:spacing w:after="40"/>
      </w:pPr>
      <w:r>
        <w:rPr>
          <w:b/>
        </w:rPr>
        <w:t xml:space="preserve">R3. </w:t>
      </w:r>
      <w:r>
        <w:rPr>
          <w:b/>
        </w:rPr>
        <w:t>Les deux champs sont obligatoires.</w:t>
      </w:r>
      <w:r>
        <w:rPr>
          <w:b w:val="0"/>
        </w:rPr>
        <w:t xml:space="preserve"> Une soumission avec un champ vide n’est pas transmise : l’écran affiche le message sous le champ concerné et n’envoie rien.</w:t>
      </w:r>
    </w:p>
    <w:p>
      <w:pPr>
        <w:spacing w:after="200"/>
        <w:ind w:left="454"/>
      </w:pPr>
      <w:r>
        <w:rPr>
          <w:b/>
          <w:sz w:val="19"/>
        </w:rPr>
        <w:t xml:space="preserve">Pourquoi : </w:t>
      </w:r>
      <w:r>
        <w:rPr>
          <w:color w:val="353535"/>
          <w:sz w:val="19"/>
        </w:rPr>
        <w:t>Il est inutile de solliciter la vérification d’identité pour une saisie que l’écran sait déjà incomplète, et cela ferait progresser le compteur d’échecs sans raison.</w:t>
      </w:r>
    </w:p>
    <w:p>
      <w:pPr>
        <w:spacing w:after="40"/>
      </w:pPr>
      <w:r>
        <w:rPr>
          <w:b/>
        </w:rPr>
        <w:t xml:space="preserve">R4. </w:t>
      </w:r>
      <w:r>
        <w:rPr>
          <w:b/>
        </w:rPr>
        <w:t>Un envoi en cours désactive le bouton.</w:t>
      </w:r>
      <w:r>
        <w:rPr>
          <w:b w:val="0"/>
        </w:rPr>
        <w:t xml:space="preserve"> Une seconde activation est impossible tant que la réponse n’est pas revenue.</w:t>
      </w:r>
    </w:p>
    <w:p>
      <w:pPr>
        <w:spacing w:after="200"/>
        <w:ind w:left="454"/>
      </w:pPr>
      <w:r>
        <w:rPr>
          <w:b/>
          <w:sz w:val="19"/>
        </w:rPr>
        <w:t xml:space="preserve">Pourquoi : </w:t>
      </w:r>
      <w:r>
        <w:rPr>
          <w:color w:val="353535"/>
          <w:sz w:val="19"/>
        </w:rPr>
        <w:t>Un double clic enverrait deux tentatives et ferait avancer deux fois le compteur d’échecs, rapprochant l’utilisateur d’un blocage qu’il n’a pas mérité.</w:t>
      </w:r>
    </w:p>
    <w:p>
      <w:pPr>
        <w:spacing w:after="40"/>
      </w:pPr>
      <w:r>
        <w:rPr>
          <w:b/>
        </w:rPr>
        <w:t xml:space="preserve">R5. </w:t>
      </w:r>
      <w:r>
        <w:rPr>
          <w:b/>
        </w:rPr>
        <w:t>Un refus d’identité ne dit jamais lequel des deux éléments est en cause.</w:t>
      </w:r>
      <w:r>
        <w:rPr>
          <w:b w:val="0"/>
        </w:rPr>
        <w:t xml:space="preserve"> Le message est le même pour une adresse inconnue et pour un mot de passe erroné.</w:t>
      </w:r>
    </w:p>
    <w:p>
      <w:pPr>
        <w:spacing w:after="200"/>
        <w:ind w:left="454"/>
      </w:pPr>
      <w:r>
        <w:rPr>
          <w:b/>
          <w:sz w:val="19"/>
        </w:rPr>
        <w:t xml:space="preserve">Pourquoi : </w:t>
      </w:r>
      <w:r>
        <w:rPr>
          <w:color w:val="353535"/>
          <w:sz w:val="19"/>
        </w:rPr>
        <w:t>Distinguer les deux cas permettrait, par tentatives successives, de dresser la liste des adresses connues du système. Cette information est précisément ce qu’il faut protéger.</w:t>
      </w:r>
    </w:p>
    <w:p>
      <w:pPr>
        <w:spacing w:after="40"/>
      </w:pPr>
      <w:r>
        <w:rPr>
          <w:b/>
        </w:rPr>
        <w:t xml:space="preserve">R6. </w:t>
      </w:r>
      <w:r>
        <w:rPr>
          <w:b/>
        </w:rPr>
        <w:t>Un compte volontairement mis hors service est annoncé comme tel.</w:t>
      </w:r>
    </w:p>
    <w:p>
      <w:pPr>
        <w:spacing w:after="200"/>
        <w:ind w:left="454"/>
      </w:pPr>
      <w:r>
        <w:rPr>
          <w:b/>
          <w:sz w:val="19"/>
        </w:rPr>
        <w:t xml:space="preserve">Pourquoi : </w:t>
      </w:r>
      <w:r>
        <w:rPr>
          <w:color w:val="353535"/>
          <w:sz w:val="19"/>
        </w:rPr>
        <w:t>Ce refus est le résultat d’une décision d’administration : le dire n’apprend rien qu’un administrateur n’ait décidé, et cela évite à la personne de s’acharner sur son mot de passe.</w:t>
      </w:r>
    </w:p>
    <w:p>
      <w:pPr>
        <w:spacing w:after="40"/>
      </w:pPr>
      <w:r>
        <w:rPr>
          <w:b/>
        </w:rPr>
        <w:t xml:space="preserve">R7. </w:t>
      </w:r>
      <w:r>
        <w:rPr>
          <w:b/>
        </w:rPr>
        <w:t>Les échecs sont comptés par adresse. Au-delà du seuil, l’adresse est refusée pendant un délai, quel que soit le mot de passe proposé.</w:t>
      </w:r>
    </w:p>
    <w:p>
      <w:pPr>
        <w:spacing w:after="200"/>
        <w:ind w:left="454"/>
      </w:pPr>
      <w:r>
        <w:rPr>
          <w:b/>
          <w:sz w:val="19"/>
        </w:rPr>
        <w:t xml:space="preserve">Pourquoi : </w:t>
      </w:r>
      <w:r>
        <w:rPr>
          <w:color w:val="353535"/>
          <w:sz w:val="19"/>
        </w:rPr>
        <w:t>Sans ce frein, rien n’empêche d’essayer des combinaisons en série. La solidité d’un mot de passe ne vaut que si le nombre d’essais est borné.</w:t>
      </w:r>
    </w:p>
    <w:p>
      <w:pPr>
        <w:spacing w:after="40"/>
      </w:pPr>
      <w:r>
        <w:rPr>
          <w:b/>
        </w:rPr>
        <w:t xml:space="preserve">R8. </w:t>
      </w:r>
      <w:r>
        <w:rPr>
          <w:b/>
        </w:rPr>
        <w:t>Après toute tentative, le mot de passe est effacé du formulaire ; l’adresse est conservée.</w:t>
      </w:r>
    </w:p>
    <w:p>
      <w:pPr>
        <w:spacing w:after="200"/>
        <w:ind w:left="454"/>
      </w:pPr>
      <w:r>
        <w:rPr>
          <w:b/>
          <w:sz w:val="19"/>
        </w:rPr>
        <w:t xml:space="preserve">Pourquoi : </w:t>
      </w:r>
      <w:r>
        <w:rPr>
          <w:color w:val="353535"/>
          <w:sz w:val="19"/>
        </w:rPr>
        <w:t>Un écran resté ouvert sur un poste garderait sinon le secret à disposition d’un passant. Conserver l’adresse suffit à corriger une faute de frappe sans tout ressaisir.</w:t>
      </w:r>
    </w:p>
    <w:p>
      <w:pPr>
        <w:spacing w:after="40"/>
      </w:pPr>
      <w:r>
        <w:rPr>
          <w:b/>
        </w:rPr>
        <w:t xml:space="preserve">R9. </w:t>
      </w:r>
      <w:r>
        <w:rPr>
          <w:b/>
        </w:rPr>
        <w:t>La portée de la session dépend de la case « Se souvenir de moi », et d’elle seule.</w:t>
      </w:r>
    </w:p>
    <w:p>
      <w:pPr>
        <w:spacing w:after="200"/>
        <w:ind w:left="454"/>
      </w:pPr>
      <w:r>
        <w:rPr>
          <w:b/>
          <w:sz w:val="19"/>
        </w:rPr>
        <w:t xml:space="preserve">Pourquoi : </w:t>
      </w:r>
      <w:r>
        <w:rPr>
          <w:color w:val="353535"/>
          <w:sz w:val="19"/>
        </w:rPr>
        <w:t>Seule la personne sait si le poste est partagé. Décider à sa place, dans un sens ou dans l’autre, revient à choisir pour elle entre la commodité et la prudence.</w:t>
      </w:r>
    </w:p>
    <w:p>
      <w:pPr>
        <w:spacing w:after="40"/>
      </w:pPr>
      <w:r>
        <w:rPr>
          <w:b/>
        </w:rPr>
        <w:t xml:space="preserve">R10. </w:t>
      </w:r>
      <w:r>
        <w:rPr>
          <w:b/>
        </w:rPr>
        <w:t>Une nouvelle connexion efface toute session antérieure enregistrée sur le poste</w:t>
      </w:r>
      <w:r>
        <w:rPr>
          <w:b w:val="0"/>
        </w:rPr>
        <w:t>, mémorisée ou non.</w:t>
      </w:r>
    </w:p>
    <w:p>
      <w:pPr>
        <w:spacing w:after="200"/>
        <w:ind w:left="454"/>
      </w:pPr>
      <w:r>
        <w:rPr>
          <w:b/>
          <w:sz w:val="19"/>
        </w:rPr>
        <w:t xml:space="preserve">Pourquoi : </w:t>
      </w:r>
      <w:r>
        <w:rPr>
          <w:color w:val="353535"/>
          <w:sz w:val="19"/>
        </w:rPr>
        <w:t>Sans cela, une session mémorisée par une personne survivrait à la connexion non mémorisée d’une autre, et l’onglet suivant rouvrirait la session de la première.</w:t>
      </w:r>
    </w:p>
    <w:p>
      <w:pPr>
        <w:spacing w:after="40"/>
      </w:pPr>
      <w:r>
        <w:rPr>
          <w:b/>
        </w:rPr>
        <w:t xml:space="preserve">R11. </w:t>
      </w:r>
      <w:r>
        <w:rPr>
          <w:b/>
        </w:rPr>
        <w:t>La déconnexion efface la session dans les deux modes de conservation.</w:t>
      </w:r>
    </w:p>
    <w:p>
      <w:pPr>
        <w:spacing w:after="200"/>
        <w:ind w:left="454"/>
      </w:pPr>
      <w:r>
        <w:rPr>
          <w:b/>
          <w:sz w:val="19"/>
        </w:rPr>
        <w:t xml:space="preserve">Pourquoi : </w:t>
      </w:r>
      <w:r>
        <w:rPr>
          <w:color w:val="353535"/>
          <w:sz w:val="19"/>
        </w:rPr>
        <w:t>Se déconnecter doit fermer la session, qu’elle ait été mémorisée ou non. Une déconnexion partielle est pire qu’aucune : elle donne un faux sentiment de sécurité.</w:t>
      </w:r>
    </w:p>
    <w:p>
      <w:pPr>
        <w:spacing w:after="40"/>
      </w:pPr>
      <w:r>
        <w:rPr>
          <w:b/>
        </w:rPr>
        <w:t xml:space="preserve">R12. </w:t>
      </w:r>
      <w:r>
        <w:rPr>
          <w:b/>
        </w:rPr>
        <w:t>La session a une durée de vie bornée, deux heures dans le paramétrage courant.</w:t>
      </w:r>
      <w:r>
        <w:rPr>
          <w:b w:val="0"/>
        </w:rPr>
        <w:t xml:space="preserve"> Elle est revalidée à chaque ouverture de l’application.</w:t>
      </w:r>
    </w:p>
    <w:p>
      <w:pPr>
        <w:spacing w:after="200"/>
        <w:ind w:left="454"/>
      </w:pPr>
      <w:r>
        <w:rPr>
          <w:b/>
          <w:sz w:val="19"/>
        </w:rPr>
        <w:t xml:space="preserve">Pourquoi : </w:t>
      </w:r>
      <w:r>
        <w:rPr>
          <w:color w:val="353535"/>
          <w:sz w:val="19"/>
        </w:rPr>
        <w:t>Une session sans terme laisse un accès ouvert indéfiniment sur un poste oublié. La revalidation à l’ouverture évite d’afficher une interface dont chaque action échouerait.</w:t>
      </w:r>
    </w:p>
    <w:p>
      <w:pPr>
        <w:spacing w:after="40"/>
      </w:pPr>
      <w:r>
        <w:rPr>
          <w:b/>
        </w:rPr>
        <w:t xml:space="preserve">R13. </w:t>
      </w:r>
      <w:r>
        <w:rPr>
          <w:b/>
        </w:rPr>
        <w:t>La désactivation d’un compte prend effet immédiatement</w:t>
      </w:r>
      <w:r>
        <w:rPr>
          <w:b w:val="0"/>
        </w:rPr>
        <w:t>, sans attendre l’expiration de la session en cours.</w:t>
      </w:r>
    </w:p>
    <w:p>
      <w:pPr>
        <w:spacing w:after="200"/>
        <w:ind w:left="454"/>
      </w:pPr>
      <w:r>
        <w:rPr>
          <w:b/>
          <w:sz w:val="19"/>
        </w:rPr>
        <w:t xml:space="preserve">Pourquoi : </w:t>
      </w:r>
      <w:r>
        <w:rPr>
          <w:color w:val="353535"/>
          <w:sz w:val="19"/>
        </w:rPr>
        <w:t>L’état du compte est relu à chaque sollicitation. Un état figé au moment de la connexion laisserait un compte fermé travailler jusqu’à la fin de sa session.</w:t>
      </w:r>
    </w:p>
    <w:p>
      <w:pPr>
        <w:spacing w:after="40"/>
      </w:pPr>
      <w:r>
        <w:rPr>
          <w:b/>
        </w:rPr>
        <w:t xml:space="preserve">R14. </w:t>
      </w:r>
      <w:r>
        <w:rPr>
          <w:b/>
        </w:rPr>
        <w:t>Aucun message technique n’est présenté à l’utilisateur.</w:t>
      </w:r>
      <w:r>
        <w:rPr>
          <w:b w:val="0"/>
        </w:rPr>
        <w:t xml:space="preserve"> Une réponse non interprétée est ramenée à une formulation générale.</w:t>
      </w:r>
    </w:p>
    <w:p>
      <w:pPr>
        <w:spacing w:after="200"/>
        <w:ind w:left="454"/>
      </w:pPr>
      <w:r>
        <w:rPr>
          <w:b/>
          <w:sz w:val="19"/>
        </w:rPr>
        <w:t xml:space="preserve">Pourquoi : </w:t>
      </w:r>
      <w:r>
        <w:rPr>
          <w:color w:val="353535"/>
          <w:sz w:val="19"/>
        </w:rPr>
        <w:t>Un message technique n’aide pas la personne à agir et renseigne un éventuel attaquant sur la nature du service. La réponse détaillée appartient au journal d’exploitation.</w:t>
      </w:r>
    </w:p>
    <w:p>
      <w:pPr>
        <w:pStyle w:val="Heading1"/>
      </w:pPr>
      <w:r>
        <w:t>7. Les contrôles et les refus</w:t>
      </w:r>
    </w:p>
    <w:p>
      <w:r>
        <w:rPr>
          <w:i w:val="0"/>
        </w:rPr>
        <w:t>Les messages ci-dessous sont ceux du produit, reproduits à l’identique.</w:t>
      </w:r>
    </w:p>
    <w:p>
      <w:pPr>
        <w:pStyle w:val="Heading2"/>
      </w:pPr>
      <w:r>
        <w:t>7.1 Contrôles de saisie, avant tout envoi</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Le champ d’adresse est laissé vide</w:t>
            </w:r>
          </w:p>
        </w:tc>
        <w:tc>
          <w:tcPr>
            <w:tcW w:type="dxa" w:w="3213"/>
          </w:tcPr>
          <w:p>
            <w:pPr>
              <w:spacing w:after="40"/>
            </w:pPr>
            <w:r>
              <w:rPr>
                <w:b w:val="0"/>
                <w:sz w:val="18"/>
              </w:rPr>
              <w:t>L’adresse e-mail est requise.</w:t>
            </w:r>
          </w:p>
        </w:tc>
        <w:tc>
          <w:tcPr>
            <w:tcW w:type="dxa" w:w="3213"/>
          </w:tcPr>
          <w:p>
            <w:pPr>
              <w:spacing w:after="40"/>
            </w:pPr>
            <w:r>
              <w:rPr>
                <w:b w:val="0"/>
                <w:sz w:val="18"/>
              </w:rPr>
              <w:t>Le message s’affiche sous le champ ; rien n’est envoyé ; le compteur d’échecs ne bouge pas</w:t>
            </w:r>
          </w:p>
        </w:tc>
      </w:tr>
      <w:tr>
        <w:tc>
          <w:tcPr>
            <w:tcW w:type="dxa" w:w="3213"/>
          </w:tcPr>
          <w:p>
            <w:pPr>
              <w:spacing w:after="40"/>
            </w:pPr>
            <w:r>
              <w:rPr>
                <w:b w:val="0"/>
                <w:sz w:val="18"/>
              </w:rPr>
              <w:t>L’adresse saisie n’a pas la forme d’une adresse électronique</w:t>
            </w:r>
          </w:p>
        </w:tc>
        <w:tc>
          <w:tcPr>
            <w:tcW w:type="dxa" w:w="3213"/>
          </w:tcPr>
          <w:p>
            <w:pPr>
              <w:spacing w:after="40"/>
            </w:pPr>
            <w:r>
              <w:rPr>
                <w:b w:val="0"/>
                <w:sz w:val="18"/>
              </w:rPr>
              <w:t>Format d’adresse invalide.</w:t>
            </w:r>
          </w:p>
        </w:tc>
        <w:tc>
          <w:tcPr>
            <w:tcW w:type="dxa" w:w="3213"/>
          </w:tcPr>
          <w:p>
            <w:pPr>
              <w:spacing w:after="40"/>
            </w:pPr>
            <w:r>
              <w:rPr>
                <w:b w:val="0"/>
                <w:sz w:val="18"/>
              </w:rPr>
              <w:t>Idem ; le message disparaît dès que la saisie devient correcte</w:t>
            </w:r>
          </w:p>
        </w:tc>
      </w:tr>
      <w:tr>
        <w:tc>
          <w:tcPr>
            <w:tcW w:type="dxa" w:w="3213"/>
          </w:tcPr>
          <w:p>
            <w:pPr>
              <w:spacing w:after="40"/>
            </w:pPr>
            <w:r>
              <w:rPr>
                <w:b w:val="0"/>
                <w:sz w:val="18"/>
              </w:rPr>
              <w:t>Le champ de mot de passe est laissé vide</w:t>
            </w:r>
          </w:p>
        </w:tc>
        <w:tc>
          <w:tcPr>
            <w:tcW w:type="dxa" w:w="3213"/>
          </w:tcPr>
          <w:p>
            <w:pPr>
              <w:spacing w:after="40"/>
            </w:pPr>
            <w:r>
              <w:rPr>
                <w:b w:val="0"/>
                <w:sz w:val="18"/>
              </w:rPr>
              <w:t>Le mot de passe est requis.</w:t>
            </w:r>
          </w:p>
        </w:tc>
        <w:tc>
          <w:tcPr>
            <w:tcW w:type="dxa" w:w="3213"/>
          </w:tcPr>
          <w:p>
            <w:pPr>
              <w:spacing w:after="40"/>
            </w:pPr>
            <w:r>
              <w:rPr>
                <w:b w:val="0"/>
                <w:sz w:val="18"/>
              </w:rPr>
              <w:t>Idem</w:t>
            </w:r>
          </w:p>
        </w:tc>
      </w:tr>
      <w:tr>
        <w:tc>
          <w:tcPr>
            <w:tcW w:type="dxa" w:w="3213"/>
          </w:tcPr>
          <w:p>
            <w:pPr>
              <w:spacing w:after="40"/>
            </w:pPr>
            <w:r>
              <w:rPr>
                <w:b w:val="0"/>
                <w:sz w:val="18"/>
              </w:rPr>
              <w:t>Le mot de passe saisi compte moins de quatre caractères</w:t>
            </w:r>
          </w:p>
        </w:tc>
        <w:tc>
          <w:tcPr>
            <w:tcW w:type="dxa" w:w="3213"/>
          </w:tcPr>
          <w:p>
            <w:pPr>
              <w:spacing w:after="40"/>
            </w:pPr>
            <w:r>
              <w:rPr>
                <w:b w:val="0"/>
                <w:sz w:val="18"/>
              </w:rPr>
              <w:t>Au moins 4 caractères.</w:t>
            </w:r>
          </w:p>
        </w:tc>
        <w:tc>
          <w:tcPr>
            <w:tcW w:type="dxa" w:w="3213"/>
          </w:tcPr>
          <w:p>
            <w:pPr>
              <w:spacing w:after="40"/>
            </w:pPr>
            <w:r>
              <w:rPr>
                <w:b w:val="0"/>
                <w:sz w:val="18"/>
              </w:rPr>
              <w:t>Idem ; le contrôle est un garde-fou de saisie, pas une règle de complexité</w:t>
            </w:r>
          </w:p>
        </w:tc>
      </w:tr>
    </w:tbl>
    <w:p/>
    <w:p>
      <w:pPr>
        <w:pStyle w:val="Heading2"/>
      </w:pPr>
      <w:r>
        <w:t>7.2 Refus prononcés après vérification</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Adresse inconnue ou mot de passe erroné</w:t>
            </w:r>
          </w:p>
        </w:tc>
        <w:tc>
          <w:tcPr>
            <w:tcW w:type="dxa" w:w="3213"/>
          </w:tcPr>
          <w:p>
            <w:pPr>
              <w:spacing w:after="40"/>
            </w:pPr>
            <w:r>
              <w:rPr>
                <w:b w:val="0"/>
                <w:sz w:val="18"/>
              </w:rPr>
              <w:t>E-mail ou mot de passe incorrect.</w:t>
            </w:r>
          </w:p>
        </w:tc>
        <w:tc>
          <w:tcPr>
            <w:tcW w:type="dxa" w:w="3213"/>
          </w:tcPr>
          <w:p>
            <w:pPr>
              <w:spacing w:after="40"/>
            </w:pPr>
            <w:r>
              <w:rPr>
                <w:b w:val="0"/>
                <w:sz w:val="18"/>
              </w:rPr>
              <w:t>Bandeau d’erreur ; adresse conservée, mot de passe vidé ; un échec est comptabilisé</w:t>
            </w:r>
          </w:p>
        </w:tc>
      </w:tr>
      <w:tr>
        <w:tc>
          <w:tcPr>
            <w:tcW w:type="dxa" w:w="3213"/>
          </w:tcPr>
          <w:p>
            <w:pPr>
              <w:spacing w:after="40"/>
            </w:pPr>
            <w:r>
              <w:rPr>
                <w:b w:val="0"/>
                <w:sz w:val="18"/>
              </w:rPr>
              <w:t>Compte mis hors service</w:t>
            </w:r>
          </w:p>
        </w:tc>
        <w:tc>
          <w:tcPr>
            <w:tcW w:type="dxa" w:w="3213"/>
          </w:tcPr>
          <w:p>
            <w:pPr>
              <w:spacing w:after="40"/>
            </w:pPr>
            <w:r>
              <w:rPr>
                <w:b w:val="0"/>
                <w:sz w:val="18"/>
              </w:rPr>
              <w:t>Ce compte est désactivé. Contactez un administrateur.</w:t>
            </w:r>
          </w:p>
        </w:tc>
        <w:tc>
          <w:tcPr>
            <w:tcW w:type="dxa" w:w="3213"/>
          </w:tcPr>
          <w:p>
            <w:pPr>
              <w:spacing w:after="40"/>
            </w:pPr>
            <w:r>
              <w:rPr>
                <w:b w:val="0"/>
                <w:sz w:val="18"/>
              </w:rPr>
              <w:t>Bandeau d’erreur ; aucune correction de saisie n’y remédiera</w:t>
            </w:r>
          </w:p>
        </w:tc>
      </w:tr>
      <w:tr>
        <w:tc>
          <w:tcPr>
            <w:tcW w:type="dxa" w:w="3213"/>
          </w:tcPr>
          <w:p>
            <w:pPr>
              <w:spacing w:after="40"/>
            </w:pPr>
            <w:r>
              <w:rPr>
                <w:b w:val="0"/>
                <w:sz w:val="18"/>
              </w:rPr>
              <w:t>Seuil de tentatives atteint pour cette adresse</w:t>
            </w:r>
          </w:p>
        </w:tc>
        <w:tc>
          <w:tcPr>
            <w:tcW w:type="dxa" w:w="3213"/>
          </w:tcPr>
          <w:p>
            <w:pPr>
              <w:spacing w:after="40"/>
            </w:pPr>
            <w:r>
              <w:rPr>
                <w:b w:val="0"/>
                <w:sz w:val="18"/>
              </w:rPr>
              <w:t>Trop de tentatives. Réessayez dans N minute(s).</w:t>
            </w:r>
          </w:p>
        </w:tc>
        <w:tc>
          <w:tcPr>
            <w:tcW w:type="dxa" w:w="3213"/>
          </w:tcPr>
          <w:p>
            <w:pPr>
              <w:spacing w:after="40"/>
            </w:pPr>
            <w:r>
              <w:rPr>
                <w:b w:val="0"/>
                <w:sz w:val="18"/>
              </w:rPr>
              <w:t>Bandeau d’erreur ; le nombre de minutes restantes est indiqué ; toute tentative est refusée pendant le délai</w:t>
            </w:r>
          </w:p>
        </w:tc>
      </w:tr>
      <w:tr>
        <w:tc>
          <w:tcPr>
            <w:tcW w:type="dxa" w:w="3213"/>
          </w:tcPr>
          <w:p>
            <w:pPr>
              <w:spacing w:after="40"/>
            </w:pPr>
            <w:r>
              <w:rPr>
                <w:b w:val="0"/>
                <w:sz w:val="18"/>
              </w:rPr>
              <w:t>Le service ne répond pas</w:t>
            </w:r>
          </w:p>
        </w:tc>
        <w:tc>
          <w:tcPr>
            <w:tcW w:type="dxa" w:w="3213"/>
          </w:tcPr>
          <w:p>
            <w:pPr>
              <w:spacing w:after="40"/>
            </w:pPr>
            <w:r>
              <w:rPr>
                <w:b w:val="0"/>
                <w:sz w:val="18"/>
              </w:rPr>
              <w:t>Le serveur ne répond pas. Vérifiez qu’il est démarré.</w:t>
            </w:r>
          </w:p>
        </w:tc>
        <w:tc>
          <w:tcPr>
            <w:tcW w:type="dxa" w:w="3213"/>
          </w:tcPr>
          <w:p>
            <w:pPr>
              <w:spacing w:after="40"/>
            </w:pPr>
            <w:r>
              <w:rPr>
                <w:b w:val="0"/>
                <w:sz w:val="18"/>
              </w:rPr>
              <w:t>Bandeau d’erreur ; il s’agit d’une indisponibilité, pas d’un refus d’identité</w:t>
            </w:r>
          </w:p>
        </w:tc>
      </w:tr>
      <w:tr>
        <w:tc>
          <w:tcPr>
            <w:tcW w:type="dxa" w:w="3213"/>
          </w:tcPr>
          <w:p>
            <w:pPr>
              <w:spacing w:after="40"/>
            </w:pPr>
            <w:r>
              <w:rPr>
                <w:b w:val="0"/>
                <w:sz w:val="18"/>
              </w:rPr>
              <w:t>Réponse non interprétée</w:t>
            </w:r>
          </w:p>
        </w:tc>
        <w:tc>
          <w:tcPr>
            <w:tcW w:type="dxa" w:w="3213"/>
          </w:tcPr>
          <w:p>
            <w:pPr>
              <w:spacing w:after="40"/>
            </w:pPr>
            <w:r>
              <w:rPr>
                <w:b w:val="0"/>
                <w:sz w:val="18"/>
              </w:rPr>
              <w:t>E-mail ou mot de passe incorrect.</w:t>
            </w:r>
          </w:p>
        </w:tc>
        <w:tc>
          <w:tcPr>
            <w:tcW w:type="dxa" w:w="3213"/>
          </w:tcPr>
          <w:p>
            <w:pPr>
              <w:spacing w:after="40"/>
            </w:pPr>
            <w:r>
              <w:rPr>
                <w:b w:val="0"/>
                <w:sz w:val="18"/>
              </w:rPr>
              <w:t>Formulation de repli : l’écran ne restitue jamais un libellé technique</w:t>
            </w:r>
          </w:p>
        </w:tc>
      </w:tr>
    </w:tbl>
    <w:p/>
    <w:p>
      <w:pPr>
        <w:pStyle w:val="Heading2"/>
      </w:pPr>
      <w:r>
        <w:t>7.3 Message d’information, hors refus</w:t>
      </w:r>
    </w:p>
    <w:tbl>
      <w:tblPr>
        <w:tblStyle w:val="LightGrid-Accent1"/>
        <w:tblW w:type="auto" w:w="0"/>
        <w:tblLayout w:type="autofit"/>
        <w:tblLook w:firstColumn="1" w:firstRow="1" w:lastColumn="0" w:lastRow="0" w:noHBand="0" w:noVBand="1" w:val="04A0"/>
      </w:tblPr>
      <w:tblGrid>
        <w:gridCol w:w="3213"/>
        <w:gridCol w:w="3213"/>
        <w:gridCol w:w="3213"/>
      </w:tblGrid>
      <w:tr>
        <w:tc>
          <w:tcPr>
            <w:tcW w:type="dxa" w:w="3213"/>
          </w:tcPr>
          <w:p>
            <w:r>
              <w:rPr>
                <w:b/>
                <w:sz w:val="18"/>
              </w:rPr>
              <w:t>Situation</w:t>
            </w:r>
          </w:p>
        </w:tc>
        <w:tc>
          <w:tcPr>
            <w:tcW w:type="dxa" w:w="3213"/>
          </w:tcPr>
          <w:p>
            <w:r>
              <w:rPr>
                <w:b/>
                <w:sz w:val="18"/>
              </w:rPr>
              <w:t>Message exact affiché</w:t>
            </w:r>
          </w:p>
        </w:tc>
        <w:tc>
          <w:tcPr>
            <w:tcW w:type="dxa" w:w="3213"/>
          </w:tcPr>
          <w:p>
            <w:r>
              <w:rPr>
                <w:b/>
                <w:sz w:val="18"/>
              </w:rPr>
              <w:t>Conséquence pour l’utilisateur</w:t>
            </w:r>
          </w:p>
        </w:tc>
      </w:tr>
      <w:tr>
        <w:tc>
          <w:tcPr>
            <w:tcW w:type="dxa" w:w="3213"/>
          </w:tcPr>
          <w:p>
            <w:pPr>
              <w:spacing w:after="40"/>
            </w:pPr>
            <w:r>
              <w:rPr>
                <w:b w:val="0"/>
                <w:sz w:val="18"/>
              </w:rPr>
              <w:t>Retour à la connexion après expiration de la session</w:t>
            </w:r>
          </w:p>
        </w:tc>
        <w:tc>
          <w:tcPr>
            <w:tcW w:type="dxa" w:w="3213"/>
          </w:tcPr>
          <w:p>
            <w:pPr>
              <w:spacing w:after="40"/>
            </w:pPr>
            <w:r>
              <w:rPr>
                <w:b w:val="0"/>
                <w:sz w:val="18"/>
              </w:rPr>
              <w:t>Votre session a expiré. Reconnectez-vous.</w:t>
            </w:r>
          </w:p>
        </w:tc>
        <w:tc>
          <w:tcPr>
            <w:tcW w:type="dxa" w:w="3213"/>
          </w:tcPr>
          <w:p>
            <w:pPr>
              <w:spacing w:after="40"/>
            </w:pPr>
            <w:r>
              <w:rPr>
                <w:b w:val="0"/>
                <w:sz w:val="18"/>
              </w:rPr>
              <w:t>Bandeau d’information ; il disparaît dès qu’un message d’erreur prend sa place</w:t>
            </w:r>
          </w:p>
        </w:tc>
      </w:tr>
    </w:tbl>
    <w:p/>
    <w:p>
      <w:pPr>
        <w:pStyle w:val="Heading1"/>
      </w:pPr>
      <w:r>
        <w:t>8. Les cas particuliers</w:t>
      </w:r>
    </w:p>
    <w:p>
      <w:pPr>
        <w:pStyle w:val="Heading3"/>
      </w:pPr>
      <w:r>
        <w:t>8.1 Première mise en service</w:t>
      </w:r>
    </w:p>
    <w:p>
      <w:r>
        <w:rPr>
          <w:i w:val="0"/>
        </w:rPr>
        <w:t>Tant qu’aucun compte administrateur n’a été amorcé, toute tentative de connexion répond « E-mail ou mot de passe incorrect. ». L’écran ne peut pas distinguer ce cas d’un mot de passe erroné, et il ne doit pas le distinguer : ce serait révéler qu’aucun compte n’existe. La réponse se trouve dans le journal du service, qui indique explicitement pourquoi aucun compte n’a été créé. Ce point doit être documenté pour l’exploitant : en cas d’échec inexplicable à la toute première connexion, c’est là qu’il faut regarder, et non à l’écran.</w:t>
      </w:r>
    </w:p>
    <w:p>
      <w:pPr>
        <w:pStyle w:val="Heading3"/>
      </w:pPr>
      <w:r>
        <w:t>8.2 Adresse et mot de passe initiaux</w:t>
      </w:r>
    </w:p>
    <w:p>
      <w:r>
        <w:rPr>
          <w:i w:val="0"/>
        </w:rPr>
        <w:t>Le compte unique n’est pas créé depuis l’application : il est amorcé au premier démarrage à partir du paramétrage d’exploitation. Si le mot de passe initial n’a pas été renseigné dans ce paramétrage, aucun compte n’est créé — c’est un choix délibéré, afin qu’aucun secret ne figure dans les fichiers du produit. Un compte déjà présent n’est jamais modifié par un redémarrage : un mot de passe changé depuis ne sera pas réinitialisé.</w:t>
      </w:r>
    </w:p>
    <w:p>
      <w:pPr>
        <w:pStyle w:val="Heading3"/>
      </w:pPr>
      <w:r>
        <w:t>8.3 Le compte est rattaché à une personne réelle</w:t>
      </w:r>
    </w:p>
    <w:p>
      <w:r>
        <w:rPr>
          <w:i w:val="0"/>
        </w:rPr>
        <w:t>Le compte se rattache à l’employé dont le nom correspond à l’adresse configurée. S’il n’en existe aucun, un employé est créé pour l’occasion. Ce rattachement n’est pas cosmétique : c’est ce nom qui s’affiche dans le bandeau supérieur, et c’est cet employé dont les étapes de signature apparaîtront dans « Mes workflow ». Un compte rattaché au mauvais employé conduirait à une file de signatures qui n’est pas la bonne.</w:t>
      </w:r>
    </w:p>
    <w:p>
      <w:pPr>
        <w:pStyle w:val="Heading3"/>
      </w:pPr>
      <w:r>
        <w:t>8.4 Navigateur interdisant la conservation locale</w:t>
      </w:r>
    </w:p>
    <w:p>
      <w:r>
        <w:rPr>
          <w:i w:val="0"/>
        </w:rPr>
        <w:t>Certaines configurations — navigation privée verrouillée, politique de poste — interdisent au navigateur de conserver quoi que ce soit. La connexion fonctionne néanmoins, mais la session ne survit pas au rechargement de la page : elle vit le temps de l’affichage. La case « Se souvenir de moi » est alors sans effet.</w:t>
      </w:r>
    </w:p>
    <w:p>
      <w:pPr>
        <w:pStyle w:val="Heading3"/>
      </w:pPr>
      <w:r>
        <w:t>8.5 Redémarrage du service hors production</w:t>
      </w:r>
    </w:p>
    <w:p>
      <w:r>
        <w:rPr>
          <w:i w:val="0"/>
        </w:rPr>
        <w:t>En environnement de démonstration ou de recette, la clé de signature des sessions est tirée au démarrage. Un redémarrage invalide donc toutes les sessions en cours, et chacun est ramené à la connexion avec le bandeau d’expiration. Ce comportement est volontaire et n’existe pas en production, où la clé est fournie par l’exploitation.</w:t>
      </w:r>
    </w:p>
    <w:p>
      <w:pPr>
        <w:pStyle w:val="Heading3"/>
      </w:pPr>
      <w:r>
        <w:t>8.6 Portée du compteur de tentatives</w:t>
      </w:r>
    </w:p>
    <w:p>
      <w:r>
        <w:rPr>
          <w:i w:val="0"/>
        </w:rPr>
        <w:t>Le compteur d’échecs est tenu en mémoire du service. Il repart de zéro à chaque redémarrage, et il n’est pas partagé si l’application venait à tourner sur plusieurs serveurs. C’est une limite assumée du produit dans sa forme actuelle.</w:t>
      </w:r>
    </w:p>
    <w:p>
      <w:pPr>
        <w:pStyle w:val="Heading3"/>
      </w:pPr>
      <w:r>
        <w:t>8.7 Casse et espaces dans l’adresse</w:t>
      </w:r>
    </w:p>
    <w:p>
      <w:r>
        <w:rPr>
          <w:i w:val="0"/>
        </w:rPr>
        <w:t>« Direction@Marchica.ma » et « direction@marchica.ma » désignent le même compte. Les espaces accidentels en début ou en fin de saisie — fréquents lors d’un copier-coller — sont retirés avant vérification.</w:t>
      </w:r>
    </w:p>
    <w:p>
      <w:pPr>
        <w:pStyle w:val="Heading1"/>
      </w:pPr>
      <w:r>
        <w:t>9. Enchaînement avec les autres interfaces</w:t>
      </w:r>
    </w:p>
    <w:p>
      <w:pPr>
        <w:pStyle w:val="Heading2"/>
      </w:pPr>
      <w:r>
        <w:t>9.1 En amont</w:t>
      </w:r>
    </w:p>
    <w:p>
      <w:pPr>
        <w:pStyle w:val="ListBullet"/>
      </w:pPr>
      <w:r>
        <w:rPr>
          <w:b/>
        </w:rPr>
        <w:t>Aucune interface de l’application.</w:t>
      </w:r>
      <w:r>
        <w:rPr>
          <w:b w:val="0"/>
        </w:rPr>
        <w:t xml:space="preserve"> La connexion est le premier écran ; rien dans le produit ne la précède.</w:t>
      </w:r>
    </w:p>
    <w:p>
      <w:pPr>
        <w:pStyle w:val="ListBullet"/>
      </w:pPr>
      <w:r>
        <w:rPr>
          <w:b/>
        </w:rPr>
        <w:t>Une opération d’exploitation, en revanche, la précède</w:t>
      </w:r>
      <w:r>
        <w:rPr>
          <w:b w:val="0"/>
        </w:rPr>
        <w:t xml:space="preserve"> : l’amorçage du compte administrateur à partir du paramétrage d’installation. Sans elle, l’écran fonctionne mais refuse toute tentative.</w:t>
      </w:r>
    </w:p>
    <w:p>
      <w:pPr>
        <w:pStyle w:val="ListBullet"/>
      </w:pPr>
      <w:r>
        <w:rPr>
          <w:b/>
        </w:rPr>
        <w:t>La table des employés doit exister</w:t>
      </w:r>
      <w:r>
        <w:rPr>
          <w:b w:val="0"/>
        </w:rPr>
        <w:t xml:space="preserve"> pour que le compte se rattache à une personne. Cette donnée est mise en place à l’installation, hors du champ des écrans décrits.</w:t>
      </w:r>
    </w:p>
    <w:p>
      <w:pPr>
        <w:pStyle w:val="Heading2"/>
      </w:pPr>
      <w:r>
        <w:t>9.2 En aval</w:t>
      </w:r>
    </w:p>
    <w:p>
      <w:pPr>
        <w:pStyle w:val="ListBullet"/>
      </w:pPr>
      <w:r>
        <w:rPr>
          <w:b/>
        </w:rPr>
        <w:t>Toutes les interfaces sans exception.</w:t>
      </w:r>
      <w:r>
        <w:rPr>
          <w:b w:val="0"/>
        </w:rPr>
        <w:t xml:space="preserve"> Aucune n’est atteignable sans que cette étape ait été franchie.</w:t>
      </w:r>
    </w:p>
    <w:p>
      <w:pPr>
        <w:pStyle w:val="ListBullet"/>
      </w:pPr>
      <w:r>
        <w:rPr>
          <w:b/>
        </w:rPr>
        <w:t>L’accueil</w:t>
      </w:r>
      <w:r>
        <w:rPr>
          <w:b w:val="0"/>
        </w:rPr>
        <w:t xml:space="preserve"> est la destination par défaut après connexion, sauf destination mémorisée.</w:t>
      </w:r>
    </w:p>
    <w:p>
      <w:pPr>
        <w:pStyle w:val="ListBullet"/>
      </w:pPr>
      <w:r>
        <w:rPr>
          <w:b/>
        </w:rPr>
        <w:t>Mes workflow</w:t>
      </w:r>
      <w:r>
        <w:rPr>
          <w:b w:val="0"/>
        </w:rPr>
        <w:t xml:space="preserve"> dépend directement de l’identité établie ici : la file de signatures présentée est celle de l’employé rattaché au compte.</w:t>
      </w:r>
    </w:p>
    <w:p>
      <w:pPr>
        <w:pStyle w:val="ListBullet"/>
      </w:pPr>
      <w:r>
        <w:rPr>
          <w:b/>
        </w:rPr>
        <w:t>Le bandeau supérieur de l’application</w:t>
      </w:r>
      <w:r>
        <w:rPr>
          <w:b w:val="0"/>
        </w:rPr>
        <w:t xml:space="preserve"> affiche le nom, les initiales et l’adresse issus de cette étape ; il porte aussi la commande de déconnexion, qui referme ce que cet écran a ouvert.</w:t>
      </w:r>
    </w:p>
    <w:p>
      <w:pPr>
        <w:spacing w:after="40"/>
      </w:pPr>
      <w:r>
        <w:rPr>
          <w:b/>
          <w:sz w:val="19"/>
        </w:rPr>
        <w:t>Position de l'ecran dans l'enchainement general</w:t>
      </w:r>
    </w:p>
    <w:p>
      <w:pPr>
        <w:spacing w:after="0" w:before="0" w:line="240" w:lineRule="auto"/>
      </w:pPr>
      <w:r>
        <w:rPr>
          <w:rFonts w:ascii="Consolas" w:hAnsi="Consolas" w:cs="Consolas" w:eastAsia="Consolas"/>
          <w:sz w:val="18"/>
        </w:rPr>
        <w:t xml:space="preserve">   Parametrage d'installation</w:t>
      </w:r>
    </w:p>
    <w:p>
      <w:pPr>
        <w:spacing w:after="0" w:before="0" w:line="240" w:lineRule="auto"/>
      </w:pPr>
      <w:r>
        <w:rPr>
          <w:rFonts w:ascii="Consolas" w:hAnsi="Consolas" w:cs="Consolas" w:eastAsia="Consolas"/>
          <w:sz w:val="18"/>
        </w:rPr>
        <w:t xml:space="preserve">   (adresse + mot de passe initial)</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v</w:t>
      </w:r>
    </w:p>
    <w:p>
      <w:pPr>
        <w:spacing w:after="0" w:before="0" w:line="240" w:lineRule="auto"/>
      </w:pPr>
      <w:r>
        <w:rPr>
          <w:rFonts w:ascii="Consolas" w:hAnsi="Consolas" w:cs="Consolas" w:eastAsia="Consolas"/>
          <w:sz w:val="18"/>
        </w:rPr>
        <w:t xml:space="preserve">        01 CONNEXION  -------&gt;  02 ACCUEIL (destination par defaut)</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+--------------&gt;  toute autre interface</w:t>
      </w:r>
    </w:p>
    <w:p>
      <w:pPr>
        <w:spacing w:after="0" w:before="0" w:line="240" w:lineRule="auto"/>
      </w:pPr>
      <w:r>
        <w:rPr>
          <w:rFonts w:ascii="Consolas" w:hAnsi="Consolas" w:cs="Consolas" w:eastAsia="Consolas"/>
          <w:sz w:val="18"/>
        </w:rPr>
        <w:t xml:space="preserve">              |                 (destination memorisee)</w:t>
      </w:r>
    </w:p>
    <w:p>
      <w:pPr>
        <w:spacing w:after="0" w:before="0" w:line="240" w:lineRule="auto"/>
      </w:pPr>
      <w:r>
        <w:rPr>
          <w:rFonts w:ascii="Consolas" w:hAnsi="Consolas" w:cs="Consolas" w:eastAsia="Consolas"/>
          <w:sz w:val="18"/>
        </w:rPr>
        <w:t xml:space="preserve">              |</w:t>
      </w:r>
    </w:p>
    <w:p>
      <w:pPr>
        <w:spacing w:after="0" w:before="0" w:line="240" w:lineRule="auto"/>
      </w:pPr>
      <w:r>
        <w:rPr>
          <w:rFonts w:ascii="Consolas" w:hAnsi="Consolas" w:cs="Consolas" w:eastAsia="Consolas"/>
          <w:sz w:val="18"/>
        </w:rPr>
        <w:t xml:space="preserve">              +--------------&gt;  identite de l'approbateur</w:t>
      </w:r>
    </w:p>
    <w:p>
      <w:pPr>
        <w:spacing w:after="0" w:before="0" w:line="240" w:lineRule="auto"/>
      </w:pPr>
      <w:r>
        <w:rPr>
          <w:rFonts w:ascii="Consolas" w:hAnsi="Consolas" w:cs="Consolas" w:eastAsia="Consolas"/>
          <w:sz w:val="18"/>
        </w:rPr>
        <w:t xml:space="preserve">                                utilisee par 12 MES WORKFLOW</w:t>
      </w:r>
    </w:p>
    <w:p/>
    <w:p>
      <w:pPr>
        <w:pStyle w:val="Heading1"/>
      </w:pPr>
      <w:r>
        <w:t>10. Points de vigilance</w:t>
      </w:r>
    </w:p>
    <w:p>
      <w:pPr>
        <w:pStyle w:val="Heading3"/>
      </w:pPr>
      <w:r>
        <w:t>10.1 Le lien « Mot de passe oublié ? » n’est relié à aucune procédure</w:t>
      </w:r>
    </w:p>
    <w:p>
      <w:r>
        <w:rPr>
          <w:i w:val="0"/>
        </w:rPr>
        <w:t>Le lien est affiché, mais il ne déclenche rien : il n’existe pas, dans le produit, de procédure de réinitialisation de mot de passe. Une personne qui perdrait le mot de passe de l’unique compte devrait passer par l’exploitant. C’est le point le plus susceptible de produire une réclamation en recette. Deux issues sont possibles : retirer le lien, ou documenter et outiller la procédure de réinitialisation.</w:t>
      </w:r>
    </w:p>
    <w:p>
      <w:pPr>
        <w:pStyle w:val="Heading3"/>
      </w:pPr>
      <w:r>
        <w:t>10.2 Le bouton n’est pas grisé quand les champs sont vides</w:t>
      </w:r>
    </w:p>
    <w:p>
      <w:r>
        <w:rPr>
          <w:i w:val="0"/>
        </w:rPr>
        <w:t>La consigne d’origine prévoyait un bouton inactif tant qu’un champ obligatoire est vide. Le produit procède autrement : le bouton reste actif, et c’est l’activation qui révèle les messages sous les champs. Le résultat fonctionnel est identique — rien n’est envoyé — mais le retour est différent, et un testeur qui suit la consigne à la lettre relèvera l’écart.</w:t>
      </w:r>
    </w:p>
    <w:p>
      <w:pPr>
        <w:pStyle w:val="Heading3"/>
      </w:pPr>
      <w:r>
        <w:t>10.3 Le mot de passe n’est pas conservé après un échec</w:t>
      </w:r>
    </w:p>
    <w:p>
      <w:r>
        <w:rPr>
          <w:i w:val="0"/>
        </w:rPr>
        <w:t>La consigne d’origine demandait de ne pas vider les champs après un échec. Le produit conserve l’adresse mais vide le mot de passe, pour ne pas laisser un secret à l’écran. L’intention de la consigne — pouvoir corriger une faute de frappe sans tout ressaisir — est donc satisfaite pour l’adresse, et non pour le mot de passe. Il faut le savoir avant de le qualifier de défaut.</w:t>
      </w:r>
    </w:p>
    <w:p>
      <w:pPr>
        <w:pStyle w:val="Heading3"/>
      </w:pPr>
      <w:r>
        <w:t>10.4 Le blocage porte sur l’adresse, pas sur le poste</w:t>
      </w:r>
    </w:p>
    <w:p>
      <w:r>
        <w:rPr>
          <w:i w:val="0"/>
        </w:rPr>
        <w:t>Deux conséquences pratiques. D’une part, une personne bloquée le reste même en changeant de navigateur ou d’ordinateur. D’autre part, comme il n’existe qu’un seul compte, bloquer cette adresse revient à bloquer l’application entière pendant le délai. Il faut donc éviter les essais répétés « pour voir », en particulier en démonstration.</w:t>
      </w:r>
    </w:p>
    <w:p>
      <w:pPr>
        <w:pStyle w:val="Heading3"/>
      </w:pPr>
      <w:r>
        <w:t>10.5 Ce que l’écran ne fait pas</w:t>
      </w:r>
    </w:p>
    <w:p>
      <w:pPr>
        <w:pStyle w:val="ListBullet"/>
      </w:pPr>
      <w:r>
        <w:rPr>
          <w:b w:val="0"/>
        </w:rPr>
        <w:t>Il ne crée aucun compte : il n’y a pas d’inscription.</w:t>
      </w:r>
    </w:p>
    <w:p>
      <w:pPr>
        <w:pStyle w:val="ListBullet"/>
      </w:pPr>
      <w:r>
        <w:rPr>
          <w:b w:val="0"/>
        </w:rPr>
        <w:t>Il ne change aucun mot de passe.</w:t>
      </w:r>
    </w:p>
    <w:p>
      <w:pPr>
        <w:pStyle w:val="ListBullet"/>
      </w:pPr>
      <w:r>
        <w:rPr>
          <w:b w:val="0"/>
        </w:rPr>
        <w:t>Il ne gère aucun rôle, aucun profil, aucune permission — cette notion n’existe nulle part dans le produit.</w:t>
      </w:r>
    </w:p>
    <w:p>
      <w:pPr>
        <w:pStyle w:val="ListBullet"/>
      </w:pPr>
      <w:r>
        <w:rPr>
          <w:b w:val="0"/>
        </w:rPr>
        <w:t>Il ne propose aucun second facteur d’authentification.</w:t>
      </w:r>
    </w:p>
    <w:p>
      <w:pPr>
        <w:pStyle w:val="ListBullet"/>
      </w:pPr>
      <w:r>
        <w:rPr>
          <w:b w:val="0"/>
        </w:rPr>
        <w:t>Il n’ouvre pas de session pour un employé : les employés ne se connectent pas.</w:t>
      </w:r>
    </w:p>
    <w:p>
      <w:pPr>
        <w:pStyle w:val="Heading3"/>
      </w:pPr>
      <w:r>
        <w:t>10.6 Formulation à tenir devant le client</w:t>
      </w:r>
    </w:p>
    <w:p>
      <w:r>
        <w:rPr>
          <w:i w:val="0"/>
        </w:rPr>
        <w:t>L’expression « les utilisateurs de la GED » doit être bannie des échanges : elle laisse croire à une gestion multi-comptes qui n’existe pas. On parlera de « l’administrateur », seul titulaire d’un accès, et des « employés », qui sont des personnes citées dans les dossiers et les circuits. Cette discipline de vocabulaire évite l’essentiel des malentendus autour du module des groupes d’accès, décrit dans le rapport 05.</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01 Connexion — volet fonctionnel  —  page </w:t>
    </w:r>
    <w:r>
      <w:rPr>
        <w:color w:val="606060"/>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