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55E"/>
          <w:sz w:val="26"/>
        </w:rPr>
        <w:t>GED Marchica Med</w:t>
      </w:r>
    </w:p>
    <w:p>
      <w:pPr>
        <w:jc w:val="center"/>
      </w:pPr>
      <w:r>
        <w:rPr>
          <w:color w:val="606060"/>
          <w:sz w:val="20"/>
        </w:rPr>
        <w:t>Gestion électronique de documents</w:t>
      </w:r>
    </w:p>
    <w:p/>
    <w:p>
      <w:pPr>
        <w:jc w:val="center"/>
      </w:pPr>
      <w:r>
        <w:rPr>
          <w:b/>
          <w:color w:val="1F355E"/>
          <w:sz w:val="52"/>
        </w:rPr>
        <w:t>Rapport fonctionnel</w:t>
      </w:r>
    </w:p>
    <w:p>
      <w:pPr>
        <w:jc w:val="center"/>
      </w:pPr>
      <w:r>
        <w:rPr>
          <w:color w:val="334466"/>
          <w:sz w:val="28"/>
        </w:rPr>
        <w:t>Interface 02 — Accueil (tableau de bord)</w:t>
      </w:r>
    </w:p>
    <w:p/>
    <w:p/>
    <w:p/>
    <w:p/>
    <w:p/>
    <w:p/>
    <w:tbl>
      <w:tblPr>
        <w:tblStyle w:val="LightGrid-Accent1"/>
        <w:tblW w:type="auto" w:w="0"/>
        <w:jc w:val="center"/>
        <w:tblLayout w:type="fixed"/>
        <w:tblLook w:firstColumn="1" w:firstRow="1" w:lastColumn="0" w:lastRow="0" w:noHBand="0" w:noVBand="1" w:val="04A0"/>
      </w:tblPr>
      <w:tblGrid>
        <w:gridCol w:w="4819"/>
        <w:gridCol w:w="4819"/>
      </w:tblGrid>
      <w:tr>
        <w:tc>
          <w:tcPr>
            <w:tcW w:type="dxa" w:w="3118"/>
          </w:tcPr>
          <w:p>
            <w:r>
              <w:rPr>
                <w:b/>
                <w:sz w:val="20"/>
              </w:rPr>
              <w:t>Application</w:t>
            </w:r>
          </w:p>
        </w:tc>
        <w:tc>
          <w:tcPr>
            <w:tcW w:type="dxa" w:w="5386"/>
          </w:tcPr>
          <w:p>
            <w:r>
              <w:rPr>
                <w:sz w:val="20"/>
              </w:rPr>
              <w:t>GED Marchica Med</w:t>
            </w:r>
          </w:p>
        </w:tc>
      </w:tr>
      <w:tr>
        <w:tc>
          <w:tcPr>
            <w:tcW w:type="dxa" w:w="3118"/>
          </w:tcPr>
          <w:p>
            <w:r>
              <w:rPr>
                <w:b/>
                <w:sz w:val="20"/>
              </w:rPr>
              <w:t>Interface décrite</w:t>
            </w:r>
          </w:p>
        </w:tc>
        <w:tc>
          <w:tcPr>
            <w:tcW w:type="dxa" w:w="5386"/>
          </w:tcPr>
          <w:p>
            <w:r>
              <w:rPr>
                <w:sz w:val="20"/>
              </w:rPr>
              <w:t>02 — Accueil (tableau de bord)</w:t>
            </w:r>
          </w:p>
        </w:tc>
      </w:tr>
      <w:tr>
        <w:tc>
          <w:tcPr>
            <w:tcW w:type="dxa" w:w="3118"/>
          </w:tcPr>
          <w:p>
            <w:r>
              <w:rPr>
                <w:b/>
                <w:sz w:val="20"/>
              </w:rPr>
              <w:t>Volet</w:t>
            </w:r>
          </w:p>
        </w:tc>
        <w:tc>
          <w:tcPr>
            <w:tcW w:type="dxa" w:w="5386"/>
          </w:tcPr>
          <w:p>
            <w:r>
              <w:rPr>
                <w:sz w:val="20"/>
              </w:rPr>
              <w:t>Volet fonctionnel</w:t>
            </w:r>
          </w:p>
        </w:tc>
      </w:tr>
      <w:tr>
        <w:tc>
          <w:tcPr>
            <w:tcW w:type="dxa" w:w="3118"/>
          </w:tcPr>
          <w:p>
            <w:r>
              <w:rPr>
                <w:b/>
                <w:sz w:val="20"/>
              </w:rPr>
              <w:t>Date du document</w:t>
            </w:r>
          </w:p>
        </w:tc>
        <w:tc>
          <w:tcPr>
            <w:tcW w:type="dxa" w:w="5386"/>
          </w:tcPr>
          <w:p>
            <w:r>
              <w:rPr>
                <w:sz w:val="20"/>
              </w:rPr>
              <w:t>13 août 2026</w:t>
            </w:r>
          </w:p>
        </w:tc>
      </w:tr>
    </w:tbl>
    <w:p/>
    <w:p/>
    <w:p/>
    <w:p/>
    <w:p/>
    <w:p>
      <w:pPr>
        <w:jc w:val="center"/>
      </w:pPr>
      <w:r>
        <w:rPr>
          <w:i/>
          <w:color w:val="606060"/>
          <w:sz w:val="18"/>
        </w:rPr>
        <w:t>Document fonctionnel. Il décrit la logique et le processus de l’interface à l’intention des responsables métier, chefs de projet et consultants fonctionnels. Il ne contient aucun élément technique.</w:t>
      </w:r>
    </w:p>
    <w:p>
      <w:r>
        <w:br w:type="page"/>
      </w:r>
    </w:p>
    <w:p>
      <w:pPr>
        <w:pStyle w:val="Heading1"/>
      </w:pPr>
      <w:r>
        <w:t>Sommaire</w:t>
      </w:r>
    </w:p>
    <w:p>
      <w:r>
        <w:rPr>
          <w:i/>
          <w:color w:val="606060"/>
          <w:sz w:val="19"/>
        </w:rPr>
        <w:t>Les sections ci-dessous se suivent dans l’ordre du document.</w:t>
      </w:r>
    </w:p>
    <w:tbl>
      <w:tblPr>
        <w:tblStyle w:val="LightGrid-Accent1"/>
        <w:tblW w:type="auto" w:w="0"/>
        <w:tblLayout w:type="fixed"/>
        <w:tblLook w:firstColumn="1" w:firstRow="1" w:lastColumn="0" w:lastRow="0" w:noHBand="0" w:noVBand="1" w:val="04A0"/>
      </w:tblPr>
      <w:tblGrid>
        <w:gridCol w:w="4819"/>
        <w:gridCol w:w="4819"/>
      </w:tblGrid>
      <w:tr>
        <w:tc>
          <w:tcPr>
            <w:tcW w:type="dxa" w:w="3515"/>
          </w:tcPr>
          <w:p>
            <w:r>
              <w:rPr>
                <w:b/>
                <w:sz w:val="19"/>
              </w:rPr>
              <w:t>Section</w:t>
            </w:r>
          </w:p>
        </w:tc>
        <w:tc>
          <w:tcPr>
            <w:tcW w:type="dxa" w:w="6123"/>
          </w:tcPr>
          <w:p>
            <w:r>
              <w:rPr>
                <w:b/>
                <w:sz w:val="19"/>
              </w:rPr>
              <w:t>Objet</w:t>
            </w:r>
          </w:p>
        </w:tc>
      </w:tr>
      <w:tr>
        <w:tc>
          <w:tcPr>
            <w:tcW w:type="dxa" w:w="3515"/>
          </w:tcPr>
          <w:p>
            <w:r>
              <w:rPr>
                <w:b/>
                <w:sz w:val="19"/>
              </w:rPr>
              <w:t>1. Objet de l’interface</w:t>
            </w:r>
          </w:p>
        </w:tc>
        <w:tc>
          <w:tcPr>
            <w:tcW w:type="dxa" w:w="6123"/>
          </w:tcPr>
          <w:p>
            <w:r>
              <w:rPr>
                <w:sz w:val="19"/>
              </w:rPr>
              <w:t>À quoi sert l’écran et quelle place il occupe dans le processus global de la GED.</w:t>
            </w:r>
          </w:p>
        </w:tc>
      </w:tr>
      <w:tr>
        <w:tc>
          <w:tcPr>
            <w:tcW w:type="dxa" w:w="3515"/>
          </w:tcPr>
          <w:p>
            <w:r>
              <w:rPr>
                <w:b/>
                <w:sz w:val="19"/>
              </w:rPr>
              <w:t>2. Les notions manipulées</w:t>
            </w:r>
          </w:p>
        </w:tc>
        <w:tc>
          <w:tcPr>
            <w:tcW w:type="dxa" w:w="6123"/>
          </w:tcPr>
          <w:p>
            <w:r>
              <w:rPr>
                <w:sz w:val="19"/>
              </w:rPr>
              <w:t>Définition de chaque notion métier et distinction d’avec les notions voisines.</w:t>
            </w:r>
          </w:p>
        </w:tc>
      </w:tr>
      <w:tr>
        <w:tc>
          <w:tcPr>
            <w:tcW w:type="dxa" w:w="3515"/>
          </w:tcPr>
          <w:p>
            <w:r>
              <w:rPr>
                <w:b/>
                <w:sz w:val="19"/>
              </w:rPr>
              <w:t>3. Ce que l’utilisateur voit</w:t>
            </w:r>
          </w:p>
        </w:tc>
        <w:tc>
          <w:tcPr>
            <w:tcW w:type="dxa" w:w="6123"/>
          </w:tcPr>
          <w:p>
            <w:r>
              <w:rPr>
                <w:sz w:val="19"/>
              </w:rPr>
              <w:t>Zones de l’écran, listes et colonnes, filtres, états vides, et ce que chaque information apprend.</w:t>
            </w:r>
          </w:p>
        </w:tc>
      </w:tr>
      <w:tr>
        <w:tc>
          <w:tcPr>
            <w:tcW w:type="dxa" w:w="3515"/>
          </w:tcPr>
          <w:p>
            <w:r>
              <w:rPr>
                <w:b/>
                <w:sz w:val="19"/>
              </w:rPr>
              <w:t>4. Le processus, étape par étape</w:t>
            </w:r>
          </w:p>
        </w:tc>
        <w:tc>
          <w:tcPr>
            <w:tcW w:type="dxa" w:w="6123"/>
          </w:tcPr>
          <w:p>
            <w:r>
              <w:rPr>
                <w:sz w:val="19"/>
              </w:rPr>
              <w:t>Déroulé complet de chaque parcours, en suite numérotée et en schéma.</w:t>
            </w:r>
          </w:p>
        </w:tc>
      </w:tr>
      <w:tr>
        <w:tc>
          <w:tcPr>
            <w:tcW w:type="dxa" w:w="3515"/>
          </w:tcPr>
          <w:p>
            <w:r>
              <w:rPr>
                <w:b/>
                <w:sz w:val="19"/>
              </w:rPr>
              <w:t>5. Les données saisies</w:t>
            </w:r>
          </w:p>
        </w:tc>
        <w:tc>
          <w:tcPr>
            <w:tcW w:type="dxa" w:w="6123"/>
          </w:tcPr>
          <w:p>
            <w:r>
              <w:rPr>
                <w:sz w:val="19"/>
              </w:rPr>
              <w:t>Champs affichés, nature, caractère obligatoire, valeur par défaut, exemple et explication.</w:t>
            </w:r>
          </w:p>
        </w:tc>
      </w:tr>
      <w:tr>
        <w:tc>
          <w:tcPr>
            <w:tcW w:type="dxa" w:w="3515"/>
          </w:tcPr>
          <w:p>
            <w:r>
              <w:rPr>
                <w:b/>
                <w:sz w:val="19"/>
              </w:rPr>
              <w:t>6. Les règles de gestion</w:t>
            </w:r>
          </w:p>
        </w:tc>
        <w:tc>
          <w:tcPr>
            <w:tcW w:type="dxa" w:w="6123"/>
          </w:tcPr>
          <w:p>
            <w:r>
              <w:rPr>
                <w:sz w:val="19"/>
              </w:rPr>
              <w:t>Règles numérotées, chacune assortie de sa justification métier.</w:t>
            </w:r>
          </w:p>
        </w:tc>
      </w:tr>
      <w:tr>
        <w:tc>
          <w:tcPr>
            <w:tcW w:type="dxa" w:w="3515"/>
          </w:tcPr>
          <w:p>
            <w:r>
              <w:rPr>
                <w:b/>
                <w:sz w:val="19"/>
              </w:rPr>
              <w:t>7. Les contrôles et les refus</w:t>
            </w:r>
          </w:p>
        </w:tc>
        <w:tc>
          <w:tcPr>
            <w:tcW w:type="dxa" w:w="6123"/>
          </w:tcPr>
          <w:p>
            <w:r>
              <w:rPr>
                <w:sz w:val="19"/>
              </w:rPr>
              <w:t>Situations de refus, message exact affiché et conséquence pour l’utilisateur.</w:t>
            </w:r>
          </w:p>
        </w:tc>
      </w:tr>
      <w:tr>
        <w:tc>
          <w:tcPr>
            <w:tcW w:type="dxa" w:w="3515"/>
          </w:tcPr>
          <w:p>
            <w:r>
              <w:rPr>
                <w:b/>
                <w:sz w:val="19"/>
              </w:rPr>
              <w:t>8. Les cas particuliers</w:t>
            </w:r>
          </w:p>
        </w:tc>
        <w:tc>
          <w:tcPr>
            <w:tcW w:type="dxa" w:w="6123"/>
          </w:tcPr>
          <w:p>
            <w:r>
              <w:rPr>
                <w:sz w:val="19"/>
              </w:rPr>
              <w:t>Comportements que le lecteur ne devinera pas à la lecture de l’écran.</w:t>
            </w:r>
          </w:p>
        </w:tc>
      </w:tr>
      <w:tr>
        <w:tc>
          <w:tcPr>
            <w:tcW w:type="dxa" w:w="3515"/>
          </w:tcPr>
          <w:p>
            <w:r>
              <w:rPr>
                <w:b/>
                <w:sz w:val="19"/>
              </w:rPr>
              <w:t>9. Enchaînement avec les autres interfaces</w:t>
            </w:r>
          </w:p>
        </w:tc>
        <w:tc>
          <w:tcPr>
            <w:tcW w:type="dxa" w:w="6123"/>
          </w:tcPr>
          <w:p>
            <w:r>
              <w:rPr>
                <w:sz w:val="19"/>
              </w:rPr>
              <w:t>Ce qui doit exister en amont, ce qui dépend de cet écran en aval.</w:t>
            </w:r>
          </w:p>
        </w:tc>
      </w:tr>
      <w:tr>
        <w:tc>
          <w:tcPr>
            <w:tcW w:type="dxa" w:w="3515"/>
          </w:tcPr>
          <w:p>
            <w:r>
              <w:rPr>
                <w:b/>
                <w:sz w:val="19"/>
              </w:rPr>
              <w:t>10. Points de vigilance</w:t>
            </w:r>
          </w:p>
        </w:tc>
        <w:tc>
          <w:tcPr>
            <w:tcW w:type="dxa" w:w="6123"/>
          </w:tcPr>
          <w:p>
            <w:r>
              <w:rPr>
                <w:sz w:val="19"/>
              </w:rPr>
              <w:t>Ce qui est mal compris, ce qui a déjà causé des erreurs, ce que l’application ne fait pas.</w:t>
            </w:r>
          </w:p>
        </w:tc>
      </w:tr>
    </w:tbl>
    <w:p>
      <w:r>
        <w:br w:type="page"/>
      </w:r>
    </w:p>
    <w:p>
      <w:pPr>
        <w:pStyle w:val="Heading1"/>
      </w:pPr>
      <w:r>
        <w:t>1. Objet de l’interface</w:t>
      </w:r>
    </w:p>
    <w:p>
      <w:r>
        <w:rPr>
          <w:i w:val="0"/>
        </w:rPr>
        <w:t>L’accueil est la première vue offerte après la connexion, et la destination par défaut de toute navigation qui n’en désigne pas d’autre. Il répond en un regard à trois questions, posées dans cet ordre : qu’est-ce qui m’attend ?, où en est le fonds documentaire ?, où vais-je maintenant ?</w:t>
      </w:r>
    </w:p>
    <w:p>
      <w:r>
        <w:rPr>
          <w:i w:val="0"/>
        </w:rPr>
        <w:t>Cet ordre n’est pas décoratif. Il traduit une hiérarchie d’urgence : ce qui bloque quelqu’un d’autre — un document qui attend une signature — passe avant l’état du fonds, qui passe lui-même avant les raccourcis de navigation. Un tableau de bord qui commencerait par des raccourcis dirait implicitement que rien n’attend l’utilisateur.</w:t>
      </w:r>
    </w:p>
    <w:p>
      <w:r>
        <w:rPr>
          <w:i w:val="0"/>
        </w:rPr>
        <w:t>L’accueil est un écran de lecture et d’orientation. Il ne crée aucune donnée, ne modifie aucun paramétrage et ne dépose aucun document. La seule chose qu’il enregistre est la composition du tableau de bord lui-même, c’est-à-dire un réglage d’affichage.</w:t>
      </w:r>
    </w:p>
    <w:p>
      <w:pPr>
        <w:pStyle w:val="Heading2"/>
      </w:pPr>
      <w:r>
        <w:t>1.1 Place dans le processus général</w:t>
      </w:r>
    </w:p>
    <w:p>
      <w:r>
        <w:rPr>
          <w:i w:val="0"/>
        </w:rPr>
        <w:t>L’accueil est en bout de chaîne : il ne montre que ce que les autres écrans ont produit. Sur une application fraîchement installée, il est légitimement vide, et cette vacuité n’est pas une anomalie mais le reflet exact d’un paramétrage non encore réalisé. Les chiffres n’apparaissent qu’à mesure que la chaîne index → plan d’indexation → type de document → espace de travail est constituée, puis que des documents sont déposés.</w:t>
      </w:r>
    </w:p>
    <w:p>
      <w:pPr>
        <w:pStyle w:val="Heading1"/>
      </w:pPr>
      <w:r>
        <w:t>2. Les notions manipulées</w:t>
      </w:r>
    </w:p>
    <w:p>
      <w:pPr>
        <w:pStyle w:val="Heading2"/>
      </w:pPr>
      <w:r>
        <w:t>2.1 L’encart et l’indicateur</w:t>
      </w:r>
    </w:p>
    <w:p>
      <w:r>
        <w:rPr>
          <w:i w:val="0"/>
        </w:rPr>
        <w:t>Un **encart** est un bloc de l’écran, doté d’un titre, d’un contenu et parfois d’un lien « Tout voir ». Un **indicateur** est un chiffre unique présenté dans une tuile. Les indicateurs sont eux-mêmes regroupés dans un encart, nommé « Indicateurs », qui occupe la largeur entière de l’écran. La distinction compte au moment de la personnalisation : on affiche ou masque un encart, jamais un indicateur pris isolément.</w:t>
      </w:r>
    </w:p>
    <w:p>
      <w:pPr>
        <w:pStyle w:val="Heading2"/>
      </w:pPr>
      <w:r>
        <w:t>2.2 La disposition</w:t>
      </w:r>
    </w:p>
    <w:p>
      <w:r>
        <w:rPr>
          <w:i w:val="0"/>
        </w:rPr>
        <w:t>La disposition est la liste ordonnée des encarts visibles. Elle porte deux informations en une seule : ce qui est affiché, et dans quel ordre. Un encart absent de la liste est masqué ; la position dans la liste est la position à l’écran. **Masquer n’est pas supprimer** : aucune donnée n’est touchée, l’encart réapparaît intact dès qu’on le réactive.</w:t>
      </w:r>
    </w:p>
    <w:p>
      <w:pPr>
        <w:pStyle w:val="Heading2"/>
      </w:pPr>
      <w:r>
        <w:t>2.3 « En attente de signature » : une notion plus étroite qu’il n’y paraît</w:t>
      </w:r>
    </w:p>
    <w:p>
      <w:r>
        <w:rPr>
          <w:i w:val="0"/>
        </w:rPr>
        <w:t>Ce compteur ne dit pas « le nombre d’étapes non signées de l’application ». Il dit « le nombre d’étapes que la personne connectée peut traiter tout de suite ». Trois restrictions s’appliquent, et leur ignorance a déjà produit des écarts de chiffres incompris.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Étape non signée</w:t>
            </w:r>
          </w:p>
        </w:tc>
        <w:tc>
          <w:tcPr>
            <w:tcW w:type="dxa" w:w="3213"/>
          </w:tcPr>
          <w:p>
            <w:r>
              <w:rPr>
                <w:b/>
                <w:sz w:val="18"/>
              </w:rPr>
              <w:t>Comptée ?</w:t>
            </w:r>
          </w:p>
        </w:tc>
        <w:tc>
          <w:tcPr>
            <w:tcW w:type="dxa" w:w="3213"/>
          </w:tcPr>
          <w:p>
            <w:r>
              <w:rPr>
                <w:b/>
                <w:sz w:val="18"/>
              </w:rPr>
              <w:t>Explication</w:t>
            </w:r>
          </w:p>
        </w:tc>
      </w:tr>
      <w:tr>
        <w:tc>
          <w:tcPr>
            <w:tcW w:type="dxa" w:w="3213"/>
          </w:tcPr>
          <w:p>
            <w:pPr>
              <w:spacing w:after="40"/>
            </w:pPr>
            <w:r>
              <w:rPr>
                <w:b w:val="0"/>
                <w:sz w:val="18"/>
              </w:rPr>
              <w:t>Confiée à un autre approbateur</w:t>
            </w:r>
          </w:p>
        </w:tc>
        <w:tc>
          <w:tcPr>
            <w:tcW w:type="dxa" w:w="3213"/>
          </w:tcPr>
          <w:p>
            <w:pPr>
              <w:spacing w:after="40"/>
            </w:pPr>
            <w:r>
              <w:rPr>
                <w:b w:val="0"/>
                <w:sz w:val="18"/>
              </w:rPr>
              <w:t>Non</w:t>
            </w:r>
          </w:p>
        </w:tc>
        <w:tc>
          <w:tcPr>
            <w:tcW w:type="dxa" w:w="3213"/>
          </w:tcPr>
          <w:p>
            <w:pPr>
              <w:spacing w:after="40"/>
            </w:pPr>
            <w:r>
              <w:rPr>
                <w:b w:val="0"/>
                <w:sz w:val="18"/>
              </w:rPr>
              <w:t>Elle n’attend pas la personne connectée</w:t>
            </w:r>
          </w:p>
        </w:tc>
      </w:tr>
      <w:tr>
        <w:tc>
          <w:tcPr>
            <w:tcW w:type="dxa" w:w="3213"/>
          </w:tcPr>
          <w:p>
            <w:pPr>
              <w:spacing w:after="40"/>
            </w:pPr>
            <w:r>
              <w:rPr>
                <w:b w:val="0"/>
                <w:sz w:val="18"/>
              </w:rPr>
              <w:t>Confiée à la personne, mais l’étape précédente n’est pas signée</w:t>
            </w:r>
          </w:p>
        </w:tc>
        <w:tc>
          <w:tcPr>
            <w:tcW w:type="dxa" w:w="3213"/>
          </w:tcPr>
          <w:p>
            <w:pPr>
              <w:spacing w:after="40"/>
            </w:pPr>
            <w:r>
              <w:rPr>
                <w:b w:val="0"/>
                <w:sz w:val="18"/>
              </w:rPr>
              <w:t>Non</w:t>
            </w:r>
          </w:p>
        </w:tc>
        <w:tc>
          <w:tcPr>
            <w:tcW w:type="dxa" w:w="3213"/>
          </w:tcPr>
          <w:p>
            <w:pPr>
              <w:spacing w:after="40"/>
            </w:pPr>
            <w:r>
              <w:rPr>
                <w:b w:val="0"/>
                <w:sz w:val="18"/>
              </w:rPr>
              <w:t>Le circuit est séquentiel : l’étape n’est pas encore ouverte</w:t>
            </w:r>
          </w:p>
        </w:tc>
      </w:tr>
      <w:tr>
        <w:tc>
          <w:tcPr>
            <w:tcW w:type="dxa" w:w="3213"/>
          </w:tcPr>
          <w:p>
            <w:pPr>
              <w:spacing w:after="40"/>
            </w:pPr>
            <w:r>
              <w:rPr>
                <w:b w:val="0"/>
                <w:sz w:val="18"/>
              </w:rPr>
              <w:t>Confiée à la personne, sur un document mis à la corbeille</w:t>
            </w:r>
          </w:p>
        </w:tc>
        <w:tc>
          <w:tcPr>
            <w:tcW w:type="dxa" w:w="3213"/>
          </w:tcPr>
          <w:p>
            <w:pPr>
              <w:spacing w:after="40"/>
            </w:pPr>
            <w:r>
              <w:rPr>
                <w:b w:val="0"/>
                <w:sz w:val="18"/>
              </w:rPr>
              <w:t>Non</w:t>
            </w:r>
          </w:p>
        </w:tc>
        <w:tc>
          <w:tcPr>
            <w:tcW w:type="dxa" w:w="3213"/>
          </w:tcPr>
          <w:p>
            <w:pPr>
              <w:spacing w:after="40"/>
            </w:pPr>
            <w:r>
              <w:rPr>
                <w:b w:val="0"/>
                <w:sz w:val="18"/>
              </w:rPr>
              <w:t>Le document est retiré de la circulation ; son circuit est suspendu, non annulé</w:t>
            </w:r>
          </w:p>
        </w:tc>
      </w:tr>
      <w:tr>
        <w:tc>
          <w:tcPr>
            <w:tcW w:type="dxa" w:w="3213"/>
          </w:tcPr>
          <w:p>
            <w:pPr>
              <w:spacing w:after="40"/>
            </w:pPr>
            <w:r>
              <w:rPr>
                <w:b w:val="0"/>
                <w:sz w:val="18"/>
              </w:rPr>
              <w:t>Confiée à la personne, étape précédente signée, document vivant</w:t>
            </w:r>
          </w:p>
        </w:tc>
        <w:tc>
          <w:tcPr>
            <w:tcW w:type="dxa" w:w="3213"/>
          </w:tcPr>
          <w:p>
            <w:pPr>
              <w:spacing w:after="40"/>
            </w:pPr>
            <w:r>
              <w:rPr>
                <w:b w:val="0"/>
                <w:sz w:val="18"/>
              </w:rPr>
              <w:t>Oui</w:t>
            </w:r>
          </w:p>
        </w:tc>
        <w:tc>
          <w:tcPr>
            <w:tcW w:type="dxa" w:w="3213"/>
          </w:tcPr>
          <w:p>
            <w:pPr>
              <w:spacing w:after="40"/>
            </w:pPr>
            <w:r>
              <w:rPr>
                <w:b w:val="0"/>
                <w:sz w:val="18"/>
              </w:rPr>
              <w:t>C’est la seule situation réellement actionnable</w:t>
            </w:r>
          </w:p>
        </w:tc>
      </w:tr>
    </w:tbl>
    <w:p/>
    <w:p>
      <w:r>
        <w:rPr>
          <w:i w:val="0"/>
        </w:rPr>
        <w:t>Cette définition unique alimente à la fois la tuile de l’accueil, le compteur de l’encart « À valider » et la pastille du menu supérieur. Les trois ne peuvent donc pas diverger.</w:t>
      </w:r>
    </w:p>
    <w:p>
      <w:pPr>
        <w:pStyle w:val="Heading2"/>
      </w:pPr>
      <w:r>
        <w:t>2.4 L’étape et le document</w:t>
      </w:r>
    </w:p>
    <w:p>
      <w:r>
        <w:rPr>
          <w:i w:val="0"/>
        </w:rPr>
        <w:t>Un document déposé dans un espace de travail entre dans le circuit défini par cet espace, et il y entre découpé en étapes : une étape par point de validation. L’accueil raisonne en étapes, pas en documents. Un même document peut donc apparaître à plusieurs reprises dans la vie du circuit, une fois par étape confiée à la personne connectée.</w:t>
      </w:r>
    </w:p>
    <w:p>
      <w:pPr>
        <w:pStyle w:val="Heading2"/>
      </w:pPr>
      <w:r>
        <w:t>2.5 Mon activité et l’activité de l’application</w:t>
      </w:r>
    </w:p>
    <w:p>
      <w:r>
        <w:rPr>
          <w:i w:val="0"/>
        </w:rPr>
        <w:t>L’encart intitulé « Mon activité récente » présente uniquement les décisions prises par la personne connectée — signatures accordées et refus prononcés. Ce n’est pas un journal général de l’application : les dépôts effectués, les dossiers créés, les paramétrages modifiés n’y figurent pas.</w:t>
      </w:r>
    </w:p>
    <w:p>
      <w:pPr>
        <w:pStyle w:val="Heading2"/>
      </w:pPr>
      <w:r>
        <w:t>2.6 Le dépôt et la signature</w:t>
      </w:r>
    </w:p>
    <w:p>
      <w:r>
        <w:rPr>
          <w:i w:val="0"/>
        </w:rPr>
        <w:t>L’encart « Dépôts sur 30 jours » compte des arrivées de documents, datées de leur création. Il ne compte pas des validations. Un mois sans dépôt mais riche en signatures affichera donc une courbe plate : les deux mesures décrivent deux moments différents de la vie documentaire.</w:t>
      </w:r>
    </w:p>
    <w:p>
      <w:pPr>
        <w:pStyle w:val="Heading1"/>
      </w:pPr>
      <w:r>
        <w:t>3. Ce que l’utilisateur voit</w:t>
      </w:r>
    </w:p>
    <w:p>
      <w:pPr>
        <w:pStyle w:val="Heading2"/>
      </w:pPr>
      <w:r>
        <w:t>3.1 Le bandeau d’accueil</w:t>
      </w:r>
    </w:p>
    <w:p>
      <w:r>
        <w:rPr>
          <w:i w:val="0"/>
        </w:rPr>
        <w:t>L’écran s’ouvre sur un bandeau illustré. Il présente successivement deux textes empilés au même emplacement : la salutation « Bonjour, » suivie du prénom de la personne connectée, puis « Bienvenue à l’application GED Marchica Med ». Le prénom est le premier mot du nom complet rattaché au compte. Le bandeau réagit au déplacement de la souris : c’est un effet de profondeur, sans aucune conséquence fonctionnelle.</w:t>
      </w:r>
    </w:p>
    <w:p>
      <w:pPr>
        <w:pStyle w:val="Heading2"/>
      </w:pPr>
      <w:r>
        <w:t>3.2 La barre du tableau de bord</w:t>
      </w:r>
    </w:p>
    <w:p>
      <w:r>
        <w:rPr>
          <w:i w:val="0"/>
        </w:rPr>
        <w:t>Sous le bandeau, une barre discrète porte deux éléments : la date du jour écrite en toutes lettres — jour de la semaine, quantième, mois, année, la première lettre en capitale — et le bouton « Personnaliser ». Il n’y a volontairement pas de titre « Tableau de bord » : un titre au-dessus d’un tableau de bord n’apprend rien.</w:t>
      </w:r>
    </w:p>
    <w:p>
      <w:pPr>
        <w:pStyle w:val="Heading2"/>
      </w:pPr>
      <w:r>
        <w:t>3.3 La grille et les encarts disponibles</w:t>
      </w:r>
    </w:p>
    <w:p>
      <w:r>
        <w:rPr>
          <w:i w:val="0"/>
        </w:rPr>
        <w:t>Les encarts se répartissent sur une grille de douze colonnes ; chacun déclare sa largeur. Le catalogue complet compte huit encarts. Le tableau ci-dessous reprend leur titre et le résumé exact affiché dans le panneau de personnalisation.</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409"/>
          </w:tcPr>
          <w:p>
            <w:r>
              <w:rPr>
                <w:b/>
                <w:sz w:val="18"/>
              </w:rPr>
              <w:t>Encart</w:t>
            </w:r>
          </w:p>
        </w:tc>
        <w:tc>
          <w:tcPr>
            <w:tcW w:type="dxa" w:w="2409"/>
          </w:tcPr>
          <w:p>
            <w:r>
              <w:rPr>
                <w:b/>
                <w:sz w:val="18"/>
              </w:rPr>
              <w:t>Résumé affiché dans le panneau de personnalisation</w:t>
            </w:r>
          </w:p>
        </w:tc>
        <w:tc>
          <w:tcPr>
            <w:tcW w:type="dxa" w:w="2409"/>
          </w:tcPr>
          <w:p>
            <w:r>
              <w:rPr>
                <w:b/>
                <w:sz w:val="18"/>
              </w:rPr>
              <w:t>Largeur</w:t>
            </w:r>
          </w:p>
        </w:tc>
        <w:tc>
          <w:tcPr>
            <w:tcW w:type="dxa" w:w="2409"/>
          </w:tcPr>
          <w:p>
            <w:r>
              <w:rPr>
                <w:b/>
                <w:sz w:val="18"/>
              </w:rPr>
              <w:t>Affiché par défaut</w:t>
            </w:r>
          </w:p>
        </w:tc>
      </w:tr>
      <w:tr>
        <w:tc>
          <w:tcPr>
            <w:tcW w:type="dxa" w:w="2409"/>
          </w:tcPr>
          <w:p>
            <w:pPr>
              <w:spacing w:after="40"/>
            </w:pPr>
            <w:r>
              <w:rPr>
                <w:b w:val="0"/>
                <w:sz w:val="18"/>
              </w:rPr>
              <w:t>Indicateurs</w:t>
            </w:r>
          </w:p>
        </w:tc>
        <w:tc>
          <w:tcPr>
            <w:tcW w:type="dxa" w:w="2409"/>
          </w:tcPr>
          <w:p>
            <w:pPr>
              <w:spacing w:after="40"/>
            </w:pPr>
            <w:r>
              <w:rPr>
                <w:b w:val="0"/>
                <w:sz w:val="18"/>
              </w:rPr>
              <w:t>Dossiers, documents, signatures en attente et groupes d’accès.</w:t>
            </w:r>
          </w:p>
        </w:tc>
        <w:tc>
          <w:tcPr>
            <w:tcW w:type="dxa" w:w="2409"/>
          </w:tcPr>
          <w:p>
            <w:pPr>
              <w:spacing w:after="40"/>
            </w:pPr>
            <w:r>
              <w:rPr>
                <w:b w:val="0"/>
                <w:sz w:val="18"/>
              </w:rPr>
              <w:t>Pleine largeur</w:t>
            </w:r>
          </w:p>
        </w:tc>
        <w:tc>
          <w:tcPr>
            <w:tcW w:type="dxa" w:w="2409"/>
          </w:tcPr>
          <w:p>
            <w:pPr>
              <w:spacing w:after="40"/>
            </w:pPr>
            <w:r>
              <w:rPr>
                <w:b w:val="0"/>
                <w:sz w:val="18"/>
              </w:rPr>
              <w:t>Oui — et non masquable</w:t>
            </w:r>
          </w:p>
        </w:tc>
      </w:tr>
      <w:tr>
        <w:tc>
          <w:tcPr>
            <w:tcW w:type="dxa" w:w="2409"/>
          </w:tcPr>
          <w:p>
            <w:pPr>
              <w:spacing w:after="40"/>
            </w:pPr>
            <w:r>
              <w:rPr>
                <w:b w:val="0"/>
                <w:sz w:val="18"/>
              </w:rPr>
              <w:t>À valider</w:t>
            </w:r>
          </w:p>
        </w:tc>
        <w:tc>
          <w:tcPr>
            <w:tcW w:type="dxa" w:w="2409"/>
          </w:tcPr>
          <w:p>
            <w:pPr>
              <w:spacing w:after="40"/>
            </w:pPr>
            <w:r>
              <w:rPr>
                <w:b w:val="0"/>
                <w:sz w:val="18"/>
              </w:rPr>
              <w:t>Les documents qui attendent votre signature.</w:t>
            </w:r>
          </w:p>
        </w:tc>
        <w:tc>
          <w:tcPr>
            <w:tcW w:type="dxa" w:w="2409"/>
          </w:tcPr>
          <w:p>
            <w:pPr>
              <w:spacing w:after="40"/>
            </w:pPr>
            <w:r>
              <w:rPr>
                <w:b w:val="0"/>
                <w:sz w:val="18"/>
              </w:rPr>
              <w:t>Deux tiers</w:t>
            </w:r>
          </w:p>
        </w:tc>
        <w:tc>
          <w:tcPr>
            <w:tcW w:type="dxa" w:w="2409"/>
          </w:tcPr>
          <w:p>
            <w:pPr>
              <w:spacing w:after="40"/>
            </w:pPr>
            <w:r>
              <w:rPr>
                <w:b w:val="0"/>
                <w:sz w:val="18"/>
              </w:rPr>
              <w:t>Oui</w:t>
            </w:r>
          </w:p>
        </w:tc>
      </w:tr>
      <w:tr>
        <w:tc>
          <w:tcPr>
            <w:tcW w:type="dxa" w:w="2409"/>
          </w:tcPr>
          <w:p>
            <w:pPr>
              <w:spacing w:after="40"/>
            </w:pPr>
            <w:r>
              <w:rPr>
                <w:b w:val="0"/>
                <w:sz w:val="18"/>
              </w:rPr>
              <w:t>Raccourcis</w:t>
            </w:r>
          </w:p>
        </w:tc>
        <w:tc>
          <w:tcPr>
            <w:tcW w:type="dxa" w:w="2409"/>
          </w:tcPr>
          <w:p>
            <w:pPr>
              <w:spacing w:after="40"/>
            </w:pPr>
            <w:r>
              <w:rPr>
                <w:b w:val="0"/>
                <w:sz w:val="18"/>
              </w:rPr>
              <w:t>Les actions que vous lancez le plus souvent.</w:t>
            </w:r>
          </w:p>
        </w:tc>
        <w:tc>
          <w:tcPr>
            <w:tcW w:type="dxa" w:w="2409"/>
          </w:tcPr>
          <w:p>
            <w:pPr>
              <w:spacing w:after="40"/>
            </w:pPr>
            <w:r>
              <w:rPr>
                <w:b w:val="0"/>
                <w:sz w:val="18"/>
              </w:rPr>
              <w:t>Un tiers</w:t>
            </w:r>
          </w:p>
        </w:tc>
        <w:tc>
          <w:tcPr>
            <w:tcW w:type="dxa" w:w="2409"/>
          </w:tcPr>
          <w:p>
            <w:pPr>
              <w:spacing w:after="40"/>
            </w:pPr>
            <w:r>
              <w:rPr>
                <w:b w:val="0"/>
                <w:sz w:val="18"/>
              </w:rPr>
              <w:t>Oui</w:t>
            </w:r>
          </w:p>
        </w:tc>
      </w:tr>
      <w:tr>
        <w:tc>
          <w:tcPr>
            <w:tcW w:type="dxa" w:w="2409"/>
          </w:tcPr>
          <w:p>
            <w:pPr>
              <w:spacing w:after="40"/>
            </w:pPr>
            <w:r>
              <w:rPr>
                <w:b w:val="0"/>
                <w:sz w:val="18"/>
              </w:rPr>
              <w:t>Documents récents</w:t>
            </w:r>
          </w:p>
        </w:tc>
        <w:tc>
          <w:tcPr>
            <w:tcW w:type="dxa" w:w="2409"/>
          </w:tcPr>
          <w:p>
            <w:pPr>
              <w:spacing w:after="40"/>
            </w:pPr>
            <w:r>
              <w:rPr>
                <w:b w:val="0"/>
                <w:sz w:val="18"/>
              </w:rPr>
              <w:t>Les derniers documents déposés dans l’application.</w:t>
            </w:r>
          </w:p>
        </w:tc>
        <w:tc>
          <w:tcPr>
            <w:tcW w:type="dxa" w:w="2409"/>
          </w:tcPr>
          <w:p>
            <w:pPr>
              <w:spacing w:after="40"/>
            </w:pPr>
            <w:r>
              <w:rPr>
                <w:b w:val="0"/>
                <w:sz w:val="18"/>
              </w:rPr>
              <w:t>Deux tiers</w:t>
            </w:r>
          </w:p>
        </w:tc>
        <w:tc>
          <w:tcPr>
            <w:tcW w:type="dxa" w:w="2409"/>
          </w:tcPr>
          <w:p>
            <w:pPr>
              <w:spacing w:after="40"/>
            </w:pPr>
            <w:r>
              <w:rPr>
                <w:b w:val="0"/>
                <w:sz w:val="18"/>
              </w:rPr>
              <w:t>Non</w:t>
            </w:r>
          </w:p>
        </w:tc>
      </w:tr>
      <w:tr>
        <w:tc>
          <w:tcPr>
            <w:tcW w:type="dxa" w:w="2409"/>
          </w:tcPr>
          <w:p>
            <w:pPr>
              <w:spacing w:after="40"/>
            </w:pPr>
            <w:r>
              <w:rPr>
                <w:b w:val="0"/>
                <w:sz w:val="18"/>
              </w:rPr>
              <w:t>Activité récente</w:t>
            </w:r>
          </w:p>
        </w:tc>
        <w:tc>
          <w:tcPr>
            <w:tcW w:type="dxa" w:w="2409"/>
          </w:tcPr>
          <w:p>
            <w:pPr>
              <w:spacing w:after="40"/>
            </w:pPr>
            <w:r>
              <w:rPr>
                <w:b w:val="0"/>
                <w:sz w:val="18"/>
              </w:rPr>
              <w:t>Vos dernières signatures et vos derniers refus.</w:t>
            </w:r>
          </w:p>
        </w:tc>
        <w:tc>
          <w:tcPr>
            <w:tcW w:type="dxa" w:w="2409"/>
          </w:tcPr>
          <w:p>
            <w:pPr>
              <w:spacing w:after="40"/>
            </w:pPr>
            <w:r>
              <w:rPr>
                <w:b w:val="0"/>
                <w:sz w:val="18"/>
              </w:rPr>
              <w:t>Un tiers</w:t>
            </w:r>
          </w:p>
        </w:tc>
        <w:tc>
          <w:tcPr>
            <w:tcW w:type="dxa" w:w="2409"/>
          </w:tcPr>
          <w:p>
            <w:pPr>
              <w:spacing w:after="40"/>
            </w:pPr>
            <w:r>
              <w:rPr>
                <w:b w:val="0"/>
                <w:sz w:val="18"/>
              </w:rPr>
              <w:t>Non</w:t>
            </w:r>
          </w:p>
        </w:tc>
      </w:tr>
      <w:tr>
        <w:tc>
          <w:tcPr>
            <w:tcW w:type="dxa" w:w="2409"/>
          </w:tcPr>
          <w:p>
            <w:pPr>
              <w:spacing w:after="40"/>
            </w:pPr>
            <w:r>
              <w:rPr>
                <w:b w:val="0"/>
                <w:sz w:val="18"/>
              </w:rPr>
              <w:t>Espaces de travail</w:t>
            </w:r>
          </w:p>
        </w:tc>
        <w:tc>
          <w:tcPr>
            <w:tcW w:type="dxa" w:w="2409"/>
          </w:tcPr>
          <w:p>
            <w:pPr>
              <w:spacing w:after="40"/>
            </w:pPr>
            <w:r>
              <w:rPr>
                <w:b w:val="0"/>
                <w:sz w:val="18"/>
              </w:rPr>
              <w:t>Vos dossiers, avec leur nombre de documents.</w:t>
            </w:r>
          </w:p>
        </w:tc>
        <w:tc>
          <w:tcPr>
            <w:tcW w:type="dxa" w:w="2409"/>
          </w:tcPr>
          <w:p>
            <w:pPr>
              <w:spacing w:after="40"/>
            </w:pPr>
            <w:r>
              <w:rPr>
                <w:b w:val="0"/>
                <w:sz w:val="18"/>
              </w:rPr>
              <w:t>Un tiers</w:t>
            </w:r>
          </w:p>
        </w:tc>
        <w:tc>
          <w:tcPr>
            <w:tcW w:type="dxa" w:w="2409"/>
          </w:tcPr>
          <w:p>
            <w:pPr>
              <w:spacing w:after="40"/>
            </w:pPr>
            <w:r>
              <w:rPr>
                <w:b w:val="0"/>
                <w:sz w:val="18"/>
              </w:rPr>
              <w:t>Non</w:t>
            </w:r>
          </w:p>
        </w:tc>
      </w:tr>
      <w:tr>
        <w:tc>
          <w:tcPr>
            <w:tcW w:type="dxa" w:w="2409"/>
          </w:tcPr>
          <w:p>
            <w:pPr>
              <w:spacing w:after="40"/>
            </w:pPr>
            <w:r>
              <w:rPr>
                <w:b w:val="0"/>
                <w:sz w:val="18"/>
              </w:rPr>
              <w:t>Répartition par type</w:t>
            </w:r>
          </w:p>
        </w:tc>
        <w:tc>
          <w:tcPr>
            <w:tcW w:type="dxa" w:w="2409"/>
          </w:tcPr>
          <w:p>
            <w:pPr>
              <w:spacing w:after="40"/>
            </w:pPr>
            <w:r>
              <w:rPr>
                <w:b w:val="0"/>
                <w:sz w:val="18"/>
              </w:rPr>
              <w:t>Comment les documents se répartissent entre les types.</w:t>
            </w:r>
          </w:p>
        </w:tc>
        <w:tc>
          <w:tcPr>
            <w:tcW w:type="dxa" w:w="2409"/>
          </w:tcPr>
          <w:p>
            <w:pPr>
              <w:spacing w:after="40"/>
            </w:pPr>
            <w:r>
              <w:rPr>
                <w:b w:val="0"/>
                <w:sz w:val="18"/>
              </w:rPr>
              <w:t>Un tiers</w:t>
            </w:r>
          </w:p>
        </w:tc>
        <w:tc>
          <w:tcPr>
            <w:tcW w:type="dxa" w:w="2409"/>
          </w:tcPr>
          <w:p>
            <w:pPr>
              <w:spacing w:after="40"/>
            </w:pPr>
            <w:r>
              <w:rPr>
                <w:b w:val="0"/>
                <w:sz w:val="18"/>
              </w:rPr>
              <w:t>Non</w:t>
            </w:r>
          </w:p>
        </w:tc>
      </w:tr>
      <w:tr>
        <w:tc>
          <w:tcPr>
            <w:tcW w:type="dxa" w:w="2409"/>
          </w:tcPr>
          <w:p>
            <w:pPr>
              <w:spacing w:after="40"/>
            </w:pPr>
            <w:r>
              <w:rPr>
                <w:b w:val="0"/>
                <w:sz w:val="18"/>
              </w:rPr>
              <w:t>Dépôts sur 30 jours</w:t>
            </w:r>
          </w:p>
        </w:tc>
        <w:tc>
          <w:tcPr>
            <w:tcW w:type="dxa" w:w="2409"/>
          </w:tcPr>
          <w:p>
            <w:pPr>
              <w:spacing w:after="40"/>
            </w:pPr>
            <w:r>
              <w:rPr>
                <w:b w:val="0"/>
                <w:sz w:val="18"/>
              </w:rPr>
              <w:t>Le volume de dépôts jour par jour sur le dernier mois.</w:t>
            </w:r>
          </w:p>
        </w:tc>
        <w:tc>
          <w:tcPr>
            <w:tcW w:type="dxa" w:w="2409"/>
          </w:tcPr>
          <w:p>
            <w:pPr>
              <w:spacing w:after="40"/>
            </w:pPr>
            <w:r>
              <w:rPr>
                <w:b w:val="0"/>
                <w:sz w:val="18"/>
              </w:rPr>
              <w:t>Deux tiers</w:t>
            </w:r>
          </w:p>
        </w:tc>
        <w:tc>
          <w:tcPr>
            <w:tcW w:type="dxa" w:w="2409"/>
          </w:tcPr>
          <w:p>
            <w:pPr>
              <w:spacing w:after="40"/>
            </w:pPr>
            <w:r>
              <w:rPr>
                <w:b w:val="0"/>
                <w:sz w:val="18"/>
              </w:rPr>
              <w:t>Non</w:t>
            </w:r>
          </w:p>
        </w:tc>
      </w:tr>
    </w:tbl>
    <w:p/>
    <w:p>
      <w:r>
        <w:rPr>
          <w:i w:val="0"/>
        </w:rPr>
        <w:t>La disposition servie au premier affichage ne comporte que trois encarts : Indicateurs, À valider, Raccourcis. Ce choix est délibéré : trois encarts tiennent dans un écran courant sans défilement. Les cinq autres existent et s’ajoutent en un clic ; à partir de là, faire défiler la page devient une décision de l’utilisateur et non un défaut de conception.</w:t>
      </w:r>
    </w:p>
    <w:p>
      <w:pPr>
        <w:pStyle w:val="Heading2"/>
      </w:pPr>
      <w:r>
        <w:t>3.4 L’encart « Indicateurs »</w:t>
      </w:r>
    </w:p>
    <w:p>
      <w:r>
        <w:rPr>
          <w:i w:val="0"/>
        </w:rPr>
        <w:t>Quatre tuiles, chacune cliquable et menant à l’écran correspondant. Une tuile qu’on ne peut pas ouvrir est une impasse : ici, chaque chiffre conduit à la liste qui le compose.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Tuile</w:t>
            </w:r>
          </w:p>
        </w:tc>
        <w:tc>
          <w:tcPr>
            <w:tcW w:type="dxa" w:w="3213"/>
          </w:tcPr>
          <w:p>
            <w:r>
              <w:rPr>
                <w:b/>
                <w:sz w:val="18"/>
              </w:rPr>
              <w:t>Ce que le chiffre compte exactement</w:t>
            </w:r>
          </w:p>
        </w:tc>
        <w:tc>
          <w:tcPr>
            <w:tcW w:type="dxa" w:w="3213"/>
          </w:tcPr>
          <w:p>
            <w:r>
              <w:rPr>
                <w:b/>
                <w:sz w:val="18"/>
              </w:rPr>
              <w:t>Écran atteint</w:t>
            </w:r>
          </w:p>
        </w:tc>
      </w:tr>
      <w:tr>
        <w:tc>
          <w:tcPr>
            <w:tcW w:type="dxa" w:w="3213"/>
          </w:tcPr>
          <w:p>
            <w:pPr>
              <w:spacing w:after="40"/>
            </w:pPr>
            <w:r>
              <w:rPr>
                <w:b w:val="0"/>
                <w:sz w:val="18"/>
              </w:rPr>
              <w:t>Dossiers actifs</w:t>
            </w:r>
          </w:p>
        </w:tc>
        <w:tc>
          <w:tcPr>
            <w:tcW w:type="dxa" w:w="3213"/>
          </w:tcPr>
          <w:p>
            <w:pPr>
              <w:spacing w:after="40"/>
            </w:pPr>
            <w:r>
              <w:rPr>
                <w:b w:val="0"/>
                <w:sz w:val="18"/>
              </w:rPr>
              <w:t>Tous les espaces de travail hors corbeille, quel que soit leur statut</w:t>
            </w:r>
          </w:p>
        </w:tc>
        <w:tc>
          <w:tcPr>
            <w:tcW w:type="dxa" w:w="3213"/>
          </w:tcPr>
          <w:p>
            <w:pPr>
              <w:spacing w:after="40"/>
            </w:pPr>
            <w:r>
              <w:rPr>
                <w:b w:val="0"/>
                <w:sz w:val="18"/>
              </w:rPr>
              <w:t>Espaces de travail</w:t>
            </w:r>
          </w:p>
        </w:tc>
      </w:tr>
      <w:tr>
        <w:tc>
          <w:tcPr>
            <w:tcW w:type="dxa" w:w="3213"/>
          </w:tcPr>
          <w:p>
            <w:pPr>
              <w:spacing w:after="40"/>
            </w:pPr>
            <w:r>
              <w:rPr>
                <w:b w:val="0"/>
                <w:sz w:val="18"/>
              </w:rPr>
              <w:t>Documents</w:t>
            </w:r>
          </w:p>
        </w:tc>
        <w:tc>
          <w:tcPr>
            <w:tcW w:type="dxa" w:w="3213"/>
          </w:tcPr>
          <w:p>
            <w:pPr>
              <w:spacing w:after="40"/>
            </w:pPr>
            <w:r>
              <w:rPr>
                <w:b w:val="0"/>
                <w:sz w:val="18"/>
              </w:rPr>
              <w:t>Tous les documents hors corbeille</w:t>
            </w:r>
          </w:p>
        </w:tc>
        <w:tc>
          <w:tcPr>
            <w:tcW w:type="dxa" w:w="3213"/>
          </w:tcPr>
          <w:p>
            <w:pPr>
              <w:spacing w:after="40"/>
            </w:pPr>
            <w:r>
              <w:rPr>
                <w:b w:val="0"/>
                <w:sz w:val="18"/>
              </w:rPr>
              <w:t>Documents</w:t>
            </w:r>
          </w:p>
        </w:tc>
      </w:tr>
      <w:tr>
        <w:tc>
          <w:tcPr>
            <w:tcW w:type="dxa" w:w="3213"/>
          </w:tcPr>
          <w:p>
            <w:pPr>
              <w:spacing w:after="40"/>
            </w:pPr>
            <w:r>
              <w:rPr>
                <w:b w:val="0"/>
                <w:sz w:val="18"/>
              </w:rPr>
              <w:t>En attente de signature</w:t>
            </w:r>
          </w:p>
        </w:tc>
        <w:tc>
          <w:tcPr>
            <w:tcW w:type="dxa" w:w="3213"/>
          </w:tcPr>
          <w:p>
            <w:pPr>
              <w:spacing w:after="40"/>
            </w:pPr>
            <w:r>
              <w:rPr>
                <w:b w:val="0"/>
                <w:sz w:val="18"/>
              </w:rPr>
              <w:t>Les étapes réellement traitables par la personne connectée</w:t>
            </w:r>
          </w:p>
        </w:tc>
        <w:tc>
          <w:tcPr>
            <w:tcW w:type="dxa" w:w="3213"/>
          </w:tcPr>
          <w:p>
            <w:pPr>
              <w:spacing w:after="40"/>
            </w:pPr>
            <w:r>
              <w:rPr>
                <w:b w:val="0"/>
                <w:sz w:val="18"/>
              </w:rPr>
              <w:t>Mes workflow</w:t>
            </w:r>
          </w:p>
        </w:tc>
      </w:tr>
      <w:tr>
        <w:tc>
          <w:tcPr>
            <w:tcW w:type="dxa" w:w="3213"/>
          </w:tcPr>
          <w:p>
            <w:pPr>
              <w:spacing w:after="40"/>
            </w:pPr>
            <w:r>
              <w:rPr>
                <w:b w:val="0"/>
                <w:sz w:val="18"/>
              </w:rPr>
              <w:t>Groupes d’accès</w:t>
            </w:r>
          </w:p>
        </w:tc>
        <w:tc>
          <w:tcPr>
            <w:tcW w:type="dxa" w:w="3213"/>
          </w:tcPr>
          <w:p>
            <w:pPr>
              <w:spacing w:after="40"/>
            </w:pPr>
            <w:r>
              <w:rPr>
                <w:b w:val="0"/>
                <w:sz w:val="18"/>
              </w:rPr>
              <w:t>Tous les groupes hors corbeille</w:t>
            </w:r>
          </w:p>
        </w:tc>
        <w:tc>
          <w:tcPr>
            <w:tcW w:type="dxa" w:w="3213"/>
          </w:tcPr>
          <w:p>
            <w:pPr>
              <w:spacing w:after="40"/>
            </w:pPr>
            <w:r>
              <w:rPr>
                <w:b w:val="0"/>
                <w:sz w:val="18"/>
              </w:rPr>
              <w:t>Groupe d’accès</w:t>
            </w:r>
          </w:p>
        </w:tc>
      </w:tr>
    </w:tbl>
    <w:p/>
    <w:p>
      <w:pPr>
        <w:pStyle w:val="Heading2"/>
      </w:pPr>
      <w:r>
        <w:t>3.5 L’encart « À valider »</w:t>
      </w:r>
    </w:p>
    <w:p>
      <w:r>
        <w:rPr>
          <w:i w:val="0"/>
        </w:rPr>
        <w:t>Le titre porte le nombre total d’étapes en attente ; le corps en présente au plus six. Le compteur reste calé sur le total, et non sur le nombre de lignes affichées : un compteur calé sur l’aperçu afficherait éternellement six. Le lien « Tout voir » conduit à l’écran des signatures, où le reste est accessible.</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Information d’une ligne</w:t>
            </w:r>
          </w:p>
        </w:tc>
        <w:tc>
          <w:tcPr>
            <w:tcW w:type="dxa" w:w="4819"/>
          </w:tcPr>
          <w:p>
            <w:r>
              <w:rPr>
                <w:b/>
                <w:sz w:val="18"/>
              </w:rPr>
              <w:t>Ce qu’elle apprend</w:t>
            </w:r>
          </w:p>
        </w:tc>
      </w:tr>
      <w:tr>
        <w:tc>
          <w:tcPr>
            <w:tcW w:type="dxa" w:w="4819"/>
          </w:tcPr>
          <w:p>
            <w:pPr>
              <w:spacing w:after="40"/>
            </w:pPr>
            <w:r>
              <w:rPr>
                <w:b w:val="0"/>
                <w:sz w:val="18"/>
              </w:rPr>
              <w:t>Nom du document</w:t>
            </w:r>
          </w:p>
        </w:tc>
        <w:tc>
          <w:tcPr>
            <w:tcW w:type="dxa" w:w="4819"/>
          </w:tcPr>
          <w:p>
            <w:pPr>
              <w:spacing w:after="40"/>
            </w:pPr>
            <w:r>
              <w:rPr>
                <w:b w:val="0"/>
                <w:sz w:val="18"/>
              </w:rPr>
              <w:t>Ce sur quoi porte la décision</w:t>
            </w:r>
          </w:p>
        </w:tc>
      </w:tr>
      <w:tr>
        <w:tc>
          <w:tcPr>
            <w:tcW w:type="dxa" w:w="4819"/>
          </w:tcPr>
          <w:p>
            <w:pPr>
              <w:spacing w:after="40"/>
            </w:pPr>
            <w:r>
              <w:rPr>
                <w:b w:val="0"/>
                <w:sz w:val="18"/>
              </w:rPr>
              <w:t>Rang et libellé de l’étape</w:t>
            </w:r>
          </w:p>
        </w:tc>
        <w:tc>
          <w:tcPr>
            <w:tcW w:type="dxa" w:w="4819"/>
          </w:tcPr>
          <w:p>
            <w:pPr>
              <w:spacing w:after="40"/>
            </w:pPr>
            <w:r>
              <w:rPr>
                <w:b w:val="0"/>
                <w:sz w:val="18"/>
              </w:rPr>
              <w:t>À quel point du circuit on se trouve, et à quel titre la décision est demandée</w:t>
            </w:r>
          </w:p>
        </w:tc>
      </w:tr>
      <w:tr>
        <w:tc>
          <w:tcPr>
            <w:tcW w:type="dxa" w:w="4819"/>
          </w:tcPr>
          <w:p>
            <w:pPr>
              <w:spacing w:after="40"/>
            </w:pPr>
            <w:r>
              <w:rPr>
                <w:b w:val="0"/>
                <w:sz w:val="18"/>
              </w:rPr>
              <w:t>Espace de travail</w:t>
            </w:r>
          </w:p>
        </w:tc>
        <w:tc>
          <w:tcPr>
            <w:tcW w:type="dxa" w:w="4819"/>
          </w:tcPr>
          <w:p>
            <w:pPr>
              <w:spacing w:after="40"/>
            </w:pPr>
            <w:r>
              <w:rPr>
                <w:b w:val="0"/>
                <w:sz w:val="18"/>
              </w:rPr>
              <w:t>Dans quel dossier le document a été rangé, donc de quel domaine il relève</w:t>
            </w:r>
          </w:p>
        </w:tc>
      </w:tr>
      <w:tr>
        <w:tc>
          <w:tcPr>
            <w:tcW w:type="dxa" w:w="4819"/>
          </w:tcPr>
          <w:p>
            <w:pPr>
              <w:spacing w:after="40"/>
            </w:pPr>
            <w:r>
              <w:rPr>
                <w:b w:val="0"/>
                <w:sz w:val="18"/>
              </w:rPr>
              <w:t>Lien « Traiter »</w:t>
            </w:r>
          </w:p>
        </w:tc>
        <w:tc>
          <w:tcPr>
            <w:tcW w:type="dxa" w:w="4819"/>
          </w:tcPr>
          <w:p>
            <w:pPr>
              <w:spacing w:after="40"/>
            </w:pPr>
            <w:r>
              <w:rPr>
                <w:b w:val="0"/>
                <w:sz w:val="18"/>
              </w:rPr>
              <w:t>Conduit à l’écran des signatures pour prendre la décision</w:t>
            </w:r>
          </w:p>
        </w:tc>
      </w:tr>
    </w:tbl>
    <w:p/>
    <w:p>
      <w:r>
        <w:rPr>
          <w:i w:val="0"/>
        </w:rPr>
        <w:t>Lorsque rien n’attend la personne, l’encart affiche « Vous êtes à jour », suivi de « Aucun document n’attend votre signature. ».</w:t>
      </w:r>
    </w:p>
    <w:p>
      <w:pPr>
        <w:pStyle w:val="Heading2"/>
      </w:pPr>
      <w:r>
        <w:t>3.6 L’encart « Raccourcis »</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Libellé</w:t>
            </w:r>
          </w:p>
        </w:tc>
        <w:tc>
          <w:tcPr>
            <w:tcW w:type="dxa" w:w="3213"/>
          </w:tcPr>
          <w:p>
            <w:r>
              <w:rPr>
                <w:b/>
                <w:sz w:val="18"/>
              </w:rPr>
              <w:t>Précision affichée</w:t>
            </w:r>
          </w:p>
        </w:tc>
        <w:tc>
          <w:tcPr>
            <w:tcW w:type="dxa" w:w="3213"/>
          </w:tcPr>
          <w:p>
            <w:r>
              <w:rPr>
                <w:b/>
                <w:sz w:val="18"/>
              </w:rPr>
              <w:t>Écran atteint</w:t>
            </w:r>
          </w:p>
        </w:tc>
      </w:tr>
      <w:tr>
        <w:tc>
          <w:tcPr>
            <w:tcW w:type="dxa" w:w="3213"/>
          </w:tcPr>
          <w:p>
            <w:pPr>
              <w:spacing w:after="40"/>
            </w:pPr>
            <w:r>
              <w:rPr>
                <w:b w:val="0"/>
                <w:sz w:val="18"/>
              </w:rPr>
              <w:t>Déposer un document</w:t>
            </w:r>
          </w:p>
        </w:tc>
        <w:tc>
          <w:tcPr>
            <w:tcW w:type="dxa" w:w="3213"/>
          </w:tcPr>
          <w:p>
            <w:pPr>
              <w:spacing w:after="40"/>
            </w:pPr>
            <w:r>
              <w:rPr>
                <w:b w:val="0"/>
                <w:sz w:val="18"/>
              </w:rPr>
              <w:t>Téléverser et lancer le circuit</w:t>
            </w:r>
          </w:p>
        </w:tc>
        <w:tc>
          <w:tcPr>
            <w:tcW w:type="dxa" w:w="3213"/>
          </w:tcPr>
          <w:p>
            <w:pPr>
              <w:spacing w:after="40"/>
            </w:pPr>
            <w:r>
              <w:rPr>
                <w:b w:val="0"/>
                <w:sz w:val="18"/>
              </w:rPr>
              <w:t>Dépôt de document</w:t>
            </w:r>
          </w:p>
        </w:tc>
      </w:tr>
      <w:tr>
        <w:tc>
          <w:tcPr>
            <w:tcW w:type="dxa" w:w="3213"/>
          </w:tcPr>
          <w:p>
            <w:pPr>
              <w:spacing w:after="40"/>
            </w:pPr>
            <w:r>
              <w:rPr>
                <w:b w:val="0"/>
                <w:sz w:val="18"/>
              </w:rPr>
              <w:t>Créer un espace</w:t>
            </w:r>
          </w:p>
        </w:tc>
        <w:tc>
          <w:tcPr>
            <w:tcW w:type="dxa" w:w="3213"/>
          </w:tcPr>
          <w:p>
            <w:pPr>
              <w:spacing w:after="40"/>
            </w:pPr>
            <w:r>
              <w:rPr>
                <w:b w:val="0"/>
                <w:sz w:val="18"/>
              </w:rPr>
              <w:t>Nouvel espace de travail</w:t>
            </w:r>
          </w:p>
        </w:tc>
        <w:tc>
          <w:tcPr>
            <w:tcW w:type="dxa" w:w="3213"/>
          </w:tcPr>
          <w:p>
            <w:pPr>
              <w:spacing w:after="40"/>
            </w:pPr>
            <w:r>
              <w:rPr>
                <w:b w:val="0"/>
                <w:sz w:val="18"/>
              </w:rPr>
              <w:t>Espaces de travail</w:t>
            </w:r>
          </w:p>
        </w:tc>
      </w:tr>
      <w:tr>
        <w:tc>
          <w:tcPr>
            <w:tcW w:type="dxa" w:w="3213"/>
          </w:tcPr>
          <w:p>
            <w:pPr>
              <w:spacing w:after="40"/>
            </w:pPr>
            <w:r>
              <w:rPr>
                <w:b w:val="0"/>
                <w:sz w:val="18"/>
              </w:rPr>
              <w:t>Mes workflow</w:t>
            </w:r>
          </w:p>
        </w:tc>
        <w:tc>
          <w:tcPr>
            <w:tcW w:type="dxa" w:w="3213"/>
          </w:tcPr>
          <w:p>
            <w:pPr>
              <w:spacing w:after="40"/>
            </w:pPr>
            <w:r>
              <w:rPr>
                <w:b w:val="0"/>
                <w:sz w:val="18"/>
              </w:rPr>
              <w:t>Tout ce que je dois valider</w:t>
            </w:r>
          </w:p>
        </w:tc>
        <w:tc>
          <w:tcPr>
            <w:tcW w:type="dxa" w:w="3213"/>
          </w:tcPr>
          <w:p>
            <w:pPr>
              <w:spacing w:after="40"/>
            </w:pPr>
            <w:r>
              <w:rPr>
                <w:b w:val="0"/>
                <w:sz w:val="18"/>
              </w:rPr>
              <w:t>Mes workflow</w:t>
            </w:r>
          </w:p>
        </w:tc>
      </w:tr>
      <w:tr>
        <w:tc>
          <w:tcPr>
            <w:tcW w:type="dxa" w:w="3213"/>
          </w:tcPr>
          <w:p>
            <w:pPr>
              <w:spacing w:after="40"/>
            </w:pPr>
            <w:r>
              <w:rPr>
                <w:b w:val="0"/>
                <w:sz w:val="18"/>
              </w:rPr>
              <w:t>Rechercher par index</w:t>
            </w:r>
          </w:p>
        </w:tc>
        <w:tc>
          <w:tcPr>
            <w:tcW w:type="dxa" w:w="3213"/>
          </w:tcPr>
          <w:p>
            <w:pPr>
              <w:spacing w:after="40"/>
            </w:pPr>
            <w:r>
              <w:rPr>
                <w:b w:val="0"/>
                <w:sz w:val="18"/>
              </w:rPr>
              <w:t>Retrouver un document indexé</w:t>
            </w:r>
          </w:p>
        </w:tc>
        <w:tc>
          <w:tcPr>
            <w:tcW w:type="dxa" w:w="3213"/>
          </w:tcPr>
          <w:p>
            <w:pPr>
              <w:spacing w:after="40"/>
            </w:pPr>
            <w:r>
              <w:rPr>
                <w:b w:val="0"/>
                <w:sz w:val="18"/>
              </w:rPr>
              <w:t>Index</w:t>
            </w:r>
          </w:p>
        </w:tc>
      </w:tr>
    </w:tbl>
    <w:p/>
    <w:p>
      <w:r>
        <w:rPr>
          <w:i w:val="0"/>
        </w:rPr>
        <w:t>Cet encart ne présente aucune donnée : ce sont des chemins, pas des mesures. Il ne peut donc jamais être vide ni en attente de chargement.</w:t>
      </w:r>
    </w:p>
    <w:p>
      <w:pPr>
        <w:pStyle w:val="Heading2"/>
      </w:pPr>
      <w:r>
        <w:t>3.7 Les encarts de contenu</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Encart</w:t>
            </w:r>
          </w:p>
        </w:tc>
        <w:tc>
          <w:tcPr>
            <w:tcW w:type="dxa" w:w="3213"/>
          </w:tcPr>
          <w:p>
            <w:r>
              <w:rPr>
                <w:b/>
                <w:sz w:val="18"/>
              </w:rPr>
              <w:t>Ce qu’il montre</w:t>
            </w:r>
          </w:p>
        </w:tc>
        <w:tc>
          <w:tcPr>
            <w:tcW w:type="dxa" w:w="3213"/>
          </w:tcPr>
          <w:p>
            <w:r>
              <w:rPr>
                <w:b/>
                <w:sz w:val="18"/>
              </w:rPr>
              <w:t>Message affiché lorsqu’il n’y a rien</w:t>
            </w:r>
          </w:p>
        </w:tc>
      </w:tr>
      <w:tr>
        <w:tc>
          <w:tcPr>
            <w:tcW w:type="dxa" w:w="3213"/>
          </w:tcPr>
          <w:p>
            <w:pPr>
              <w:spacing w:after="40"/>
            </w:pPr>
            <w:r>
              <w:rPr>
                <w:b w:val="0"/>
                <w:sz w:val="18"/>
              </w:rPr>
              <w:t>Documents récents</w:t>
            </w:r>
          </w:p>
        </w:tc>
        <w:tc>
          <w:tcPr>
            <w:tcW w:type="dxa" w:w="3213"/>
          </w:tcPr>
          <w:p>
            <w:pPr>
              <w:spacing w:after="40"/>
            </w:pPr>
            <w:r>
              <w:rPr>
                <w:b w:val="0"/>
                <w:sz w:val="18"/>
              </w:rPr>
              <w:t>Les six derniers documents déposés, du plus récent au plus ancien : nom, emplacement, taille, ancienneté</w:t>
            </w:r>
          </w:p>
        </w:tc>
        <w:tc>
          <w:tcPr>
            <w:tcW w:type="dxa" w:w="3213"/>
          </w:tcPr>
          <w:p>
            <w:pPr>
              <w:spacing w:after="40"/>
            </w:pPr>
            <w:r>
              <w:rPr>
                <w:b w:val="0"/>
                <w:sz w:val="18"/>
              </w:rPr>
              <w:t>Aucun document / Rien n’a encore été déposé.</w:t>
            </w:r>
          </w:p>
        </w:tc>
      </w:tr>
      <w:tr>
        <w:tc>
          <w:tcPr>
            <w:tcW w:type="dxa" w:w="3213"/>
          </w:tcPr>
          <w:p>
            <w:pPr>
              <w:spacing w:after="40"/>
            </w:pPr>
            <w:r>
              <w:rPr>
                <w:b w:val="0"/>
                <w:sz w:val="18"/>
              </w:rPr>
              <w:t>Mon activité récente</w:t>
            </w:r>
          </w:p>
        </w:tc>
        <w:tc>
          <w:tcPr>
            <w:tcW w:type="dxa" w:w="3213"/>
          </w:tcPr>
          <w:p>
            <w:pPr>
              <w:spacing w:after="40"/>
            </w:pPr>
            <w:r>
              <w:rPr>
                <w:b w:val="0"/>
                <w:sz w:val="18"/>
              </w:rPr>
              <w:t>Les six dernières décisions de la personne : « Signé » ou « Refusé », libellé de l’étape, ancienneté</w:t>
            </w:r>
          </w:p>
        </w:tc>
        <w:tc>
          <w:tcPr>
            <w:tcW w:type="dxa" w:w="3213"/>
          </w:tcPr>
          <w:p>
            <w:pPr>
              <w:spacing w:after="40"/>
            </w:pPr>
            <w:r>
              <w:rPr>
                <w:b w:val="0"/>
                <w:sz w:val="18"/>
              </w:rPr>
              <w:t>Rien à afficher / Vos décisions apparaîtront ici.</w:t>
            </w:r>
          </w:p>
        </w:tc>
      </w:tr>
      <w:tr>
        <w:tc>
          <w:tcPr>
            <w:tcW w:type="dxa" w:w="3213"/>
          </w:tcPr>
          <w:p>
            <w:pPr>
              <w:spacing w:after="40"/>
            </w:pPr>
            <w:r>
              <w:rPr>
                <w:b w:val="0"/>
                <w:sz w:val="18"/>
              </w:rPr>
              <w:t>Espaces de travail</w:t>
            </w:r>
          </w:p>
        </w:tc>
        <w:tc>
          <w:tcPr>
            <w:tcW w:type="dxa" w:w="3213"/>
          </w:tcPr>
          <w:p>
            <w:pPr>
              <w:spacing w:after="40"/>
            </w:pPr>
            <w:r>
              <w:rPr>
                <w:b w:val="0"/>
                <w:sz w:val="18"/>
              </w:rPr>
              <w:t>Les six derniers dossiers créés : nom, code, nombre de sous-dossiers, et l’état seulement s’il diffère d’« Actif »</w:t>
            </w:r>
          </w:p>
        </w:tc>
        <w:tc>
          <w:tcPr>
            <w:tcW w:type="dxa" w:w="3213"/>
          </w:tcPr>
          <w:p>
            <w:pPr>
              <w:spacing w:after="40"/>
            </w:pPr>
            <w:r>
              <w:rPr>
                <w:b w:val="0"/>
                <w:sz w:val="18"/>
              </w:rPr>
              <w:t>Aucun espace / Créez un espace pour ranger vos documents.</w:t>
            </w:r>
          </w:p>
        </w:tc>
      </w:tr>
      <w:tr>
        <w:tc>
          <w:tcPr>
            <w:tcW w:type="dxa" w:w="3213"/>
          </w:tcPr>
          <w:p>
            <w:pPr>
              <w:spacing w:after="40"/>
            </w:pPr>
            <w:r>
              <w:rPr>
                <w:b w:val="0"/>
                <w:sz w:val="18"/>
              </w:rPr>
              <w:t>Répartition par type</w:t>
            </w:r>
          </w:p>
        </w:tc>
        <w:tc>
          <w:tcPr>
            <w:tcW w:type="dxa" w:w="3213"/>
          </w:tcPr>
          <w:p>
            <w:pPr>
              <w:spacing w:after="40"/>
            </w:pPr>
            <w:r>
              <w:rPr>
                <w:b w:val="0"/>
                <w:sz w:val="18"/>
              </w:rPr>
              <w:t>Cinq barres au plus, du type le plus fourni au moins fourni, avec le nombre et le pourcentage</w:t>
            </w:r>
          </w:p>
        </w:tc>
        <w:tc>
          <w:tcPr>
            <w:tcW w:type="dxa" w:w="3213"/>
          </w:tcPr>
          <w:p>
            <w:pPr>
              <w:spacing w:after="40"/>
            </w:pPr>
            <w:r>
              <w:rPr>
                <w:b w:val="0"/>
                <w:sz w:val="18"/>
              </w:rPr>
              <w:t>Aucun document / La répartition apparaîtra dès le premier dépôt.</w:t>
            </w:r>
          </w:p>
        </w:tc>
      </w:tr>
      <w:tr>
        <w:tc>
          <w:tcPr>
            <w:tcW w:type="dxa" w:w="3213"/>
          </w:tcPr>
          <w:p>
            <w:pPr>
              <w:spacing w:after="40"/>
            </w:pPr>
            <w:r>
              <w:rPr>
                <w:b w:val="0"/>
                <w:sz w:val="18"/>
              </w:rPr>
              <w:t>Dépôts sur 30 jours</w:t>
            </w:r>
          </w:p>
        </w:tc>
        <w:tc>
          <w:tcPr>
            <w:tcW w:type="dxa" w:w="3213"/>
          </w:tcPr>
          <w:p>
            <w:pPr>
              <w:spacing w:after="40"/>
            </w:pPr>
            <w:r>
              <w:rPr>
                <w:b w:val="0"/>
                <w:sz w:val="18"/>
              </w:rPr>
              <w:t>Le total de la période, la journée la plus chargée, un histogramme de trente colonnes et les dates de début et de fin</w:t>
            </w:r>
          </w:p>
        </w:tc>
        <w:tc>
          <w:tcPr>
            <w:tcW w:type="dxa" w:w="3213"/>
          </w:tcPr>
          <w:p>
            <w:pPr>
              <w:spacing w:after="40"/>
            </w:pPr>
            <w:r>
              <w:rPr>
                <w:b w:val="0"/>
                <w:sz w:val="18"/>
              </w:rPr>
              <w:t>L’encart reste affiché avec un total à zéro</w:t>
            </w:r>
          </w:p>
        </w:tc>
      </w:tr>
    </w:tbl>
    <w:p/>
    <w:p>
      <w:r>
        <w:rPr>
          <w:i w:val="0"/>
        </w:rPr>
        <w:t>Le titre de l’encart « Mon activité récente » diffère de son intitulé dans le catalogue de personnalisation, qui l’appelle « Activité récente ». Le contenu est le même.</w:t>
      </w:r>
    </w:p>
    <w:p>
      <w:pPr>
        <w:pStyle w:val="Heading2"/>
      </w:pPr>
      <w:r>
        <w:t>3.8 Le panneau « Personnaliser »</w:t>
      </w:r>
    </w:p>
    <w:p>
      <w:r>
        <w:rPr>
          <w:i w:val="0"/>
        </w:rPr>
        <w:t>Le bouton ouvre un tiroir sur le bord droit de l’écran. Le tableau de bord reste visible derrière : chaque bascule s’y répercute immédiatement, ce qu’une fenêtre centrée — qui masquerait le résultat — interdirait.</w:t>
      </w:r>
    </w:p>
    <w:p>
      <w:r>
        <w:rPr>
          <w:i w:val="0"/>
        </w:rPr>
        <w:t>Le panneau liste le catalogue complet dans son ordre de référence, et non la disposition courante : une liste qui se réorganiserait à chaque clic ferait perdre de vue l’encart que l’on manipule. Chaque ligne porte le titre de l’encart, son résumé, et trois commandes : remonter, descendre, afficher ou masquer. La ligne « Indicateurs » porte la mention « toujours affiché » et n’offre aucune commande.</w:t>
      </w:r>
    </w:p>
    <w:p>
      <w:r>
        <w:rPr>
          <w:i w:val="0"/>
        </w:rPr>
        <w:t>Le pied du panneau porte deux boutons : « Disposition par défaut », inactif tant que rien n’a été personnalisé, et « Terminé », qui referme le panneau. **Il n’existe pas de bouton « Enregistrer »** : les changements sont déjà pris en compte. Le panneau se ferme, il ne se valide pas.</w:t>
      </w:r>
    </w:p>
    <w:p>
      <w:pPr>
        <w:pStyle w:val="Heading1"/>
      </w:pPr>
      <w:r>
        <w:t>4. Le processus, étape par étape</w:t>
      </w:r>
    </w:p>
    <w:p>
      <w:pPr>
        <w:pStyle w:val="Heading2"/>
      </w:pPr>
      <w:r>
        <w:t>4.1 Parcours 1 — Ouverture de l’accueil</w:t>
      </w:r>
    </w:p>
    <w:p>
      <w:pPr>
        <w:pStyle w:val="ListNumber"/>
      </w:pPr>
      <w:r>
        <w:rPr>
          <w:b/>
        </w:rPr>
        <w:t>L’utilisateur arrive sur l’accueil</w:t>
      </w:r>
      <w:r>
        <w:rPr>
          <w:b w:val="0"/>
        </w:rPr>
        <w:t>, par la connexion ou par le lien de la barre supérieure.</w:t>
      </w:r>
    </w:p>
    <w:p>
      <w:pPr>
        <w:pStyle w:val="ListNumber"/>
      </w:pPr>
      <w:r>
        <w:rPr>
          <w:b/>
        </w:rPr>
        <w:t>L’application identifie la personne connectée</w:t>
      </w:r>
      <w:r>
        <w:rPr>
          <w:b w:val="0"/>
        </w:rPr>
        <w:t xml:space="preserve"> et affiche son prénom dans la salutation.</w:t>
      </w:r>
    </w:p>
    <w:p>
      <w:pPr>
        <w:pStyle w:val="ListNumber"/>
      </w:pPr>
      <w:r>
        <w:rPr>
          <w:b/>
        </w:rPr>
        <w:t>L’application lit la disposition mémorisée pour cette personne sur ce poste.</w:t>
      </w:r>
      <w:r>
        <w:rPr>
          <w:b w:val="0"/>
        </w:rPr>
        <w:t xml:space="preserve"> À défaut, elle applique la disposition par défaut.</w:t>
      </w:r>
    </w:p>
    <w:p>
      <w:pPr>
        <w:pStyle w:val="ListNumber"/>
      </w:pPr>
      <w:r>
        <w:rPr>
          <w:b/>
        </w:rPr>
        <w:t>Chaque encart affiché va chercher ses propres données</w:t>
      </w:r>
      <w:r>
        <w:rPr>
          <w:b w:val="0"/>
        </w:rPr>
        <w:t>, indépendamment des autres. Pendant l’attente, il affiche « Chargement… » à la place de son contenu.</w:t>
      </w:r>
    </w:p>
    <w:p>
      <w:pPr>
        <w:pStyle w:val="ListNumber"/>
      </w:pPr>
      <w:r>
        <w:rPr>
          <w:b/>
        </w:rPr>
        <w:t>Chaque encart se remplit dès que ses données arrivent</w:t>
      </w:r>
      <w:r>
        <w:rPr>
          <w:b w:val="0"/>
        </w:rPr>
        <w:t>, sans attendre les autres. Un encart lent ne retarde donc pas l’affichage du reste.</w:t>
      </w:r>
    </w:p>
    <w:p>
      <w:pPr>
        <w:pStyle w:val="ListNumber"/>
      </w:pPr>
      <w:r>
        <w:rPr>
          <w:b/>
        </w:rPr>
        <w:t>Un encart sans donnée affiche son état vide</w:t>
      </w:r>
      <w:r>
        <w:rPr>
          <w:b w:val="0"/>
        </w:rPr>
        <w:t>, formulé pour dire ce qui manque et ce qu’il faut faire pour le remplir.</w:t>
      </w:r>
    </w:p>
    <w:p>
      <w:r>
        <w:rPr>
          <w:i w:val="0"/>
        </w:rPr>
        <w:t>Ce fonctionnement décentralisé a une raison : un écran qui centraliserait sept interrogations ne saurait plus laquelle a échoué, ni quel bloc laisser en attente.</w:t>
      </w:r>
    </w:p>
    <w:p>
      <w:pPr>
        <w:pStyle w:val="Heading2"/>
      </w:pPr>
      <w:r>
        <w:t>4.2 Parcours 2 — Traiter une signature depuis l’accueil</w:t>
      </w:r>
    </w:p>
    <w:p>
      <w:pPr>
        <w:pStyle w:val="ListNumber"/>
      </w:pPr>
      <w:r>
        <w:rPr>
          <w:b/>
        </w:rPr>
        <w:t>L’utilisateur repère une ligne</w:t>
      </w:r>
      <w:r>
        <w:rPr>
          <w:b w:val="0"/>
        </w:rPr>
        <w:t xml:space="preserve"> dans l’encart « À valider ».</w:t>
      </w:r>
    </w:p>
    <w:p>
      <w:pPr>
        <w:pStyle w:val="ListNumber"/>
      </w:pPr>
      <w:r>
        <w:rPr>
          <w:b/>
        </w:rPr>
        <w:t>Il lit le nom du document, le rang et le libellé de l’étape, et l’espace de travail concerné.</w:t>
      </w:r>
    </w:p>
    <w:p>
      <w:pPr>
        <w:pStyle w:val="ListNumber"/>
      </w:pPr>
      <w:r>
        <w:rPr>
          <w:b/>
        </w:rPr>
        <w:t>Il active le lien « Traiter »</w:t>
      </w:r>
      <w:r>
        <w:rPr>
          <w:b w:val="0"/>
        </w:rPr>
        <w:t xml:space="preserve"> — ou le lien « Tout voir » du titre de l’encart.</w:t>
      </w:r>
    </w:p>
    <w:p>
      <w:pPr>
        <w:pStyle w:val="ListNumber"/>
      </w:pPr>
      <w:r>
        <w:rPr>
          <w:b/>
        </w:rPr>
        <w:t>L’application le conduit à l’écran des signatures</w:t>
      </w:r>
      <w:r>
        <w:rPr>
          <w:b w:val="0"/>
        </w:rPr>
        <w:t>, où la décision se prend : signature ou refus motivé.</w:t>
      </w:r>
    </w:p>
    <w:p>
      <w:pPr>
        <w:pStyle w:val="ListNumber"/>
      </w:pPr>
      <w:r>
        <w:rPr>
          <w:b/>
        </w:rPr>
        <w:t>Après la décision, la file est recomptée</w:t>
      </w:r>
      <w:r>
        <w:rPr>
          <w:b w:val="0"/>
        </w:rPr>
        <w:t xml:space="preserve"> : la tuile « En attente de signature », le compteur de l’encart et la pastille du menu supérieur reflètent le nouveau nombre.</w:t>
      </w:r>
    </w:p>
    <w:p>
      <w:pPr>
        <w:spacing w:after="40"/>
      </w:pPr>
      <w:r>
        <w:rPr>
          <w:b/>
          <w:color w:val="8B2E2E"/>
        </w:rPr>
        <w:t>Point à arbitrer</w:t>
      </w:r>
    </w:p>
    <w:p>
      <w:pPr>
        <w:ind w:left="283"/>
      </w:pPr>
      <w:r>
        <w:rPr>
          <w:b w:val="0"/>
          <w:sz w:val="20"/>
        </w:rPr>
        <w:t xml:space="preserve">La consigne d’origine prévoyait que la décision se prenne </w:t>
      </w:r>
      <w:r>
        <w:rPr>
          <w:b/>
          <w:sz w:val="20"/>
        </w:rPr>
        <w:t>sur place</w:t>
      </w:r>
      <w:r>
        <w:rPr>
          <w:b w:val="0"/>
          <w:sz w:val="20"/>
        </w:rPr>
        <w:t>, à l’intérieur de l’encart, au moyen de boutons « Signer » et « Rejeter ». Le produit, dans son état actuel, renvoie vers l’écran des signatures. Le résultat métier est identique, mais le nombre de gestes ne l’est pas. Voir la section 10.</w:t>
      </w:r>
    </w:p>
    <w:p>
      <w:pPr>
        <w:pStyle w:val="Heading2"/>
      </w:pPr>
      <w:r>
        <w:t>4.3 Parcours 3 — Personnaliser le tableau de bord</w:t>
      </w:r>
    </w:p>
    <w:p>
      <w:pPr>
        <w:pStyle w:val="ListNumber"/>
      </w:pPr>
      <w:r>
        <w:rPr>
          <w:b/>
        </w:rPr>
        <w:t>L’utilisateur active « Personnaliser ».</w:t>
      </w:r>
      <w:r>
        <w:rPr>
          <w:b w:val="0"/>
        </w:rPr>
        <w:t xml:space="preserve"> Le tiroir s’ouvre sur le bord droit, le tableau de bord restant visible.</w:t>
      </w:r>
    </w:p>
    <w:p>
      <w:pPr>
        <w:pStyle w:val="ListNumber"/>
      </w:pPr>
      <w:r>
        <w:rPr>
          <w:b/>
        </w:rPr>
        <w:t>Il masque un encart</w:t>
      </w:r>
      <w:r>
        <w:rPr>
          <w:b w:val="0"/>
        </w:rPr>
        <w:t xml:space="preserve"> en actionnant sa bascule. L’encart disparaît immédiatement de l’écran ; aucune donnée n’est touchée.</w:t>
      </w:r>
    </w:p>
    <w:p>
      <w:pPr>
        <w:pStyle w:val="ListNumber"/>
      </w:pPr>
      <w:r>
        <w:rPr>
          <w:b/>
        </w:rPr>
        <w:t>Il affiche un encart masqué</w:t>
      </w:r>
      <w:r>
        <w:rPr>
          <w:b w:val="0"/>
        </w:rPr>
        <w:t xml:space="preserve"> par la même bascule. L’encart réapparaît à sa place d’origine dans le catalogue, et non en fin de liste.</w:t>
      </w:r>
    </w:p>
    <w:p>
      <w:pPr>
        <w:pStyle w:val="ListNumber"/>
      </w:pPr>
      <w:r>
        <w:rPr>
          <w:b/>
        </w:rPr>
        <w:t>Il déplace un encart</w:t>
      </w:r>
      <w:r>
        <w:rPr>
          <w:b w:val="0"/>
        </w:rPr>
        <w:t xml:space="preserve"> d’un cran vers le haut ou vers le bas. Les commandes sont inactives lorsque le déplacement est impossible — encart masqué, déjà en première ou dernière position.</w:t>
      </w:r>
    </w:p>
    <w:p>
      <w:pPr>
        <w:pStyle w:val="ListNumber"/>
      </w:pPr>
      <w:r>
        <w:rPr>
          <w:b/>
        </w:rPr>
        <w:t>À chaque geste, la disposition est enregistrée</w:t>
      </w:r>
      <w:r>
        <w:rPr>
          <w:b w:val="0"/>
        </w:rPr>
        <w:t xml:space="preserve"> pour cette personne et sur ce poste.</w:t>
      </w:r>
    </w:p>
    <w:p>
      <w:pPr>
        <w:pStyle w:val="ListNumber"/>
      </w:pPr>
      <w:r>
        <w:rPr>
          <w:b/>
        </w:rPr>
        <w:t>Il referme le panneau par « Terminé »</w:t>
      </w:r>
      <w:r>
        <w:rPr>
          <w:b w:val="0"/>
        </w:rPr>
        <w:t>, par la croix, par la touche d’échappement ou en cliquant à l’extérieur. Aucune de ces sorties n’annule les changements : ils sont déjà pris en compte.</w:t>
      </w:r>
    </w:p>
    <w:p>
      <w:pPr>
        <w:pStyle w:val="Heading2"/>
      </w:pPr>
      <w:r>
        <w:t>4.4 Parcours 4 — Revenir à la disposition d’origine</w:t>
      </w:r>
    </w:p>
    <w:p>
      <w:pPr>
        <w:pStyle w:val="ListNumber"/>
      </w:pPr>
      <w:r>
        <w:rPr>
          <w:b/>
        </w:rPr>
        <w:t>L’utilisateur ouvre le panneau de personnalisation.</w:t>
      </w:r>
    </w:p>
    <w:p>
      <w:pPr>
        <w:pStyle w:val="ListNumber"/>
      </w:pPr>
      <w:r>
        <w:rPr>
          <w:b/>
        </w:rPr>
        <w:t>Il active « Disposition par défaut ».</w:t>
      </w:r>
      <w:r>
        <w:rPr>
          <w:b w:val="0"/>
        </w:rPr>
        <w:t xml:space="preserve"> Le bouton n’est proposé que si la disposition courante diffère effectivement de celle d’origine.</w:t>
      </w:r>
    </w:p>
    <w:p>
      <w:pPr>
        <w:pStyle w:val="ListNumber"/>
      </w:pPr>
      <w:r>
        <w:rPr>
          <w:b/>
        </w:rPr>
        <w:t>Le tableau de bord reprend ses trois encarts d’origine</w:t>
      </w:r>
      <w:r>
        <w:rPr>
          <w:b w:val="0"/>
        </w:rPr>
        <w:t>, dans leur ordre d’origine.</w:t>
      </w:r>
    </w:p>
    <w:p>
      <w:pPr>
        <w:pStyle w:val="ListNumber"/>
      </w:pPr>
      <w:r>
        <w:rPr>
          <w:b/>
        </w:rPr>
        <w:t>Le nouvel état est enregistré</w:t>
      </w:r>
      <w:r>
        <w:rPr>
          <w:b w:val="0"/>
        </w:rPr>
        <w:t xml:space="preserve"> comme n’importe quel autre changement.</w:t>
      </w:r>
    </w:p>
    <w:p>
      <w:pPr>
        <w:pStyle w:val="Heading2"/>
      </w:pPr>
      <w:r>
        <w:t>4.5 Schéma d’ensemble</w:t>
      </w:r>
    </w:p>
    <w:p>
      <w:pPr>
        <w:spacing w:after="40"/>
      </w:pPr>
      <w:r>
        <w:rPr>
          <w:b/>
          <w:sz w:val="19"/>
        </w:rPr>
        <w:t>De l'ouverture de l'accueil au traitement d'une signature</w:t>
      </w:r>
    </w:p>
    <w:p>
      <w:pPr>
        <w:spacing w:after="0" w:before="0" w:line="240" w:lineRule="auto"/>
      </w:pPr>
      <w:r>
        <w:rPr>
          <w:rFonts w:ascii="Consolas" w:hAnsi="Consolas" w:cs="Consolas" w:eastAsia="Consolas"/>
          <w:sz w:val="18"/>
        </w:rPr>
        <w:t xml:space="preserve">   Connexion etablie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Lecture de la disposition                  |</w:t>
      </w:r>
    </w:p>
    <w:p>
      <w:pPr>
        <w:spacing w:after="0" w:before="0" w:line="240" w:lineRule="auto"/>
      </w:pPr>
      <w:r>
        <w:rPr>
          <w:rFonts w:ascii="Consolas" w:hAnsi="Consolas" w:cs="Consolas" w:eastAsia="Consolas"/>
          <w:sz w:val="18"/>
        </w:rPr>
        <w:t xml:space="preserve">   | (par personne, sur ce poste)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trouvee                   absente/illisible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disposition retenue     disposition par defaut</w:t>
      </w:r>
    </w:p>
    <w:p>
      <w:pPr>
        <w:spacing w:after="0" w:before="0" w:line="240" w:lineRule="auto"/>
      </w:pPr>
      <w:r>
        <w:rPr>
          <w:rFonts w:ascii="Consolas" w:hAnsi="Consolas" w:cs="Consolas" w:eastAsia="Consolas"/>
          <w:sz w:val="18"/>
        </w:rPr>
        <w:t xml:space="preserve">          |                 (Indicateurs, A valider,</w:t>
      </w:r>
    </w:p>
    <w:p>
      <w:pPr>
        <w:spacing w:after="0" w:before="0" w:line="240" w:lineRule="auto"/>
      </w:pPr>
      <w:r>
        <w:rPr>
          <w:rFonts w:ascii="Consolas" w:hAnsi="Consolas" w:cs="Consolas" w:eastAsia="Consolas"/>
          <w:sz w:val="18"/>
        </w:rPr>
        <w:t xml:space="preserve">          |                  Raccourcis)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Chaque encart interroge SES donnees        |</w:t>
      </w:r>
    </w:p>
    <w:p>
      <w:pPr>
        <w:spacing w:after="0" w:before="0" w:line="240" w:lineRule="auto"/>
      </w:pPr>
      <w:r>
        <w:rPr>
          <w:rFonts w:ascii="Consolas" w:hAnsi="Consolas" w:cs="Consolas" w:eastAsia="Consolas"/>
          <w:sz w:val="18"/>
        </w:rPr>
        <w:t xml:space="preserve">   |   « Chargement... »  -&gt;  contenu           |</w:t>
      </w:r>
    </w:p>
    <w:p>
      <w:pPr>
        <w:spacing w:after="0" w:before="0" w:line="240" w:lineRule="auto"/>
      </w:pPr>
      <w:r>
        <w:rPr>
          <w:rFonts w:ascii="Consolas" w:hAnsi="Consolas" w:cs="Consolas" w:eastAsia="Consolas"/>
          <w:sz w:val="18"/>
        </w:rPr>
        <w:t xml:space="preserve">   |                      -&gt;  etat vide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ENCARTS DE LECTURE                 ENCART « A VALIDER »</w:t>
      </w:r>
    </w:p>
    <w:p>
      <w:pPr>
        <w:spacing w:after="0" w:before="0" w:line="240" w:lineRule="auto"/>
      </w:pPr>
      <w:r>
        <w:rPr>
          <w:rFonts w:ascii="Consolas" w:hAnsi="Consolas" w:cs="Consolas" w:eastAsia="Consolas"/>
          <w:sz w:val="18"/>
        </w:rPr>
        <w:t xml:space="preserve">  (indicateurs, listes,              lignes traitables</w:t>
      </w:r>
    </w:p>
    <w:p>
      <w:pPr>
        <w:spacing w:after="0" w:before="0" w:line="240" w:lineRule="auto"/>
      </w:pPr>
      <w:r>
        <w:rPr>
          <w:rFonts w:ascii="Consolas" w:hAnsi="Consolas" w:cs="Consolas" w:eastAsia="Consolas"/>
          <w:sz w:val="18"/>
        </w:rPr>
        <w:t xml:space="preserve">   graphiques)                              |</w:t>
      </w:r>
    </w:p>
    <w:p>
      <w:pPr>
        <w:spacing w:after="0" w:before="0" w:line="240" w:lineRule="auto"/>
      </w:pPr>
      <w:r>
        <w:rPr>
          <w:rFonts w:ascii="Consolas" w:hAnsi="Consolas" w:cs="Consolas" w:eastAsia="Consolas"/>
          <w:sz w:val="18"/>
        </w:rPr>
        <w:t xml:space="preserve">     |                                      | « Traiter »</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liens « Tout voir »  ------------&gt;  12 MES WORKFLOW</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decision prise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recomptage des trois compteurs</w:t>
      </w:r>
    </w:p>
    <w:p>
      <w:pPr>
        <w:spacing w:after="0" w:before="0" w:line="240" w:lineRule="auto"/>
      </w:pPr>
      <w:r>
        <w:rPr>
          <w:rFonts w:ascii="Consolas" w:hAnsi="Consolas" w:cs="Consolas" w:eastAsia="Consolas"/>
          <w:sz w:val="18"/>
        </w:rPr>
        <w:t xml:space="preserve">                              (tuile, encart, pastille du menu)</w:t>
      </w:r>
    </w:p>
    <w:p/>
    <w:p>
      <w:pPr>
        <w:pStyle w:val="Heading1"/>
      </w:pPr>
      <w:r>
        <w:t>5. Les données saisies</w:t>
      </w:r>
    </w:p>
    <w:p>
      <w:r>
        <w:rPr>
          <w:i w:val="0"/>
        </w:rPr>
        <w:t>L’accueil ne comporte aucun formulaire de saisie métier : on n’y crée ni dossier, ni document, ni paramétrage. Les seules données que l’utilisateur y produit sont des réglages d’affichage, tous situés dans le panneau de personnalisation.</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r>
              <w:rPr>
                <w:b/>
                <w:sz w:val="19"/>
              </w:rPr>
              <w:t>Intitulé affiché</w:t>
            </w:r>
          </w:p>
        </w:tc>
        <w:tc>
          <w:tcPr>
            <w:tcW w:type="dxa" w:w="1928"/>
          </w:tcPr>
          <w:p>
            <w:r>
              <w:rPr>
                <w:b/>
                <w:sz w:val="19"/>
              </w:rPr>
              <w:t>Nature</w:t>
            </w:r>
          </w:p>
        </w:tc>
        <w:tc>
          <w:tcPr>
            <w:tcW w:type="dxa" w:w="1928"/>
          </w:tcPr>
          <w:p>
            <w:r>
              <w:rPr>
                <w:b/>
                <w:sz w:val="19"/>
              </w:rPr>
              <w:t>Obligatoire</w:t>
            </w:r>
          </w:p>
        </w:tc>
        <w:tc>
          <w:tcPr>
            <w:tcW w:type="dxa" w:w="1928"/>
          </w:tcPr>
          <w:p>
            <w:r>
              <w:rPr>
                <w:b/>
                <w:sz w:val="19"/>
              </w:rPr>
              <w:t>Valeur par défaut</w:t>
            </w:r>
          </w:p>
        </w:tc>
        <w:tc>
          <w:tcPr>
            <w:tcW w:type="dxa" w:w="1928"/>
          </w:tcPr>
          <w:p>
            <w:r>
              <w:rPr>
                <w:b/>
                <w:sz w:val="19"/>
              </w:rPr>
              <w:t>Exemple</w:t>
            </w:r>
          </w:p>
        </w:tc>
      </w:tr>
      <w:tr>
        <w:tc>
          <w:tcPr>
            <w:tcW w:type="dxa" w:w="1928"/>
          </w:tcPr>
          <w:p>
            <w:pPr>
              <w:spacing w:after="40"/>
            </w:pPr>
            <w:r>
              <w:rPr>
                <w:b w:val="0"/>
                <w:sz w:val="19"/>
              </w:rPr>
              <w:t>Bascule d’affichage d’un encart</w:t>
            </w:r>
          </w:p>
        </w:tc>
        <w:tc>
          <w:tcPr>
            <w:tcW w:type="dxa" w:w="1928"/>
          </w:tcPr>
          <w:p>
            <w:pPr>
              <w:spacing w:after="40"/>
            </w:pPr>
            <w:r>
              <w:rPr>
                <w:b w:val="0"/>
                <w:sz w:val="19"/>
              </w:rPr>
              <w:t>Oui / non (interrupteur)</w:t>
            </w:r>
          </w:p>
        </w:tc>
        <w:tc>
          <w:tcPr>
            <w:tcW w:type="dxa" w:w="1928"/>
          </w:tcPr>
          <w:p>
            <w:pPr>
              <w:spacing w:after="40"/>
            </w:pPr>
            <w:r>
              <w:rPr>
                <w:b w:val="0"/>
                <w:sz w:val="19"/>
              </w:rPr>
              <w:t>Non</w:t>
            </w:r>
          </w:p>
        </w:tc>
        <w:tc>
          <w:tcPr>
            <w:tcW w:type="dxa" w:w="1928"/>
          </w:tcPr>
          <w:p>
            <w:pPr>
              <w:spacing w:after="40"/>
            </w:pPr>
            <w:r>
              <w:rPr>
                <w:b w:val="0"/>
                <w:sz w:val="19"/>
              </w:rPr>
              <w:t>Affiché pour trois encarts, masqué pour les cinq autres</w:t>
            </w:r>
          </w:p>
        </w:tc>
        <w:tc>
          <w:tcPr>
            <w:tcW w:type="dxa" w:w="1928"/>
          </w:tcPr>
          <w:p>
            <w:pPr>
              <w:spacing w:after="40"/>
            </w:pPr>
            <w:r>
              <w:rPr>
                <w:b w:val="0"/>
                <w:sz w:val="19"/>
              </w:rPr>
              <w:t>« Documents récents » : affiché</w:t>
            </w:r>
          </w:p>
        </w:tc>
      </w:tr>
      <w:tr>
        <w:tc>
          <w:tcPr>
            <w:tcW w:type="dxa" w:w="1928"/>
          </w:tcPr>
          <w:p>
            <w:pPr>
              <w:spacing w:after="40"/>
            </w:pPr>
            <w:r>
              <w:rPr>
                <w:b w:val="0"/>
                <w:sz w:val="19"/>
              </w:rPr>
              <w:t>Remonter / Descendre</w:t>
            </w:r>
          </w:p>
        </w:tc>
        <w:tc>
          <w:tcPr>
            <w:tcW w:type="dxa" w:w="1928"/>
          </w:tcPr>
          <w:p>
            <w:pPr>
              <w:spacing w:after="40"/>
            </w:pPr>
            <w:r>
              <w:rPr>
                <w:b w:val="0"/>
                <w:sz w:val="19"/>
              </w:rPr>
              <w:t>Commande de déplacement d’un cran</w:t>
            </w:r>
          </w:p>
        </w:tc>
        <w:tc>
          <w:tcPr>
            <w:tcW w:type="dxa" w:w="1928"/>
          </w:tcPr>
          <w:p>
            <w:pPr>
              <w:spacing w:after="40"/>
            </w:pPr>
            <w:r>
              <w:rPr>
                <w:b w:val="0"/>
                <w:sz w:val="19"/>
              </w:rPr>
              <w:t>Non</w:t>
            </w:r>
          </w:p>
        </w:tc>
        <w:tc>
          <w:tcPr>
            <w:tcW w:type="dxa" w:w="1928"/>
          </w:tcPr>
          <w:p>
            <w:pPr>
              <w:spacing w:after="40"/>
            </w:pPr>
            <w:r>
              <w:rPr>
                <w:b w:val="0"/>
                <w:sz w:val="19"/>
              </w:rPr>
              <w:t>Ordre du catalogue</w:t>
            </w:r>
          </w:p>
        </w:tc>
        <w:tc>
          <w:tcPr>
            <w:tcW w:type="dxa" w:w="1928"/>
          </w:tcPr>
          <w:p>
            <w:pPr>
              <w:spacing w:after="40"/>
            </w:pPr>
            <w:r>
              <w:rPr>
                <w:b w:val="0"/>
                <w:sz w:val="19"/>
              </w:rPr>
              <w:t>« Raccourcis » remonté au-dessus de « À valider »</w:t>
            </w:r>
          </w:p>
        </w:tc>
      </w:tr>
      <w:tr>
        <w:tc>
          <w:tcPr>
            <w:tcW w:type="dxa" w:w="1928"/>
          </w:tcPr>
          <w:p>
            <w:pPr>
              <w:spacing w:after="40"/>
            </w:pPr>
            <w:r>
              <w:rPr>
                <w:b w:val="0"/>
                <w:sz w:val="19"/>
              </w:rPr>
              <w:t>Disposition par défaut</w:t>
            </w:r>
          </w:p>
        </w:tc>
        <w:tc>
          <w:tcPr>
            <w:tcW w:type="dxa" w:w="1928"/>
          </w:tcPr>
          <w:p>
            <w:pPr>
              <w:spacing w:after="40"/>
            </w:pPr>
            <w:r>
              <w:rPr>
                <w:b w:val="0"/>
                <w:sz w:val="19"/>
              </w:rPr>
              <w:t>Commande de remise à l’état d’origine</w:t>
            </w:r>
          </w:p>
        </w:tc>
        <w:tc>
          <w:tcPr>
            <w:tcW w:type="dxa" w:w="1928"/>
          </w:tcPr>
          <w:p>
            <w:pPr>
              <w:spacing w:after="40"/>
            </w:pPr>
            <w:r>
              <w:rPr>
                <w:b w:val="0"/>
                <w:sz w:val="19"/>
              </w:rPr>
              <w:t>Non</w:t>
            </w:r>
          </w:p>
        </w:tc>
        <w:tc>
          <w:tcPr>
            <w:tcW w:type="dxa" w:w="1928"/>
          </w:tcPr>
          <w:p>
            <w:pPr>
              <w:spacing w:after="40"/>
            </w:pPr>
            <w:r>
              <w:rPr>
                <w:b w:val="0"/>
                <w:sz w:val="19"/>
              </w:rPr>
              <w:t>Sans objet</w:t>
            </w:r>
          </w:p>
        </w:tc>
        <w:tc>
          <w:tcPr>
            <w:tcW w:type="dxa" w:w="1928"/>
          </w:tcPr>
          <w:p>
            <w:pPr>
              <w:spacing w:after="40"/>
            </w:pPr>
            <w:r>
              <w:rPr>
                <w:b w:val="0"/>
                <w:sz w:val="19"/>
              </w:rPr>
              <w:t>—</w:t>
            </w:r>
          </w:p>
        </w:tc>
      </w:tr>
    </w:tbl>
    <w:p/>
    <w:p>
      <w:pPr>
        <w:pStyle w:val="Heading2"/>
      </w:pPr>
      <w:r>
        <w:t>5.1 Explication des réglages</w:t>
      </w:r>
    </w:p>
    <w:p>
      <w:r>
        <w:rPr>
          <w:i w:val="0"/>
        </w:rPr>
        <w:t>**La bascule d’affichage** ne supprime rien et n’ajoute rien : elle décide seulement de la présence de l’encart à l’écran. Un encart masqué continue d’exister, ses données continuent d’être tenues à jour par les autres écrans, et il revient intact.</w:t>
      </w:r>
    </w:p>
    <w:p>
      <w:r>
        <w:rPr>
          <w:i w:val="0"/>
        </w:rPr>
        <w:t>**Les commandes de déplacement** ne sont proposées que pour les encarts déplaçables. L’encart « Indicateurs » est ancré en tête : il sert de repère haut de page, et le laisser glisser au milieu de la page ferait perdre ce repère. Aucun encart ne peut donc passer au-dessus de lui.</w:t>
      </w:r>
    </w:p>
    <w:p>
      <w:r>
        <w:rPr>
          <w:i w:val="0"/>
        </w:rPr>
        <w:t>**La remise à l’état d’origine** n’est offerte que si l’utilisateur a effectivement modifié quelque chose. Un bouton toujours actif laisserait croire qu’il y a quelque chose à annuler alors qu’il n’y a rien.</w:t>
      </w:r>
    </w:p>
    <w:p>
      <w:pPr>
        <w:pStyle w:val="Heading1"/>
      </w:pPr>
      <w:r>
        <w:t>6. Les règles de gestion</w:t>
      </w:r>
    </w:p>
    <w:p>
      <w:pPr>
        <w:spacing w:after="40"/>
      </w:pPr>
      <w:r>
        <w:rPr>
          <w:b/>
        </w:rPr>
        <w:t xml:space="preserve">R1. </w:t>
      </w:r>
      <w:r>
        <w:rPr>
          <w:b/>
        </w:rPr>
        <w:t>L’encart « Indicateurs » est obligatoire et toujours en première position.</w:t>
      </w:r>
      <w:r>
        <w:rPr>
          <w:b w:val="0"/>
        </w:rPr>
        <w:t xml:space="preserve"> Il ne peut être ni masqué ni déplacé.</w:t>
      </w:r>
    </w:p>
    <w:p>
      <w:pPr>
        <w:spacing w:after="200"/>
        <w:ind w:left="454"/>
      </w:pPr>
      <w:r>
        <w:rPr>
          <w:b/>
          <w:sz w:val="19"/>
        </w:rPr>
        <w:t xml:space="preserve">Pourquoi : </w:t>
      </w:r>
      <w:r>
        <w:rPr>
          <w:color w:val="353535"/>
          <w:sz w:val="19"/>
        </w:rPr>
        <w:t>C’est le repère haut de page du tableau de bord. Un tableau de bord dont on peut retirer les chiffres de synthèse n’est plus un tableau de bord, et un repère qui se déplace n’en est plus un.</w:t>
      </w:r>
    </w:p>
    <w:p>
      <w:pPr>
        <w:spacing w:after="40"/>
      </w:pPr>
      <w:r>
        <w:rPr>
          <w:b/>
        </w:rPr>
        <w:t xml:space="preserve">R2. </w:t>
      </w:r>
      <w:r>
        <w:rPr>
          <w:b/>
        </w:rPr>
        <w:t>Masquer un encart ne supprime aucune donnée.</w:t>
      </w:r>
    </w:p>
    <w:p>
      <w:pPr>
        <w:spacing w:after="200"/>
        <w:ind w:left="454"/>
      </w:pPr>
      <w:r>
        <w:rPr>
          <w:b/>
          <w:sz w:val="19"/>
        </w:rPr>
        <w:t xml:space="preserve">Pourquoi : </w:t>
      </w:r>
      <w:r>
        <w:rPr>
          <w:color w:val="353535"/>
          <w:sz w:val="19"/>
        </w:rPr>
        <w:t>Le réglage porte sur l’affichage, pas sur le fonds. Sans cette garantie, personne n’oserait toucher au panneau de personnalisation.</w:t>
      </w:r>
    </w:p>
    <w:p>
      <w:pPr>
        <w:spacing w:after="40"/>
      </w:pPr>
      <w:r>
        <w:rPr>
          <w:b/>
        </w:rPr>
        <w:t xml:space="preserve">R3. </w:t>
      </w:r>
      <w:r>
        <w:rPr>
          <w:b/>
        </w:rPr>
        <w:t>Un encart réaffiché revient à sa place d’origine dans le catalogue</w:t>
      </w:r>
      <w:r>
        <w:rPr>
          <w:b w:val="0"/>
        </w:rPr>
        <w:t>, et non en fin de liste.</w:t>
      </w:r>
    </w:p>
    <w:p>
      <w:pPr>
        <w:spacing w:after="200"/>
        <w:ind w:left="454"/>
      </w:pPr>
      <w:r>
        <w:rPr>
          <w:b/>
          <w:sz w:val="19"/>
        </w:rPr>
        <w:t xml:space="preserve">Pourquoi : </w:t>
      </w:r>
      <w:r>
        <w:rPr>
          <w:color w:val="353535"/>
          <w:sz w:val="19"/>
        </w:rPr>
        <w:t>Décocher puis recocher par curiosité ne doit pas réorganiser le tableau de bord dans le dos de l’utilisateur.</w:t>
      </w:r>
    </w:p>
    <w:p>
      <w:pPr>
        <w:spacing w:after="40"/>
      </w:pPr>
      <w:r>
        <w:rPr>
          <w:b/>
        </w:rPr>
        <w:t xml:space="preserve">R4. </w:t>
      </w:r>
      <w:r>
        <w:rPr>
          <w:b/>
        </w:rPr>
        <w:t>Les changements de disposition s’appliquent immédiatement, sans validation.</w:t>
      </w:r>
    </w:p>
    <w:p>
      <w:pPr>
        <w:spacing w:after="200"/>
        <w:ind w:left="454"/>
      </w:pPr>
      <w:r>
        <w:rPr>
          <w:b/>
          <w:sz w:val="19"/>
        </w:rPr>
        <w:t xml:space="preserve">Pourquoi : </w:t>
      </w:r>
      <w:r>
        <w:rPr>
          <w:color w:val="353535"/>
          <w:sz w:val="19"/>
        </w:rPr>
        <w:t>Le résultat est visible pendant le réglage, ce qu’aucune liste de cases à cocher validée à l’aveugle ne permet. Ajouter un bouton « Enregistrer » créerait un état intermédiaire incertain.</w:t>
      </w:r>
    </w:p>
    <w:p>
      <w:pPr>
        <w:spacing w:after="40"/>
      </w:pPr>
      <w:r>
        <w:rPr>
          <w:b/>
        </w:rPr>
        <w:t xml:space="preserve">R5. </w:t>
      </w:r>
      <w:r>
        <w:rPr>
          <w:b/>
        </w:rPr>
        <w:t>La disposition est mémorisée par personne et sur le poste courant.</w:t>
      </w:r>
    </w:p>
    <w:p>
      <w:pPr>
        <w:spacing w:after="200"/>
        <w:ind w:left="454"/>
      </w:pPr>
      <w:r>
        <w:rPr>
          <w:b/>
          <w:sz w:val="19"/>
        </w:rPr>
        <w:t xml:space="preserve">Pourquoi : </w:t>
      </w:r>
      <w:r>
        <w:rPr>
          <w:color w:val="353535"/>
          <w:sz w:val="19"/>
        </w:rPr>
        <w:t>Deux comptes qui se relaieraient sur le même navigateur ne doivent pas hériter du tableau de bord l’un de l’autre. En revanche, le réglage ne suit pas la personne d’un ordinateur à l’autre — voir la section 8.</w:t>
      </w:r>
    </w:p>
    <w:p>
      <w:pPr>
        <w:spacing w:after="40"/>
      </w:pPr>
      <w:r>
        <w:rPr>
          <w:b/>
        </w:rPr>
        <w:t xml:space="preserve">R6. </w:t>
      </w:r>
      <w:r>
        <w:rPr>
          <w:b/>
        </w:rPr>
        <w:t>Une disposition enregistrée illisible, ou qui désigne un encart n’existant plus, est ramenée à la disposition par défaut.</w:t>
      </w:r>
      <w:r>
        <w:rPr>
          <w:b w:val="0"/>
        </w:rPr>
        <w:t xml:space="preserve"> Les doublons éventuels sont écartés et l’encart obligatoire est réinjecté.</w:t>
      </w:r>
    </w:p>
    <w:p>
      <w:pPr>
        <w:spacing w:after="200"/>
        <w:ind w:left="454"/>
      </w:pPr>
      <w:r>
        <w:rPr>
          <w:b/>
          <w:sz w:val="19"/>
        </w:rPr>
        <w:t xml:space="preserve">Pourquoi : </w:t>
      </w:r>
      <w:r>
        <w:rPr>
          <w:color w:val="353535"/>
          <w:sz w:val="19"/>
        </w:rPr>
        <w:t>Un réglage abîmé ne doit jamais empêcher l’accueil de s’afficher, ni produire deux fois le même bloc.</w:t>
      </w:r>
    </w:p>
    <w:p>
      <w:pPr>
        <w:spacing w:after="40"/>
      </w:pPr>
      <w:r>
        <w:rPr>
          <w:b/>
        </w:rPr>
        <w:t xml:space="preserve">R7. </w:t>
      </w:r>
      <w:r>
        <w:rPr>
          <w:b/>
        </w:rPr>
        <w:t>La disposition par défaut se limite à trois encarts.</w:t>
      </w:r>
    </w:p>
    <w:p>
      <w:pPr>
        <w:spacing w:after="200"/>
        <w:ind w:left="454"/>
      </w:pPr>
      <w:r>
        <w:rPr>
          <w:b/>
          <w:sz w:val="19"/>
        </w:rPr>
        <w:t xml:space="preserve">Pourquoi : </w:t>
      </w:r>
      <w:r>
        <w:rPr>
          <w:color w:val="353535"/>
          <w:sz w:val="19"/>
        </w:rPr>
        <w:t>Elle tient dans un écran courant sans défilement. Une seconde rangée ajoute environ un quart d’écran et fait défiler la page dès l’ouverture, ce qui était précisément le reproche fait à l’ancien tableau de bord.</w:t>
      </w:r>
    </w:p>
    <w:p>
      <w:pPr>
        <w:spacing w:after="40"/>
      </w:pPr>
      <w:r>
        <w:rPr>
          <w:b/>
        </w:rPr>
        <w:t xml:space="preserve">R8. </w:t>
      </w:r>
      <w:r>
        <w:rPr>
          <w:b/>
        </w:rPr>
        <w:t>Chaque encart interroge ses propres données et gère seul son attente.</w:t>
      </w:r>
    </w:p>
    <w:p>
      <w:pPr>
        <w:spacing w:after="200"/>
        <w:ind w:left="454"/>
      </w:pPr>
      <w:r>
        <w:rPr>
          <w:b/>
          <w:sz w:val="19"/>
        </w:rPr>
        <w:t xml:space="preserve">Pourquoi : </w:t>
      </w:r>
      <w:r>
        <w:rPr>
          <w:color w:val="353535"/>
          <w:sz w:val="19"/>
        </w:rPr>
        <w:t>Un écran qui centraliserait toutes les interrogations ne saurait plus laquelle a échoué. Ici, un encart en difficulté n’empêche ni les autres de s’afficher, ni l’utilisateur de travailler.</w:t>
      </w:r>
    </w:p>
    <w:p>
      <w:pPr>
        <w:spacing w:after="40"/>
      </w:pPr>
      <w:r>
        <w:rPr>
          <w:b/>
        </w:rPr>
        <w:t xml:space="preserve">R9. </w:t>
      </w:r>
      <w:r>
        <w:rPr>
          <w:b/>
        </w:rPr>
        <w:t>Le nombre de signatures en attente provient d’une définition unique</w:t>
      </w:r>
      <w:r>
        <w:rPr>
          <w:b w:val="0"/>
        </w:rPr>
        <w:t>, partagée par la tuile d’indicateur, le compteur de l’encart « À valider », la pastille du menu supérieur et l’écran des signatures.</w:t>
      </w:r>
    </w:p>
    <w:p>
      <w:pPr>
        <w:spacing w:after="200"/>
        <w:ind w:left="454"/>
      </w:pPr>
      <w:r>
        <w:rPr>
          <w:b/>
          <w:sz w:val="19"/>
        </w:rPr>
        <w:t xml:space="preserve">Pourquoi : </w:t>
      </w:r>
      <w:r>
        <w:rPr>
          <w:color w:val="353535"/>
          <w:sz w:val="19"/>
        </w:rPr>
        <w:t>Deux compteurs du même nombre entretenus séparément finissent par diverger, et l’utilisateur ne sait plus lequel croire. C’est exactement ce qui s’était produit dans une version antérieure, où la tuile annonçait un nombre très supérieur à celui de la liste.</w:t>
      </w:r>
    </w:p>
    <w:p>
      <w:pPr>
        <w:spacing w:after="40"/>
      </w:pPr>
      <w:r>
        <w:rPr>
          <w:b/>
        </w:rPr>
        <w:t xml:space="preserve">R10. </w:t>
      </w:r>
      <w:r>
        <w:rPr>
          <w:b/>
        </w:rPr>
        <w:t>Une étape n’est comptée que si elle est réellement traitable</w:t>
      </w:r>
      <w:r>
        <w:rPr>
          <w:b w:val="0"/>
        </w:rPr>
        <w:t xml:space="preserve"> : confiée à la personne connectée, étape précédente signée, document hors corbeille.</w:t>
      </w:r>
    </w:p>
    <w:p>
      <w:pPr>
        <w:spacing w:after="200"/>
        <w:ind w:left="454"/>
      </w:pPr>
      <w:r>
        <w:rPr>
          <w:b/>
          <w:sz w:val="19"/>
        </w:rPr>
        <w:t xml:space="preserve">Pourquoi : </w:t>
      </w:r>
      <w:r>
        <w:rPr>
          <w:color w:val="353535"/>
          <w:sz w:val="19"/>
        </w:rPr>
        <w:t>Un chiffre de tableau de bord n’a de sens que s’il désigne une liste que l’utilisateur peut ouvrir et traiter. Compter des étapes qu’on ne peut pas atteindre est une promesse non tenue.</w:t>
      </w:r>
    </w:p>
    <w:p>
      <w:pPr>
        <w:spacing w:after="40"/>
      </w:pPr>
      <w:r>
        <w:rPr>
          <w:b/>
        </w:rPr>
        <w:t xml:space="preserve">R11. </w:t>
      </w:r>
      <w:r>
        <w:rPr>
          <w:b/>
        </w:rPr>
        <w:t>« Mon activité récente » ne présente que les décisions déjà prises</w:t>
      </w:r>
      <w:r>
        <w:rPr>
          <w:b w:val="0"/>
        </w:rPr>
        <w:t>, triées sur la date de décision.</w:t>
      </w:r>
    </w:p>
    <w:p>
      <w:pPr>
        <w:spacing w:after="200"/>
        <w:ind w:left="454"/>
      </w:pPr>
      <w:r>
        <w:rPr>
          <w:b/>
          <w:sz w:val="19"/>
        </w:rPr>
        <w:t xml:space="preserve">Pourquoi : </w:t>
      </w:r>
      <w:r>
        <w:rPr>
          <w:color w:val="353535"/>
          <w:sz w:val="19"/>
        </w:rPr>
        <w:t>Une étape encore en attente n’est pas de l’activité passée : elle a sa place dans « À valider », pas dans un historique.</w:t>
      </w:r>
    </w:p>
    <w:p>
      <w:pPr>
        <w:spacing w:after="40"/>
      </w:pPr>
      <w:r>
        <w:rPr>
          <w:b/>
        </w:rPr>
        <w:t xml:space="preserve">R12. </w:t>
      </w:r>
      <w:r>
        <w:rPr>
          <w:b/>
        </w:rPr>
        <w:t>Les listes d’aperçu sont triées à la source, pas après découpage.</w:t>
      </w:r>
    </w:p>
    <w:p>
      <w:pPr>
        <w:spacing w:after="200"/>
        <w:ind w:left="454"/>
      </w:pPr>
      <w:r>
        <w:rPr>
          <w:b/>
          <w:sz w:val="19"/>
        </w:rPr>
        <w:t xml:space="preserve">Pourquoi : </w:t>
      </w:r>
      <w:r>
        <w:rPr>
          <w:color w:val="353535"/>
          <w:sz w:val="19"/>
        </w:rPr>
        <w:t>Trier une liste déjà réduite donnerait « les six premiers documents, remis dans l’ordre » et non « les six derniers déposés » — deux choses différentes, et une seule est utile.</w:t>
      </w:r>
    </w:p>
    <w:p>
      <w:pPr>
        <w:spacing w:after="40"/>
      </w:pPr>
      <w:r>
        <w:rPr>
          <w:b/>
        </w:rPr>
        <w:t xml:space="preserve">R13. </w:t>
      </w:r>
      <w:r>
        <w:rPr>
          <w:b/>
        </w:rPr>
        <w:t>La répartition par type porte sur l’ensemble du fonds</w:t>
      </w:r>
      <w:r>
        <w:rPr>
          <w:b w:val="0"/>
        </w:rPr>
        <w:t>, pas sur un échantillon.</w:t>
      </w:r>
    </w:p>
    <w:p>
      <w:pPr>
        <w:spacing w:after="200"/>
        <w:ind w:left="454"/>
      </w:pPr>
      <w:r>
        <w:rPr>
          <w:b/>
          <w:sz w:val="19"/>
        </w:rPr>
        <w:t xml:space="preserve">Pourquoi : </w:t>
      </w:r>
      <w:r>
        <w:rPr>
          <w:color w:val="353535"/>
          <w:sz w:val="19"/>
        </w:rPr>
        <w:t>Une répartition calculée sur les deux cents derniers documents n’est pas une répartition. Les documents sans type sont regroupés sous « Sans type » plutôt qu’écartés, afin que le total retombe sur celui de la tuile « Documents ».</w:t>
      </w:r>
    </w:p>
    <w:p>
      <w:pPr>
        <w:spacing w:after="40"/>
      </w:pPr>
      <w:r>
        <w:rPr>
          <w:b/>
        </w:rPr>
        <w:t xml:space="preserve">R14. </w:t>
      </w:r>
      <w:r>
        <w:rPr>
          <w:b/>
        </w:rPr>
        <w:t>Les journées sans dépôt sont conservées dans la courbe, à zéro.</w:t>
      </w:r>
    </w:p>
    <w:p>
      <w:pPr>
        <w:spacing w:after="200"/>
        <w:ind w:left="454"/>
      </w:pPr>
      <w:r>
        <w:rPr>
          <w:b/>
          <w:sz w:val="19"/>
        </w:rPr>
        <w:t xml:space="preserve">Pourquoi : </w:t>
      </w:r>
      <w:r>
        <w:rPr>
          <w:color w:val="353535"/>
          <w:sz w:val="19"/>
        </w:rPr>
        <w:t>Sans elles, sept points étalés sur un mois se liraient comme une activité continue. Les journées vides sont une information.</w:t>
      </w:r>
    </w:p>
    <w:p>
      <w:pPr>
        <w:spacing w:after="40"/>
      </w:pPr>
      <w:r>
        <w:rPr>
          <w:b/>
        </w:rPr>
        <w:t xml:space="preserve">R15. </w:t>
      </w:r>
      <w:r>
        <w:rPr>
          <w:b/>
        </w:rPr>
        <w:t>Les dates de moins d’une semaine sont exprimées en ancienneté</w:t>
      </w:r>
      <w:r>
        <w:rPr>
          <w:b w:val="0"/>
        </w:rPr>
        <w:t xml:space="preserve"> (« à l’instant », « il y a 12 min », « il y a 3 h », « il y a 4 j ») ; au-delà, la date est affichée.</w:t>
      </w:r>
    </w:p>
    <w:p>
      <w:pPr>
        <w:spacing w:after="200"/>
        <w:ind w:left="454"/>
      </w:pPr>
      <w:r>
        <w:rPr>
          <w:b/>
          <w:sz w:val="19"/>
        </w:rPr>
        <w:t xml:space="preserve">Pourquoi : </w:t>
      </w:r>
      <w:r>
        <w:rPr>
          <w:color w:val="353535"/>
          <w:sz w:val="19"/>
        </w:rPr>
        <w:t>Dans un encart, on cherche à savoir si c’est récent, pas à connaître l’horodatage exact. Passé une semaine, l’ancienneté relative devient floue et la date redevient plus parlante.</w:t>
      </w:r>
    </w:p>
    <w:p>
      <w:pPr>
        <w:spacing w:after="40"/>
      </w:pPr>
      <w:r>
        <w:rPr>
          <w:b/>
        </w:rPr>
        <w:t xml:space="preserve">R16. </w:t>
      </w:r>
      <w:r>
        <w:rPr>
          <w:b/>
        </w:rPr>
        <w:t>Une décision prise depuis l’accueil a exactement le même effet qu’une décision prise dans l’écran des signatures.</w:t>
      </w:r>
    </w:p>
    <w:p>
      <w:pPr>
        <w:spacing w:after="200"/>
        <w:ind w:left="454"/>
      </w:pPr>
      <w:r>
        <w:rPr>
          <w:b/>
          <w:sz w:val="19"/>
        </w:rPr>
        <w:t xml:space="preserve">Pourquoi : </w:t>
      </w:r>
      <w:r>
        <w:rPr>
          <w:color w:val="353535"/>
          <w:sz w:val="19"/>
        </w:rPr>
        <w:t>L’accueil n’est pas un raccourci dégradé. Deux chemins qui n’aboutiraient pas au même état obligeraient à documenter lequel fait foi.</w:t>
      </w:r>
    </w:p>
    <w:p>
      <w:pPr>
        <w:pStyle w:val="Heading1"/>
      </w:pPr>
      <w:r>
        <w:t>7. Les contrôles et les refus</w:t>
      </w:r>
    </w:p>
    <w:p>
      <w:r>
        <w:rPr>
          <w:i w:val="0"/>
        </w:rPr>
        <w:t>L’accueil ne comporte pas de saisie métier : il n’y a donc pas de contrôle de validité au sens des écrans de paramétrage. Les situations ci-dessous sont celles où l’écran refuse d’afficher un contenu, ou informe d’une absence.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Un encart interroge encore ses données</w:t>
            </w:r>
          </w:p>
        </w:tc>
        <w:tc>
          <w:tcPr>
            <w:tcW w:type="dxa" w:w="3213"/>
          </w:tcPr>
          <w:p>
            <w:pPr>
              <w:spacing w:after="40"/>
            </w:pPr>
            <w:r>
              <w:rPr>
                <w:b w:val="0"/>
                <w:sz w:val="18"/>
              </w:rPr>
              <w:t>Chargement…</w:t>
            </w:r>
          </w:p>
        </w:tc>
        <w:tc>
          <w:tcPr>
            <w:tcW w:type="dxa" w:w="3213"/>
          </w:tcPr>
          <w:p>
            <w:pPr>
              <w:spacing w:after="40"/>
            </w:pPr>
            <w:r>
              <w:rPr>
                <w:b w:val="0"/>
                <w:sz w:val="18"/>
              </w:rPr>
              <w:t>Le corps de l’encart est remplacé par cette mention ; les autres encarts restent utilisables</w:t>
            </w:r>
          </w:p>
        </w:tc>
      </w:tr>
      <w:tr>
        <w:tc>
          <w:tcPr>
            <w:tcW w:type="dxa" w:w="3213"/>
          </w:tcPr>
          <w:p>
            <w:pPr>
              <w:spacing w:after="40"/>
            </w:pPr>
            <w:r>
              <w:rPr>
                <w:b w:val="0"/>
                <w:sz w:val="18"/>
              </w:rPr>
              <w:t>Aucune étape n’attend la personne connectée</w:t>
            </w:r>
          </w:p>
        </w:tc>
        <w:tc>
          <w:tcPr>
            <w:tcW w:type="dxa" w:w="3213"/>
          </w:tcPr>
          <w:p>
            <w:pPr>
              <w:spacing w:after="40"/>
            </w:pPr>
            <w:r>
              <w:rPr>
                <w:b w:val="0"/>
                <w:sz w:val="18"/>
              </w:rPr>
              <w:t>Vous êtes à jour — Aucun document n’attend votre signature.</w:t>
            </w:r>
          </w:p>
        </w:tc>
        <w:tc>
          <w:tcPr>
            <w:tcW w:type="dxa" w:w="3213"/>
          </w:tcPr>
          <w:p>
            <w:pPr>
              <w:spacing w:after="40"/>
            </w:pPr>
            <w:r>
              <w:rPr>
                <w:b w:val="0"/>
                <w:sz w:val="18"/>
              </w:rPr>
              <w:t>L’encart « À valider » ne porte plus de compteur ; rien n’est à faire</w:t>
            </w:r>
          </w:p>
        </w:tc>
      </w:tr>
      <w:tr>
        <w:tc>
          <w:tcPr>
            <w:tcW w:type="dxa" w:w="3213"/>
          </w:tcPr>
          <w:p>
            <w:pPr>
              <w:spacing w:after="40"/>
            </w:pPr>
            <w:r>
              <w:rPr>
                <w:b w:val="0"/>
                <w:sz w:val="18"/>
              </w:rPr>
              <w:t>Aucun document n’a encore été déposé</w:t>
            </w:r>
          </w:p>
        </w:tc>
        <w:tc>
          <w:tcPr>
            <w:tcW w:type="dxa" w:w="3213"/>
          </w:tcPr>
          <w:p>
            <w:pPr>
              <w:spacing w:after="40"/>
            </w:pPr>
            <w:r>
              <w:rPr>
                <w:b w:val="0"/>
                <w:sz w:val="18"/>
              </w:rPr>
              <w:t>Aucun document — Rien n’a encore été déposé.</w:t>
            </w:r>
          </w:p>
        </w:tc>
        <w:tc>
          <w:tcPr>
            <w:tcW w:type="dxa" w:w="3213"/>
          </w:tcPr>
          <w:p>
            <w:pPr>
              <w:spacing w:after="40"/>
            </w:pPr>
            <w:r>
              <w:rPr>
                <w:b w:val="0"/>
                <w:sz w:val="18"/>
              </w:rPr>
              <w:t>Invitation implicite à passer par le dépôt</w:t>
            </w:r>
          </w:p>
        </w:tc>
      </w:tr>
      <w:tr>
        <w:tc>
          <w:tcPr>
            <w:tcW w:type="dxa" w:w="3213"/>
          </w:tcPr>
          <w:p>
            <w:pPr>
              <w:spacing w:after="40"/>
            </w:pPr>
            <w:r>
              <w:rPr>
                <w:b w:val="0"/>
                <w:sz w:val="18"/>
              </w:rPr>
              <w:t>Aucune décision n’a encore été prise</w:t>
            </w:r>
          </w:p>
        </w:tc>
        <w:tc>
          <w:tcPr>
            <w:tcW w:type="dxa" w:w="3213"/>
          </w:tcPr>
          <w:p>
            <w:pPr>
              <w:spacing w:after="40"/>
            </w:pPr>
            <w:r>
              <w:rPr>
                <w:b w:val="0"/>
                <w:sz w:val="18"/>
              </w:rPr>
              <w:t>Rien à afficher — Vos décisions apparaîtront ici.</w:t>
            </w:r>
          </w:p>
        </w:tc>
        <w:tc>
          <w:tcPr>
            <w:tcW w:type="dxa" w:w="3213"/>
          </w:tcPr>
          <w:p>
            <w:pPr>
              <w:spacing w:after="40"/>
            </w:pPr>
            <w:r>
              <w:rPr>
                <w:b w:val="0"/>
                <w:sz w:val="18"/>
              </w:rPr>
              <w:t>L’historique se remplira au fil des signatures</w:t>
            </w:r>
          </w:p>
        </w:tc>
      </w:tr>
      <w:tr>
        <w:tc>
          <w:tcPr>
            <w:tcW w:type="dxa" w:w="3213"/>
          </w:tcPr>
          <w:p>
            <w:pPr>
              <w:spacing w:after="40"/>
            </w:pPr>
            <w:r>
              <w:rPr>
                <w:b w:val="0"/>
                <w:sz w:val="18"/>
              </w:rPr>
              <w:t>Aucun espace de travail n’existe</w:t>
            </w:r>
          </w:p>
        </w:tc>
        <w:tc>
          <w:tcPr>
            <w:tcW w:type="dxa" w:w="3213"/>
          </w:tcPr>
          <w:p>
            <w:pPr>
              <w:spacing w:after="40"/>
            </w:pPr>
            <w:r>
              <w:rPr>
                <w:b w:val="0"/>
                <w:sz w:val="18"/>
              </w:rPr>
              <w:t>Aucun espace — Créez un espace pour ranger vos documents.</w:t>
            </w:r>
          </w:p>
        </w:tc>
        <w:tc>
          <w:tcPr>
            <w:tcW w:type="dxa" w:w="3213"/>
          </w:tcPr>
          <w:p>
            <w:pPr>
              <w:spacing w:after="40"/>
            </w:pPr>
            <w:r>
              <w:rPr>
                <w:b w:val="0"/>
                <w:sz w:val="18"/>
              </w:rPr>
              <w:t>Indique l’étape de paramétrage manquante</w:t>
            </w:r>
          </w:p>
        </w:tc>
      </w:tr>
      <w:tr>
        <w:tc>
          <w:tcPr>
            <w:tcW w:type="dxa" w:w="3213"/>
          </w:tcPr>
          <w:p>
            <w:pPr>
              <w:spacing w:after="40"/>
            </w:pPr>
            <w:r>
              <w:rPr>
                <w:b w:val="0"/>
                <w:sz w:val="18"/>
              </w:rPr>
              <w:t>Aucun document, donc aucune répartition</w:t>
            </w:r>
          </w:p>
        </w:tc>
        <w:tc>
          <w:tcPr>
            <w:tcW w:type="dxa" w:w="3213"/>
          </w:tcPr>
          <w:p>
            <w:pPr>
              <w:spacing w:after="40"/>
            </w:pPr>
            <w:r>
              <w:rPr>
                <w:b w:val="0"/>
                <w:sz w:val="18"/>
              </w:rPr>
              <w:t>Aucun document — La répartition apparaîtra dès le premier dépôt.</w:t>
            </w:r>
          </w:p>
        </w:tc>
        <w:tc>
          <w:tcPr>
            <w:tcW w:type="dxa" w:w="3213"/>
          </w:tcPr>
          <w:p>
            <w:pPr>
              <w:spacing w:after="40"/>
            </w:pPr>
            <w:r>
              <w:rPr>
                <w:b w:val="0"/>
                <w:sz w:val="18"/>
              </w:rPr>
              <w:t>Distingue « rien à mesurer » de « mesure indisponible »</w:t>
            </w:r>
          </w:p>
        </w:tc>
      </w:tr>
      <w:tr>
        <w:tc>
          <w:tcPr>
            <w:tcW w:type="dxa" w:w="3213"/>
          </w:tcPr>
          <w:p>
            <w:pPr>
              <w:spacing w:after="40"/>
            </w:pPr>
            <w:r>
              <w:rPr>
                <w:b w:val="0"/>
                <w:sz w:val="18"/>
              </w:rPr>
              <w:t>La disposition ne peut pas être enregistrée (stockage du navigateur refusé)</w:t>
            </w:r>
          </w:p>
        </w:tc>
        <w:tc>
          <w:tcPr>
            <w:tcW w:type="dxa" w:w="3213"/>
          </w:tcPr>
          <w:p>
            <w:pPr>
              <w:spacing w:after="40"/>
            </w:pPr>
            <w:r>
              <w:rPr>
                <w:b w:val="0"/>
                <w:sz w:val="18"/>
              </w:rPr>
              <w:t>Aucun message</w:t>
            </w:r>
          </w:p>
        </w:tc>
        <w:tc>
          <w:tcPr>
            <w:tcW w:type="dxa" w:w="3213"/>
          </w:tcPr>
          <w:p>
            <w:pPr>
              <w:spacing w:after="40"/>
            </w:pPr>
            <w:r>
              <w:rPr>
                <w:b w:val="0"/>
                <w:sz w:val="18"/>
              </w:rPr>
              <w:t>Le réglage vaut pour la session en cours et sera oublié ensuite ; échouer bruyamment sur un réglage d’affichage serait disproportionné</w:t>
            </w:r>
          </w:p>
        </w:tc>
      </w:tr>
      <w:tr>
        <w:tc>
          <w:tcPr>
            <w:tcW w:type="dxa" w:w="3213"/>
          </w:tcPr>
          <w:p>
            <w:pPr>
              <w:spacing w:after="40"/>
            </w:pPr>
            <w:r>
              <w:rPr>
                <w:b w:val="0"/>
                <w:sz w:val="18"/>
              </w:rPr>
              <w:t>La disposition courante est identique à celle d’origine</w:t>
            </w:r>
          </w:p>
        </w:tc>
        <w:tc>
          <w:tcPr>
            <w:tcW w:type="dxa" w:w="3213"/>
          </w:tcPr>
          <w:p>
            <w:pPr>
              <w:spacing w:after="40"/>
            </w:pPr>
            <w:r>
              <w:rPr>
                <w:b w:val="0"/>
                <w:sz w:val="18"/>
              </w:rPr>
              <w:t>Aucun message ; le bouton « Disposition par défaut » est inactif</w:t>
            </w:r>
          </w:p>
        </w:tc>
        <w:tc>
          <w:tcPr>
            <w:tcW w:type="dxa" w:w="3213"/>
          </w:tcPr>
          <w:p>
            <w:pPr>
              <w:spacing w:after="40"/>
            </w:pPr>
            <w:r>
              <w:rPr>
                <w:b w:val="0"/>
                <w:sz w:val="18"/>
              </w:rPr>
              <w:t>Rien à annuler</w:t>
            </w:r>
          </w:p>
        </w:tc>
      </w:tr>
      <w:tr>
        <w:tc>
          <w:tcPr>
            <w:tcW w:type="dxa" w:w="3213"/>
          </w:tcPr>
          <w:p>
            <w:pPr>
              <w:spacing w:after="40"/>
            </w:pPr>
            <w:r>
              <w:rPr>
                <w:b w:val="0"/>
                <w:sz w:val="18"/>
              </w:rPr>
              <w:t>Les données d’un encart ne peuvent pas être obtenues</w:t>
            </w:r>
          </w:p>
        </w:tc>
        <w:tc>
          <w:tcPr>
            <w:tcW w:type="dxa" w:w="3213"/>
          </w:tcPr>
          <w:p>
            <w:pPr>
              <w:spacing w:after="40"/>
            </w:pPr>
            <w:r>
              <w:rPr>
                <w:b w:val="0"/>
                <w:sz w:val="18"/>
              </w:rPr>
              <w:t>Aucun message</w:t>
            </w:r>
          </w:p>
        </w:tc>
        <w:tc>
          <w:tcPr>
            <w:tcW w:type="dxa" w:w="3213"/>
          </w:tcPr>
          <w:p>
            <w:pPr>
              <w:spacing w:after="40"/>
            </w:pPr>
            <w:r>
              <w:rPr>
                <w:b w:val="0"/>
                <w:sz w:val="18"/>
              </w:rPr>
              <w:t>L’encart cesse d’afficher « Chargement… » et présente son état vide — voir la section 10</w:t>
            </w:r>
          </w:p>
        </w:tc>
      </w:tr>
    </w:tbl>
    <w:p/>
    <w:p>
      <w:pPr>
        <w:pStyle w:val="Heading1"/>
      </w:pPr>
      <w:r>
        <w:t>8. Les cas particuliers</w:t>
      </w:r>
    </w:p>
    <w:p>
      <w:pPr>
        <w:pStyle w:val="Heading3"/>
      </w:pPr>
      <w:r>
        <w:t>8.1 Les préférences d’affichage sont locales au poste</w:t>
      </w:r>
    </w:p>
    <w:p>
      <w:r>
        <w:rPr>
          <w:i w:val="0"/>
        </w:rPr>
        <w:t>La disposition est conservée dans le navigateur, associée à la personne connectée. Conséquence : la même personne retrouvera une disposition différente sur un autre ordinateur, ou dans un autre navigateur du même ordinateur. Il ne faut pas laisser croire l’inverse en présentant ce réglage comme un « profil ».</w:t>
      </w:r>
    </w:p>
    <w:p>
      <w:pPr>
        <w:pStyle w:val="Heading3"/>
      </w:pPr>
      <w:r>
        <w:t>8.2 Deux échelles dans la répartition par type</w:t>
      </w:r>
    </w:p>
    <w:p>
      <w:r>
        <w:rPr>
          <w:i w:val="0"/>
        </w:rPr>
        <w:t>Le pourcentage affiché est calculé sur le total réel des documents ; la longueur de la barre, elle, est calée sur la part la plus fournie, à laquelle est attribuée la pleine largeur. Ce choix est délibéré : une barre strictement proportionnelle au total produirait, pour une part de quatre pour cent, un trait invisible. Il faut donc lire les chiffres, et se servir des barres pour comparer les types entre eux.</w:t>
      </w:r>
    </w:p>
    <w:p>
      <w:pPr>
        <w:pStyle w:val="Heading3"/>
      </w:pPr>
      <w:r>
        <w:t>8.3 Les types au-delà du cinquième</w:t>
      </w:r>
    </w:p>
    <w:p>
      <w:r>
        <w:rPr>
          <w:i w:val="0"/>
        </w:rPr>
        <w:t>Seuls les cinq types les plus fournis sont détaillés. Les suivants sont annoncés par une mention « + N autres types » plutôt que passés sous silence : le lecteur sait ainsi que la liste n’est pas exhaustive.</w:t>
      </w:r>
    </w:p>
    <w:p>
      <w:pPr>
        <w:pStyle w:val="Heading3"/>
      </w:pPr>
      <w:r>
        <w:t>8.4 Les journées à zéro dans l’histogramme</w:t>
      </w:r>
    </w:p>
    <w:p>
      <w:r>
        <w:rPr>
          <w:i w:val="0"/>
        </w:rPr>
        <w:t>Une colonne de hauteur nulle disparaîtrait, et l’on ne distinguerait plus « aucun dépôt ce jour-là » de « pas de donnée pour ce jour ». Les journées vides conservent donc une amorce visible de quelques pour cent.</w:t>
      </w:r>
    </w:p>
    <w:p>
      <w:pPr>
        <w:pStyle w:val="Heading3"/>
      </w:pPr>
      <w:r>
        <w:t>8.5 La fenêtre des dépôts est bornée</w:t>
      </w:r>
    </w:p>
    <w:p>
      <w:r>
        <w:rPr>
          <w:i w:val="0"/>
        </w:rPr>
        <w:t>L’encart demande trente jours. La fenêtre acceptée par le calcul est comprise entre sept et cent quatre-vingts jours : une demande hors de ces bornes est ramenée à la borne la plus proche. Ce point n’est pas visible à l’écran, mais il conditionne toute évolution future de cet encart.</w:t>
      </w:r>
    </w:p>
    <w:p>
      <w:pPr>
        <w:pStyle w:val="Heading3"/>
      </w:pPr>
      <w:r>
        <w:t>8.6 L’état d’un espace n’est signalé que s’il sort de l’ordinaire</w:t>
      </w:r>
    </w:p>
    <w:p>
      <w:r>
        <w:rPr>
          <w:i w:val="0"/>
        </w:rPr>
        <w:t>Dans l’encart « Espaces de travail », la mention « Inactif » ou « Archivé » n’apparaît que pour les dossiers concernés. Les dossiers actifs ne portent aucune mention : marquer « Actif » sur la quasi-totalité des lignes ne distinguerait rien.</w:t>
      </w:r>
    </w:p>
    <w:p>
      <w:pPr>
        <w:pStyle w:val="Heading3"/>
      </w:pPr>
      <w:r>
        <w:t>8.7 Une date à venir</w:t>
      </w:r>
    </w:p>
    <w:p>
      <w:r>
        <w:rPr>
          <w:i w:val="0"/>
        </w:rPr>
        <w:t>Si l’horloge du poste est en avance sur celle du service, une date pourrait apparaître dans le futur. L’affichage bascule alors sur la date plutôt que sur une ancienneté négative, qui n’aurait aucun sens.</w:t>
      </w:r>
    </w:p>
    <w:p>
      <w:pPr>
        <w:pStyle w:val="Heading3"/>
      </w:pPr>
      <w:r>
        <w:t>8.8 Le lien du titre change d’un encart à l’autre</w:t>
      </w:r>
    </w:p>
    <w:p>
      <w:r>
        <w:rPr>
          <w:i w:val="0"/>
        </w:rPr>
        <w:t>Le lien du coin supérieur droit s’intitule « Tout voir » dans la plupart des encarts, mais « Historique » dans « Mon activité récente ». Les deux conduisent à l’écran des signatures, sur des vues différentes de celui-ci.</w:t>
      </w:r>
    </w:p>
    <w:p>
      <w:pPr>
        <w:pStyle w:val="Heading1"/>
      </w:pPr>
      <w:r>
        <w:t>9. Enchaînement avec les autres interfaces</w:t>
      </w:r>
    </w:p>
    <w:p>
      <w:pPr>
        <w:pStyle w:val="Heading2"/>
      </w:pPr>
      <w:r>
        <w:t>9.1 En amont</w:t>
      </w:r>
    </w:p>
    <w:p>
      <w:pPr>
        <w:pStyle w:val="ListBullet"/>
      </w:pPr>
      <w:r>
        <w:rPr>
          <w:b/>
        </w:rPr>
        <w:t>La connexion</w:t>
      </w:r>
      <w:r>
        <w:rPr>
          <w:b w:val="0"/>
        </w:rPr>
        <w:t>, sans laquelle l’accueil n’est pas atteignable, et qui fournit l’identité employée par les encarts personnels.</w:t>
      </w:r>
    </w:p>
    <w:p>
      <w:pPr>
        <w:pStyle w:val="ListBullet"/>
      </w:pPr>
      <w:r>
        <w:rPr>
          <w:b/>
        </w:rPr>
        <w:t>Les espaces de travail</w:t>
      </w:r>
      <w:r>
        <w:rPr>
          <w:b w:val="0"/>
        </w:rPr>
        <w:t>, sans lesquels la tuile « Dossiers actifs » et l’encart correspondant restent à zéro.</w:t>
      </w:r>
    </w:p>
    <w:p>
      <w:pPr>
        <w:pStyle w:val="ListBullet"/>
      </w:pPr>
      <w:r>
        <w:rPr>
          <w:b/>
        </w:rPr>
        <w:t>Les règles de workflow</w:t>
      </w:r>
      <w:r>
        <w:rPr>
          <w:b w:val="0"/>
        </w:rPr>
        <w:t>, indirectement : sans circuit rattaché aux espaces, aucun document ne produit d’étape à valider, et l’encart « À valider » reste éternellement vide.</w:t>
      </w:r>
    </w:p>
    <w:p>
      <w:pPr>
        <w:pStyle w:val="ListBullet"/>
      </w:pPr>
      <w:r>
        <w:rPr>
          <w:b/>
        </w:rPr>
        <w:t>Les types de document et la chaîne d’indexation</w:t>
      </w:r>
      <w:r>
        <w:rPr>
          <w:b w:val="0"/>
        </w:rPr>
        <w:t>, sans lesquels aucun dépôt n’est possible, donc aucune répartition ni aucune courbe.</w:t>
      </w:r>
    </w:p>
    <w:p>
      <w:pPr>
        <w:pStyle w:val="ListBullet"/>
      </w:pPr>
      <w:r>
        <w:rPr>
          <w:b/>
        </w:rPr>
        <w:t>Le dépôt de documents</w:t>
      </w:r>
      <w:r>
        <w:rPr>
          <w:b w:val="0"/>
        </w:rPr>
        <w:t>, qui alimente les documents récents, la répartition et la courbe des trente jours.</w:t>
      </w:r>
    </w:p>
    <w:p>
      <w:pPr>
        <w:pStyle w:val="ListBullet"/>
      </w:pPr>
      <w:r>
        <w:rPr>
          <w:b/>
        </w:rPr>
        <w:t>Les groupes d’accès</w:t>
      </w:r>
      <w:r>
        <w:rPr>
          <w:b w:val="0"/>
        </w:rPr>
        <w:t>, pour la seule tuile qui les compte.</w:t>
      </w:r>
    </w:p>
    <w:p>
      <w:pPr>
        <w:pStyle w:val="Heading2"/>
      </w:pPr>
      <w:r>
        <w:t>9.2 En aval</w:t>
      </w:r>
    </w:p>
    <w:p>
      <w:pPr>
        <w:pStyle w:val="ListBullet"/>
      </w:pPr>
      <w:r>
        <w:rPr>
          <w:b/>
        </w:rPr>
        <w:t>Mes workflow</w:t>
      </w:r>
      <w:r>
        <w:rPr>
          <w:b w:val="0"/>
        </w:rPr>
        <w:t xml:space="preserve"> : destination de l’encart « À valider », de la tuile « En attente de signature » et du lien « Historique ».</w:t>
      </w:r>
    </w:p>
    <w:p>
      <w:pPr>
        <w:pStyle w:val="ListBullet"/>
      </w:pPr>
      <w:r>
        <w:rPr>
          <w:b/>
        </w:rPr>
        <w:t>Espaces de travail</w:t>
      </w:r>
      <w:r>
        <w:rPr>
          <w:b w:val="0"/>
        </w:rPr>
        <w:t xml:space="preserve">, </w:t>
      </w:r>
      <w:r>
        <w:rPr>
          <w:b/>
        </w:rPr>
        <w:t>Documents</w:t>
      </w:r>
      <w:r>
        <w:rPr>
          <w:b w:val="0"/>
        </w:rPr>
        <w:t xml:space="preserve">, </w:t>
      </w:r>
      <w:r>
        <w:rPr>
          <w:b/>
        </w:rPr>
        <w:t>Groupe d’accès</w:t>
      </w:r>
      <w:r>
        <w:rPr>
          <w:b w:val="0"/>
        </w:rPr>
        <w:t xml:space="preserve">, </w:t>
      </w:r>
      <w:r>
        <w:rPr>
          <w:b/>
        </w:rPr>
        <w:t>Index</w:t>
      </w:r>
      <w:r>
        <w:rPr>
          <w:b w:val="0"/>
        </w:rPr>
        <w:t xml:space="preserve"> : destinations des tuiles et des raccourcis.</w:t>
      </w:r>
    </w:p>
    <w:p>
      <w:pPr>
        <w:pStyle w:val="ListBullet"/>
      </w:pPr>
      <w:r>
        <w:rPr>
          <w:b/>
        </w:rPr>
        <w:t>Le menu supérieur</w:t>
      </w:r>
      <w:r>
        <w:rPr>
          <w:b w:val="0"/>
        </w:rPr>
        <w:t xml:space="preserve"> : la pastille d’étapes en attente qu’il porte est calculée sur la même définition que les compteurs de l’accueil ; elle est recomptée à chaque changement d’écran et après chaque décision.</w:t>
      </w:r>
    </w:p>
    <w:p>
      <w:r>
        <w:rPr>
          <w:i w:val="0"/>
        </w:rPr>
        <w:t>L’accueil n’est le préalable d’aucun autre écran : rien ne dépend de lui pour fonctionner. C’est un point d’observation et un point de départ, pas une étape obligatoire.</w:t>
      </w:r>
    </w:p>
    <w:p>
      <w:pPr>
        <w:pStyle w:val="Heading1"/>
      </w:pPr>
      <w:r>
        <w:t>10. Points de vigilance</w:t>
      </w:r>
    </w:p>
    <w:p>
      <w:pPr>
        <w:pStyle w:val="Heading3"/>
      </w:pPr>
      <w:r>
        <w:t>10.1 La décision ne se prend pas dans l’encart</w:t>
      </w:r>
    </w:p>
    <w:p>
      <w:r>
        <w:rPr>
          <w:i w:val="0"/>
        </w:rPr>
        <w:t>C’est l’écart le plus visible entre la consigne d’origine et le produit livré. La consigne prévoyait des boutons « Signer » et « Rejeter » directement dans l’encart « À valider », avec confirmation nommant le document et l’étape, et saisie d’un motif obligatoire en cas de refus. Le produit propose à la place un lien « Traiter » qui conduit à l’écran des signatures.</w:t>
      </w:r>
    </w:p>
    <w:p>
      <w:r>
        <w:rPr>
          <w:i w:val="0"/>
        </w:rPr>
        <w:t>Conséquences pratiques : aucun motif de rejet n’est saisi depuis l’accueil, aucune confirmation n’y est présentée, et le nombre de gestes pour traiter une étape est supérieur d’un clic. Le résultat métier, lui, est strictement identique. Ce point doit être arbitré explicitement avec le client : soit la consigne évolue, soit l’encart est complété.</w:t>
      </w:r>
    </w:p>
    <w:p>
      <w:pPr>
        <w:pStyle w:val="Heading3"/>
      </w:pPr>
      <w:r>
        <w:t>10.2 « Dossiers actifs » ne compte pas que les dossiers actifs</w:t>
      </w:r>
    </w:p>
    <w:p>
      <w:r>
        <w:rPr>
          <w:i w:val="0"/>
        </w:rPr>
        <w:t>La tuile compte tous les espaces de travail hors corbeille, y compris ceux dont le statut est « Inactif » ou « Archivé ». Son libellé peut donc induire en erreur lors d’un rapprochement de chiffres : un lecteur qui filtrerait la liste des espaces sur le statut « Actif » obtiendrait un nombre inférieur. La formulation exacte est « dossiers non supprimés ».</w:t>
      </w:r>
    </w:p>
    <w:p>
      <w:pPr>
        <w:pStyle w:val="Heading3"/>
      </w:pPr>
      <w:r>
        <w:t>10.3 Quatre tuiles, deux portées différentes</w:t>
      </w:r>
    </w:p>
    <w:p>
      <w:r>
        <w:rPr>
          <w:i w:val="0"/>
        </w:rPr>
        <w:t>Trois tuiles décrivent le fonds documentaire dans son ensemble — dossiers, documents, groupes. La quatrième, « En attente de signature », décrit uniquement la file de la personne connectée. Cette différence de portée n’est pas indiquée à l’écran. Comme il n’existe qu’un seul compte, elle est aujourd’hui sans conséquence pratique ; elle le deviendrait immédiatement si le produit venait à admettre plusieurs comptes.</w:t>
      </w:r>
    </w:p>
    <w:p>
      <w:pPr>
        <w:pStyle w:val="Heading3"/>
      </w:pPr>
      <w:r>
        <w:t>10.4 Un encart en échec reste silencieusement vide</w:t>
      </w:r>
    </w:p>
    <w:p>
      <w:r>
        <w:rPr>
          <w:i w:val="0"/>
        </w:rPr>
        <w:t>Si les données d’un encart ne peuvent pas être obtenues, l’encart cesse simplement d’attendre et présente son état vide. Rien ne distingue alors « il n’y a rien à montrer » de « la mesure n’a pas pu être faite ». Un utilisateur pourrait en conclure à tort qu’aucun document n’a été déposé. C’est un point à surveiller en recette, en particulier lors des essais avec un service arrêté.</w:t>
      </w:r>
    </w:p>
    <w:p>
      <w:pPr>
        <w:pStyle w:val="Heading3"/>
      </w:pPr>
      <w:r>
        <w:t>10.5 Ce que l’accueil ne fait pas</w:t>
      </w:r>
    </w:p>
    <w:p>
      <w:pPr>
        <w:pStyle w:val="ListBullet"/>
      </w:pPr>
      <w:r>
        <w:rPr>
          <w:b w:val="0"/>
        </w:rPr>
        <w:t>Il ne permet aucune recherche : il n’y a pas de champ de recherche global.</w:t>
      </w:r>
    </w:p>
    <w:p>
      <w:pPr>
        <w:pStyle w:val="ListBullet"/>
      </w:pPr>
      <w:r>
        <w:rPr>
          <w:b w:val="0"/>
        </w:rPr>
        <w:t>Il n’offre aucun filtre — ni par période, ni par espace, ni par type.</w:t>
      </w:r>
    </w:p>
    <w:p>
      <w:pPr>
        <w:pStyle w:val="ListBullet"/>
      </w:pPr>
      <w:r>
        <w:rPr>
          <w:b w:val="0"/>
        </w:rPr>
        <w:t>Il ne permet pas de choisir la fenêtre de la courbe des dépôts, fixée à trente jours.</w:t>
      </w:r>
    </w:p>
    <w:p>
      <w:pPr>
        <w:pStyle w:val="ListBullet"/>
      </w:pPr>
      <w:r>
        <w:rPr>
          <w:b w:val="0"/>
        </w:rPr>
        <w:t>Il ne présente aucun journal général des actions de l’application : l’historique proposé est celui des seules décisions de la personne connectée.</w:t>
      </w:r>
    </w:p>
    <w:p>
      <w:pPr>
        <w:pStyle w:val="ListBullet"/>
      </w:pPr>
      <w:r>
        <w:rPr>
          <w:b w:val="0"/>
        </w:rPr>
        <w:t>Il n’envoie aucune notification et n’émet aucune alerte : c’est un écran que l’on consulte, pas un écran qui sollicite.</w:t>
      </w:r>
    </w:p>
    <w:p>
      <w:pPr>
        <w:pStyle w:val="ListBullet"/>
      </w:pPr>
      <w:r>
        <w:rPr>
          <w:b w:val="0"/>
        </w:rPr>
        <w:t>Il ne redimensionne pas les encarts : leur largeur est fixée par le produit, seul l’ordre et la présence sont réglables.</w:t>
      </w:r>
    </w:p>
    <w:p>
      <w:pPr>
        <w:pStyle w:val="Heading3"/>
      </w:pPr>
      <w:r>
        <w:t>10.6 Ne pas présenter la personnalisation comme un profil</w:t>
      </w:r>
    </w:p>
    <w:p>
      <w:r>
        <w:rPr>
          <w:i w:val="0"/>
        </w:rPr>
        <w:t>Le vocabulaire employé en présentation a des conséquences. Parler de « profil utilisateur » à propos de la personnalisation du tableau de bord amène immanquablement la question des droits et des rôles, qui n’existent pas dans ce produit, et fait naître l’attente d’un réglage qui suivrait la personne d’un poste à l’autre, ce qui n’est pas le cas. On parlera de « disposition du tableau de bord », enregistrée sur le poste.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02 Accueil — volet fonctionnel  —  page </w:t>
    </w:r>
    <w:r>
      <w:rPr>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