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55E"/>
          <w:sz w:val="26"/>
        </w:rPr>
        <w:t>GED Marchica Med</w:t>
      </w:r>
    </w:p>
    <w:p>
      <w:pPr>
        <w:jc w:val="center"/>
      </w:pPr>
      <w:r>
        <w:rPr>
          <w:color w:val="606060"/>
          <w:sz w:val="20"/>
        </w:rPr>
        <w:t>Gestion électronique de documents</w:t>
      </w:r>
    </w:p>
    <w:p/>
    <w:p>
      <w:pPr>
        <w:jc w:val="center"/>
      </w:pPr>
      <w:r>
        <w:rPr>
          <w:b/>
          <w:color w:val="1F355E"/>
          <w:sz w:val="52"/>
        </w:rPr>
        <w:t>Rapport fonctionnel</w:t>
      </w:r>
    </w:p>
    <w:p>
      <w:pPr>
        <w:jc w:val="center"/>
      </w:pPr>
      <w:r>
        <w:rPr>
          <w:color w:val="334466"/>
          <w:sz w:val="28"/>
        </w:rPr>
        <w:t>Interface 05 — Groupes d’accès</w:t>
      </w:r>
    </w:p>
    <w:p/>
    <w:p/>
    <w:p/>
    <w:p/>
    <w:p/>
    <w:p/>
    <w:tbl>
      <w:tblPr>
        <w:tblStyle w:val="LightGrid-Accent1"/>
        <w:tblW w:type="auto" w:w="0"/>
        <w:jc w:val="center"/>
        <w:tblLayout w:type="fixed"/>
        <w:tblLook w:firstColumn="1" w:firstRow="1" w:lastColumn="0" w:lastRow="0" w:noHBand="0" w:noVBand="1" w:val="04A0"/>
      </w:tblPr>
      <w:tblGrid>
        <w:gridCol w:w="4819"/>
        <w:gridCol w:w="4819"/>
      </w:tblGrid>
      <w:tr>
        <w:tc>
          <w:tcPr>
            <w:tcW w:type="dxa" w:w="3118"/>
          </w:tcPr>
          <w:p>
            <w:r>
              <w:rPr>
                <w:b/>
                <w:sz w:val="20"/>
              </w:rPr>
              <w:t>Application</w:t>
            </w:r>
          </w:p>
        </w:tc>
        <w:tc>
          <w:tcPr>
            <w:tcW w:type="dxa" w:w="5386"/>
          </w:tcPr>
          <w:p>
            <w:r>
              <w:rPr>
                <w:sz w:val="20"/>
              </w:rPr>
              <w:t>GED Marchica Med</w:t>
            </w:r>
          </w:p>
        </w:tc>
      </w:tr>
      <w:tr>
        <w:tc>
          <w:tcPr>
            <w:tcW w:type="dxa" w:w="3118"/>
          </w:tcPr>
          <w:p>
            <w:r>
              <w:rPr>
                <w:b/>
                <w:sz w:val="20"/>
              </w:rPr>
              <w:t>Interface décrite</w:t>
            </w:r>
          </w:p>
        </w:tc>
        <w:tc>
          <w:tcPr>
            <w:tcW w:type="dxa" w:w="5386"/>
          </w:tcPr>
          <w:p>
            <w:r>
              <w:rPr>
                <w:sz w:val="20"/>
              </w:rPr>
              <w:t>05 — Groupes d’accès</w:t>
            </w:r>
          </w:p>
        </w:tc>
      </w:tr>
      <w:tr>
        <w:tc>
          <w:tcPr>
            <w:tcW w:type="dxa" w:w="3118"/>
          </w:tcPr>
          <w:p>
            <w:r>
              <w:rPr>
                <w:b/>
                <w:sz w:val="20"/>
              </w:rPr>
              <w:t>Volet</w:t>
            </w:r>
          </w:p>
        </w:tc>
        <w:tc>
          <w:tcPr>
            <w:tcW w:type="dxa" w:w="5386"/>
          </w:tcPr>
          <w:p>
            <w:r>
              <w:rPr>
                <w:sz w:val="20"/>
              </w:rPr>
              <w:t>Volet fonctionnel</w:t>
            </w:r>
          </w:p>
        </w:tc>
      </w:tr>
      <w:tr>
        <w:tc>
          <w:tcPr>
            <w:tcW w:type="dxa" w:w="3118"/>
          </w:tcPr>
          <w:p>
            <w:r>
              <w:rPr>
                <w:b/>
                <w:sz w:val="20"/>
              </w:rPr>
              <w:t>Date du document</w:t>
            </w:r>
          </w:p>
        </w:tc>
        <w:tc>
          <w:tcPr>
            <w:tcW w:type="dxa" w:w="5386"/>
          </w:tcPr>
          <w:p>
            <w:r>
              <w:rPr>
                <w:sz w:val="20"/>
              </w:rPr>
              <w:t>13 août 2026</w:t>
            </w:r>
          </w:p>
        </w:tc>
      </w:tr>
    </w:tbl>
    <w:p/>
    <w:p/>
    <w:p/>
    <w:p/>
    <w:p/>
    <w:p>
      <w:pPr>
        <w:jc w:val="center"/>
      </w:pPr>
      <w:r>
        <w:rPr>
          <w:i/>
          <w:color w:val="606060"/>
          <w:sz w:val="18"/>
        </w:rPr>
        <w:t>Document fonctionnel. Il décrit la logique et le processus de l’interface à l’intention des responsables métier, chefs de projet et consultants fonctionnels. Il ne contient aucun élément technique.</w:t>
      </w:r>
    </w:p>
    <w:p>
      <w:r>
        <w:br w:type="page"/>
      </w:r>
    </w:p>
    <w:p>
      <w:pPr>
        <w:pStyle w:val="Heading1"/>
      </w:pPr>
      <w:r>
        <w:t>Sommaire</w:t>
      </w:r>
    </w:p>
    <w:p>
      <w:r>
        <w:rPr>
          <w:i/>
          <w:color w:val="606060"/>
          <w:sz w:val="19"/>
        </w:rPr>
        <w:t>Les sections ci-dessous se suivent dans l’ordre du document.</w:t>
      </w:r>
    </w:p>
    <w:tbl>
      <w:tblPr>
        <w:tblStyle w:val="LightGrid-Accent1"/>
        <w:tblW w:type="auto" w:w="0"/>
        <w:tblLayout w:type="fixed"/>
        <w:tblLook w:firstColumn="1" w:firstRow="1" w:lastColumn="0" w:lastRow="0" w:noHBand="0" w:noVBand="1" w:val="04A0"/>
      </w:tblPr>
      <w:tblGrid>
        <w:gridCol w:w="4819"/>
        <w:gridCol w:w="4819"/>
      </w:tblGrid>
      <w:tr>
        <w:tc>
          <w:tcPr>
            <w:tcW w:type="dxa" w:w="3515"/>
          </w:tcPr>
          <w:p>
            <w:r>
              <w:rPr>
                <w:b/>
                <w:sz w:val="19"/>
              </w:rPr>
              <w:t>Section</w:t>
            </w:r>
          </w:p>
        </w:tc>
        <w:tc>
          <w:tcPr>
            <w:tcW w:type="dxa" w:w="6123"/>
          </w:tcPr>
          <w:p>
            <w:r>
              <w:rPr>
                <w:b/>
                <w:sz w:val="19"/>
              </w:rPr>
              <w:t>Objet</w:t>
            </w:r>
          </w:p>
        </w:tc>
      </w:tr>
      <w:tr>
        <w:tc>
          <w:tcPr>
            <w:tcW w:type="dxa" w:w="3515"/>
          </w:tcPr>
          <w:p>
            <w:r>
              <w:rPr>
                <w:b/>
                <w:sz w:val="19"/>
              </w:rPr>
              <w:t>1. Objet de l’interface</w:t>
            </w:r>
          </w:p>
        </w:tc>
        <w:tc>
          <w:tcPr>
            <w:tcW w:type="dxa" w:w="6123"/>
          </w:tcPr>
          <w:p>
            <w:r>
              <w:rPr>
                <w:sz w:val="19"/>
              </w:rPr>
              <w:t>À quoi sert l’écran et quelle place il occupe dans le processus global de la GED.</w:t>
            </w:r>
          </w:p>
        </w:tc>
      </w:tr>
      <w:tr>
        <w:tc>
          <w:tcPr>
            <w:tcW w:type="dxa" w:w="3515"/>
          </w:tcPr>
          <w:p>
            <w:r>
              <w:rPr>
                <w:b/>
                <w:sz w:val="19"/>
              </w:rPr>
              <w:t>2. Les notions manipulées</w:t>
            </w:r>
          </w:p>
        </w:tc>
        <w:tc>
          <w:tcPr>
            <w:tcW w:type="dxa" w:w="6123"/>
          </w:tcPr>
          <w:p>
            <w:r>
              <w:rPr>
                <w:sz w:val="19"/>
              </w:rPr>
              <w:t>Définition de chaque notion métier et distinction d’avec les notions voisines.</w:t>
            </w:r>
          </w:p>
        </w:tc>
      </w:tr>
      <w:tr>
        <w:tc>
          <w:tcPr>
            <w:tcW w:type="dxa" w:w="3515"/>
          </w:tcPr>
          <w:p>
            <w:r>
              <w:rPr>
                <w:b/>
                <w:sz w:val="19"/>
              </w:rPr>
              <w:t>3. Ce que l’utilisateur voit</w:t>
            </w:r>
          </w:p>
        </w:tc>
        <w:tc>
          <w:tcPr>
            <w:tcW w:type="dxa" w:w="6123"/>
          </w:tcPr>
          <w:p>
            <w:r>
              <w:rPr>
                <w:sz w:val="19"/>
              </w:rPr>
              <w:t>Zones de l’écran, listes et colonnes, filtres, états vides, et ce que chaque information apprend.</w:t>
            </w:r>
          </w:p>
        </w:tc>
      </w:tr>
      <w:tr>
        <w:tc>
          <w:tcPr>
            <w:tcW w:type="dxa" w:w="3515"/>
          </w:tcPr>
          <w:p>
            <w:r>
              <w:rPr>
                <w:b/>
                <w:sz w:val="19"/>
              </w:rPr>
              <w:t>4. Le processus, étape par étape</w:t>
            </w:r>
          </w:p>
        </w:tc>
        <w:tc>
          <w:tcPr>
            <w:tcW w:type="dxa" w:w="6123"/>
          </w:tcPr>
          <w:p>
            <w:r>
              <w:rPr>
                <w:sz w:val="19"/>
              </w:rPr>
              <w:t>Déroulé complet de chaque parcours, en suite numérotée et en schéma.</w:t>
            </w:r>
          </w:p>
        </w:tc>
      </w:tr>
      <w:tr>
        <w:tc>
          <w:tcPr>
            <w:tcW w:type="dxa" w:w="3515"/>
          </w:tcPr>
          <w:p>
            <w:r>
              <w:rPr>
                <w:b/>
                <w:sz w:val="19"/>
              </w:rPr>
              <w:t>5. Les données saisies</w:t>
            </w:r>
          </w:p>
        </w:tc>
        <w:tc>
          <w:tcPr>
            <w:tcW w:type="dxa" w:w="6123"/>
          </w:tcPr>
          <w:p>
            <w:r>
              <w:rPr>
                <w:sz w:val="19"/>
              </w:rPr>
              <w:t>Champs affichés, nature, caractère obligatoire, valeur par défaut, exemple et explication.</w:t>
            </w:r>
          </w:p>
        </w:tc>
      </w:tr>
      <w:tr>
        <w:tc>
          <w:tcPr>
            <w:tcW w:type="dxa" w:w="3515"/>
          </w:tcPr>
          <w:p>
            <w:r>
              <w:rPr>
                <w:b/>
                <w:sz w:val="19"/>
              </w:rPr>
              <w:t>6. Les règles de gestion</w:t>
            </w:r>
          </w:p>
        </w:tc>
        <w:tc>
          <w:tcPr>
            <w:tcW w:type="dxa" w:w="6123"/>
          </w:tcPr>
          <w:p>
            <w:r>
              <w:rPr>
                <w:sz w:val="19"/>
              </w:rPr>
              <w:t>Règles numérotées, chacune assortie de sa justification métier.</w:t>
            </w:r>
          </w:p>
        </w:tc>
      </w:tr>
      <w:tr>
        <w:tc>
          <w:tcPr>
            <w:tcW w:type="dxa" w:w="3515"/>
          </w:tcPr>
          <w:p>
            <w:r>
              <w:rPr>
                <w:b/>
                <w:sz w:val="19"/>
              </w:rPr>
              <w:t>7. Les contrôles et les refus</w:t>
            </w:r>
          </w:p>
        </w:tc>
        <w:tc>
          <w:tcPr>
            <w:tcW w:type="dxa" w:w="6123"/>
          </w:tcPr>
          <w:p>
            <w:r>
              <w:rPr>
                <w:sz w:val="19"/>
              </w:rPr>
              <w:t>Situations de refus, message exact affiché et conséquence pour l’utilisateur.</w:t>
            </w:r>
          </w:p>
        </w:tc>
      </w:tr>
      <w:tr>
        <w:tc>
          <w:tcPr>
            <w:tcW w:type="dxa" w:w="3515"/>
          </w:tcPr>
          <w:p>
            <w:r>
              <w:rPr>
                <w:b/>
                <w:sz w:val="19"/>
              </w:rPr>
              <w:t>8. Les cas particuliers</w:t>
            </w:r>
          </w:p>
        </w:tc>
        <w:tc>
          <w:tcPr>
            <w:tcW w:type="dxa" w:w="6123"/>
          </w:tcPr>
          <w:p>
            <w:r>
              <w:rPr>
                <w:sz w:val="19"/>
              </w:rPr>
              <w:t>Comportements que le lecteur ne devinera pas à la lecture de l’écran.</w:t>
            </w:r>
          </w:p>
        </w:tc>
      </w:tr>
      <w:tr>
        <w:tc>
          <w:tcPr>
            <w:tcW w:type="dxa" w:w="3515"/>
          </w:tcPr>
          <w:p>
            <w:r>
              <w:rPr>
                <w:b/>
                <w:sz w:val="19"/>
              </w:rPr>
              <w:t>9. Enchaînement avec les autres interfaces</w:t>
            </w:r>
          </w:p>
        </w:tc>
        <w:tc>
          <w:tcPr>
            <w:tcW w:type="dxa" w:w="6123"/>
          </w:tcPr>
          <w:p>
            <w:r>
              <w:rPr>
                <w:sz w:val="19"/>
              </w:rPr>
              <w:t>Ce qui doit exister en amont, ce qui dépend de cet écran en aval.</w:t>
            </w:r>
          </w:p>
        </w:tc>
      </w:tr>
      <w:tr>
        <w:tc>
          <w:tcPr>
            <w:tcW w:type="dxa" w:w="3515"/>
          </w:tcPr>
          <w:p>
            <w:r>
              <w:rPr>
                <w:b/>
                <w:sz w:val="19"/>
              </w:rPr>
              <w:t>10. Points de vigilance</w:t>
            </w:r>
          </w:p>
        </w:tc>
        <w:tc>
          <w:tcPr>
            <w:tcW w:type="dxa" w:w="6123"/>
          </w:tcPr>
          <w:p>
            <w:r>
              <w:rPr>
                <w:sz w:val="19"/>
              </w:rPr>
              <w:t>Ce qui est mal compris, ce qui a déjà causé des erreurs, ce que l’application ne fait pas.</w:t>
            </w:r>
          </w:p>
        </w:tc>
      </w:tr>
    </w:tbl>
    <w:p>
      <w:r>
        <w:br w:type="page"/>
      </w:r>
    </w:p>
    <w:p>
      <w:pPr>
        <w:pStyle w:val="Heading1"/>
      </w:pPr>
      <w:r>
        <w:t>1. Objet de l’interface</w:t>
      </w:r>
    </w:p>
    <w:p>
      <w:r>
        <w:rPr>
          <w:i w:val="0"/>
        </w:rPr>
        <w:t>L’écran des groupes d’accès sert à rattacher des employés à des espaces de travail, **à titre d’organisation uniquement**. Il répond à la question « qui travaille sur quels dossiers ? », de la même manière qu’un organigramme répond à « qui appartient à quel service ».</w:t>
      </w:r>
    </w:p>
    <w:p>
      <w:pPr>
        <w:spacing w:after="40"/>
      </w:pPr>
      <w:r>
        <w:rPr>
          <w:b/>
          <w:color w:val="8B2E2E"/>
        </w:rPr>
        <w:t>Avertissement, à lire avant toute présentation de cet écran</w:t>
      </w:r>
    </w:p>
    <w:p>
      <w:pPr>
        <w:ind w:left="283"/>
      </w:pPr>
      <w:r>
        <w:rPr>
          <w:b/>
          <w:sz w:val="20"/>
        </w:rPr>
        <w:t>Un groupe d’accès n’accorde aucun droit et n’en retire aucun.</w:t>
      </w:r>
      <w:r>
        <w:rPr>
          <w:b w:val="0"/>
          <w:sz w:val="20"/>
        </w:rPr>
        <w:t xml:space="preserve"> Le nom du module vient du cahier des charges et évoque une gestion de permissions qui </w:t>
      </w:r>
      <w:r>
        <w:rPr>
          <w:b/>
          <w:sz w:val="20"/>
        </w:rPr>
        <w:t>n’existe pas</w:t>
      </w:r>
      <w:r>
        <w:rPr>
          <w:b w:val="0"/>
          <w:sz w:val="20"/>
        </w:rPr>
        <w:t xml:space="preserve"> dans ce produit. L’application ne comporte qu’un seul compte, celui de l’administrateur, à qui tout est déjà ouvert. Aucun écran, aucune donnée, aucun document n’est protégé, limité ou filtré par un groupe.</w:t>
      </w:r>
    </w:p>
    <w:p>
      <w:r>
        <w:rPr>
          <w:i w:val="0"/>
        </w:rPr>
        <w:t>Cette précision n’est pas un détail de vocabulaire. Un écran qui laisse croire qu’il protège quelque chose est plus dangereux qu’un écran qui n’existe pas : il produit un faux sentiment de sécurité, et l’organisation qui s’y fie ne met en place aucune autre mesure. Il faut donc bannir de toute présentation les mots « droits », « autorisations », « restrictions », « accès limité », « habilitations » et « profils ».</w:t>
      </w:r>
    </w:p>
    <w:p>
      <w:pPr>
        <w:pStyle w:val="Heading2"/>
      </w:pPr>
      <w:r>
        <w:t>1.1 Place dans le processus général</w:t>
      </w:r>
    </w:p>
    <w:p>
      <w:r>
        <w:rPr>
          <w:i w:val="0"/>
        </w:rPr>
        <w:t>Le module est **descriptif, non structurant**. Rien, dans la chaîne de paramétrage — index, plan d’indexation, type de document, espace de travail, règle de workflow, dépôt, signature — ne dépend d’un groupe d’accès. On peut exploiter l’application sans en créer aucun ; on peut en créer et les supprimer sans conséquence sur le fonds documentaire.</w:t>
      </w:r>
    </w:p>
    <w:p>
      <w:pPr>
        <w:spacing w:after="40"/>
      </w:pPr>
      <w:r>
        <w:rPr>
          <w:b/>
          <w:sz w:val="19"/>
        </w:rPr>
        <w:t>Ce que le module alimente, et rien d'autre</w:t>
      </w:r>
    </w:p>
    <w:p>
      <w:pPr>
        <w:spacing w:after="0" w:before="0" w:line="240" w:lineRule="auto"/>
      </w:pPr>
      <w:r>
        <w:rPr>
          <w:rFonts w:ascii="Consolas" w:hAnsi="Consolas" w:cs="Consolas" w:eastAsia="Consolas"/>
          <w:sz w:val="18"/>
        </w:rPr>
        <w:t xml:space="preserve">   Employes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+---&gt; 05 GROUPE D'ACCES ---&gt; fiche d'un espace de travail</w:t>
      </w:r>
    </w:p>
    <w:p>
      <w:pPr>
        <w:spacing w:after="0" w:before="0" w:line="240" w:lineRule="auto"/>
      </w:pPr>
      <w:r>
        <w:rPr>
          <w:rFonts w:ascii="Consolas" w:hAnsi="Consolas" w:cs="Consolas" w:eastAsia="Consolas"/>
          <w:sz w:val="18"/>
        </w:rPr>
        <w:t xml:space="preserve">                   |      (rattachement pur)     (bloc « Groupes d'acces »)</w:t>
      </w:r>
    </w:p>
    <w:p>
      <w:pPr>
        <w:spacing w:after="0" w:before="0" w:line="240" w:lineRule="auto"/>
      </w:pPr>
      <w:r>
        <w:rPr>
          <w:rFonts w:ascii="Consolas" w:hAnsi="Consolas" w:cs="Consolas" w:eastAsia="Consolas"/>
          <w:sz w:val="18"/>
        </w:rPr>
        <w:t xml:space="preserve">   03 ESPACES -----+</w:t>
      </w:r>
    </w:p>
    <w:p>
      <w:pPr>
        <w:spacing w:after="0" w:before="0" w:line="240" w:lineRule="auto"/>
      </w:pPr>
      <w:r>
        <w:rPr>
          <w:rFonts w:ascii="Consolas" w:hAnsi="Consolas" w:cs="Consolas" w:eastAsia="Consolas"/>
          <w:sz w:val="18"/>
        </w:rPr>
        <w:t xml:space="preserve">                                                 02 ACCUEIL</w:t>
      </w:r>
    </w:p>
    <w:p>
      <w:pPr>
        <w:spacing w:after="0" w:before="0" w:line="240" w:lineRule="auto"/>
      </w:pPr>
      <w:r>
        <w:rPr>
          <w:rFonts w:ascii="Consolas" w:hAnsi="Consolas" w:cs="Consolas" w:eastAsia="Consolas"/>
          <w:sz w:val="18"/>
        </w:rPr>
        <w:t xml:space="preserve">                                                 (tuile « Groupes d'acces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AUCUNE autre interface ne depend de cet ecran.</w:t>
      </w:r>
    </w:p>
    <w:p>
      <w:pPr>
        <w:spacing w:after="0" w:before="0" w:line="240" w:lineRule="auto"/>
      </w:pPr>
      <w:r>
        <w:rPr>
          <w:rFonts w:ascii="Consolas" w:hAnsi="Consolas" w:cs="Consolas" w:eastAsia="Consolas"/>
          <w:sz w:val="18"/>
        </w:rPr>
        <w:t xml:space="preserve">   Le fonds documentaire fonctionne a l'identique sans aucun groupe.</w:t>
      </w:r>
    </w:p>
    <w:p/>
    <w:p>
      <w:pPr>
        <w:pStyle w:val="Heading2"/>
      </w:pPr>
      <w:r>
        <w:t>1.2 À quoi il sert réellement</w:t>
      </w:r>
    </w:p>
    <w:p>
      <w:r>
        <w:rPr>
          <w:i w:val="0"/>
        </w:rPr>
        <w:t>Trois usages légitimes subsistent, et il est utile de les nommer pour que le module ne passe pas pour inutile.</w:t>
      </w:r>
    </w:p>
    <w:p>
      <w:pPr>
        <w:pStyle w:val="ListBullet"/>
      </w:pPr>
      <w:r>
        <w:rPr>
          <w:b/>
        </w:rPr>
        <w:t>Documenter l’organisation</w:t>
      </w:r>
      <w:r>
        <w:rPr>
          <w:b w:val="0"/>
        </w:rPr>
        <w:t xml:space="preserve"> : consigner quelle équipe travaille sur quel ensemble de dossiers, information que l’écran des espaces de travail ne porte pas — il n’en retient qu’un propriétaire unique.</w:t>
      </w:r>
    </w:p>
    <w:p>
      <w:pPr>
        <w:pStyle w:val="ListBullet"/>
      </w:pPr>
      <w:r>
        <w:rPr>
          <w:b/>
        </w:rPr>
        <w:t>Préparer une évolution</w:t>
      </w:r>
      <w:r>
        <w:rPr>
          <w:b w:val="0"/>
        </w:rPr>
        <w:t xml:space="preserve"> : si une gestion de droits venait à être demandée un jour, le rattachement existe déjà et n’aurait pas à être ressaisi.</w:t>
      </w:r>
    </w:p>
    <w:p>
      <w:pPr>
        <w:pStyle w:val="ListBullet"/>
      </w:pPr>
      <w:r>
        <w:rPr>
          <w:b/>
        </w:rPr>
        <w:t>Servir de vue transversale</w:t>
      </w:r>
      <w:r>
        <w:rPr>
          <w:b w:val="0"/>
        </w:rPr>
        <w:t xml:space="preserve"> : la fiche d’un espace de travail affiche les groupes qui le couvrent, ce qui donne, dossier par dossier, la liste des personnes concernées.</w:t>
      </w:r>
    </w:p>
    <w:p>
      <w:pPr>
        <w:pStyle w:val="Heading1"/>
      </w:pPr>
      <w:r>
        <w:t>2. Les notions manipulées</w:t>
      </w:r>
    </w:p>
    <w:p>
      <w:pPr>
        <w:pStyle w:val="Heading2"/>
      </w:pPr>
      <w:r>
        <w:t>2.1 Le groupe d’accès et le droit d’accès</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r>
          </w:p>
        </w:tc>
        <w:tc>
          <w:tcPr>
            <w:tcW w:type="dxa" w:w="3213"/>
          </w:tcPr>
          <w:p>
            <w:r>
              <w:rPr>
                <w:b/>
                <w:sz w:val="18"/>
              </w:rPr>
              <w:t>Le groupe d’accès, tel qu’il existe</w:t>
            </w:r>
          </w:p>
        </w:tc>
        <w:tc>
          <w:tcPr>
            <w:tcW w:type="dxa" w:w="3213"/>
          </w:tcPr>
          <w:p>
            <w:r>
              <w:rPr>
                <w:b/>
                <w:sz w:val="18"/>
              </w:rPr>
              <w:t>Le droit d’accès, tel qu’on l’imagine</w:t>
            </w:r>
          </w:p>
        </w:tc>
      </w:tr>
      <w:tr>
        <w:tc>
          <w:tcPr>
            <w:tcW w:type="dxa" w:w="3213"/>
          </w:tcPr>
          <w:p>
            <w:pPr>
              <w:spacing w:after="40"/>
            </w:pPr>
            <w:r>
              <w:rPr>
                <w:b w:val="0"/>
                <w:sz w:val="18"/>
              </w:rPr>
              <w:t>Nature</w:t>
            </w:r>
          </w:p>
        </w:tc>
        <w:tc>
          <w:tcPr>
            <w:tcW w:type="dxa" w:w="3213"/>
          </w:tcPr>
          <w:p>
            <w:pPr>
              <w:spacing w:after="40"/>
            </w:pPr>
            <w:r>
              <w:rPr>
                <w:b w:val="0"/>
                <w:sz w:val="18"/>
              </w:rPr>
              <w:t>Un rattachement documenté</w:t>
            </w:r>
          </w:p>
        </w:tc>
        <w:tc>
          <w:tcPr>
            <w:tcW w:type="dxa" w:w="3213"/>
          </w:tcPr>
          <w:p>
            <w:pPr>
              <w:spacing w:after="40"/>
            </w:pPr>
            <w:r>
              <w:rPr>
                <w:b w:val="0"/>
                <w:sz w:val="18"/>
              </w:rPr>
              <w:t>Une autorisation opposable</w:t>
            </w:r>
          </w:p>
        </w:tc>
      </w:tr>
      <w:tr>
        <w:tc>
          <w:tcPr>
            <w:tcW w:type="dxa" w:w="3213"/>
          </w:tcPr>
          <w:p>
            <w:pPr>
              <w:spacing w:after="40"/>
            </w:pPr>
            <w:r>
              <w:rPr>
                <w:b w:val="0"/>
                <w:sz w:val="18"/>
              </w:rPr>
              <w:t>Effet sur les écrans</w:t>
            </w:r>
          </w:p>
        </w:tc>
        <w:tc>
          <w:tcPr>
            <w:tcW w:type="dxa" w:w="3213"/>
          </w:tcPr>
          <w:p>
            <w:pPr>
              <w:spacing w:after="40"/>
            </w:pPr>
            <w:r>
              <w:rPr>
                <w:b w:val="0"/>
                <w:sz w:val="18"/>
              </w:rPr>
              <w:t>Aucun</w:t>
            </w:r>
          </w:p>
        </w:tc>
        <w:tc>
          <w:tcPr>
            <w:tcW w:type="dxa" w:w="3213"/>
          </w:tcPr>
          <w:p>
            <w:pPr>
              <w:spacing w:after="40"/>
            </w:pPr>
            <w:r>
              <w:rPr>
                <w:b w:val="0"/>
                <w:sz w:val="18"/>
              </w:rPr>
              <w:t>Masquerait ou ouvrirait des écrans</w:t>
            </w:r>
          </w:p>
        </w:tc>
      </w:tr>
      <w:tr>
        <w:tc>
          <w:tcPr>
            <w:tcW w:type="dxa" w:w="3213"/>
          </w:tcPr>
          <w:p>
            <w:pPr>
              <w:spacing w:after="40"/>
            </w:pPr>
            <w:r>
              <w:rPr>
                <w:b w:val="0"/>
                <w:sz w:val="18"/>
              </w:rPr>
              <w:t>Effet sur les documents</w:t>
            </w:r>
          </w:p>
        </w:tc>
        <w:tc>
          <w:tcPr>
            <w:tcW w:type="dxa" w:w="3213"/>
          </w:tcPr>
          <w:p>
            <w:pPr>
              <w:spacing w:after="40"/>
            </w:pPr>
            <w:r>
              <w:rPr>
                <w:b w:val="0"/>
                <w:sz w:val="18"/>
              </w:rPr>
              <w:t>Aucun</w:t>
            </w:r>
          </w:p>
        </w:tc>
        <w:tc>
          <w:tcPr>
            <w:tcW w:type="dxa" w:w="3213"/>
          </w:tcPr>
          <w:p>
            <w:pPr>
              <w:spacing w:after="40"/>
            </w:pPr>
            <w:r>
              <w:rPr>
                <w:b w:val="0"/>
                <w:sz w:val="18"/>
              </w:rPr>
              <w:t>Filtrerait les documents visibles</w:t>
            </w:r>
          </w:p>
        </w:tc>
      </w:tr>
      <w:tr>
        <w:tc>
          <w:tcPr>
            <w:tcW w:type="dxa" w:w="3213"/>
          </w:tcPr>
          <w:p>
            <w:pPr>
              <w:spacing w:after="40"/>
            </w:pPr>
            <w:r>
              <w:rPr>
                <w:b w:val="0"/>
                <w:sz w:val="18"/>
              </w:rPr>
              <w:t>Effet sur les signatures</w:t>
            </w:r>
          </w:p>
        </w:tc>
        <w:tc>
          <w:tcPr>
            <w:tcW w:type="dxa" w:w="3213"/>
          </w:tcPr>
          <w:p>
            <w:pPr>
              <w:spacing w:after="40"/>
            </w:pPr>
            <w:r>
              <w:rPr>
                <w:b w:val="0"/>
                <w:sz w:val="18"/>
              </w:rPr>
              <w:t>Aucun</w:t>
            </w:r>
          </w:p>
        </w:tc>
        <w:tc>
          <w:tcPr>
            <w:tcW w:type="dxa" w:w="3213"/>
          </w:tcPr>
          <w:p>
            <w:pPr>
              <w:spacing w:after="40"/>
            </w:pPr>
            <w:r>
              <w:rPr>
                <w:b w:val="0"/>
                <w:sz w:val="18"/>
              </w:rPr>
              <w:t>Déterminerait qui peut signer</w:t>
            </w:r>
          </w:p>
        </w:tc>
      </w:tr>
      <w:tr>
        <w:tc>
          <w:tcPr>
            <w:tcW w:type="dxa" w:w="3213"/>
          </w:tcPr>
          <w:p>
            <w:pPr>
              <w:spacing w:after="40"/>
            </w:pPr>
            <w:r>
              <w:rPr>
                <w:b w:val="0"/>
                <w:sz w:val="18"/>
              </w:rPr>
              <w:t>Vérifié au moment d’agir</w:t>
            </w:r>
          </w:p>
        </w:tc>
        <w:tc>
          <w:tcPr>
            <w:tcW w:type="dxa" w:w="3213"/>
          </w:tcPr>
          <w:p>
            <w:pPr>
              <w:spacing w:after="40"/>
            </w:pPr>
            <w:r>
              <w:rPr>
                <w:b w:val="0"/>
                <w:sz w:val="18"/>
              </w:rPr>
              <w:t>Jamais</w:t>
            </w:r>
          </w:p>
        </w:tc>
        <w:tc>
          <w:tcPr>
            <w:tcW w:type="dxa" w:w="3213"/>
          </w:tcPr>
          <w:p>
            <w:pPr>
              <w:spacing w:after="40"/>
            </w:pPr>
            <w:r>
              <w:rPr>
                <w:b w:val="0"/>
                <w:sz w:val="18"/>
              </w:rPr>
              <w:t>À chaque action</w:t>
            </w:r>
          </w:p>
        </w:tc>
      </w:tr>
      <w:tr>
        <w:tc>
          <w:tcPr>
            <w:tcW w:type="dxa" w:w="3213"/>
          </w:tcPr>
          <w:p>
            <w:pPr>
              <w:spacing w:after="40"/>
            </w:pPr>
            <w:r>
              <w:rPr>
                <w:b w:val="0"/>
                <w:sz w:val="18"/>
              </w:rPr>
              <w:t>Présent dans ce produit</w:t>
            </w:r>
          </w:p>
        </w:tc>
        <w:tc>
          <w:tcPr>
            <w:tcW w:type="dxa" w:w="3213"/>
          </w:tcPr>
          <w:p>
            <w:pPr>
              <w:spacing w:after="40"/>
            </w:pPr>
            <w:r>
              <w:rPr>
                <w:b w:val="0"/>
                <w:sz w:val="18"/>
              </w:rPr>
              <w:t>Oui</w:t>
            </w:r>
          </w:p>
        </w:tc>
        <w:tc>
          <w:tcPr>
            <w:tcW w:type="dxa" w:w="3213"/>
          </w:tcPr>
          <w:p>
            <w:pPr>
              <w:spacing w:after="40"/>
            </w:pPr>
            <w:r>
              <w:rPr>
                <w:b w:val="0"/>
                <w:sz w:val="18"/>
              </w:rPr>
              <w:t>Non</w:t>
            </w:r>
          </w:p>
        </w:tc>
      </w:tr>
    </w:tbl>
    <w:p/>
    <w:p>
      <w:pPr>
        <w:pStyle w:val="Heading2"/>
      </w:pPr>
      <w:r>
        <w:t>2.2 Le membre</w:t>
      </w:r>
    </w:p>
    <w:p>
      <w:r>
        <w:rPr>
          <w:i w:val="0"/>
        </w:rPr>
        <w:t>Un membre est un employé rattaché au groupe. Comme partout ailleurs dans l’application, un employé est une donnée de référence : il ne se connecte pas, ne reçoit rien, et l’appartenance à un groupe ne lui ouvre rien. Le produit emploie deux mots pour la même chose : « Membres » dans la colonne du tableau et sur la fiche, « Liste des utilisateurs » dans le formulaire et dans le bloc de détail. Il s’agit du même objet.</w:t>
      </w:r>
    </w:p>
    <w:p>
      <w:pPr>
        <w:pStyle w:val="Heading2"/>
      </w:pPr>
      <w:r>
        <w:t>2.3 L’espace couvert</w:t>
      </w:r>
    </w:p>
    <w:p>
      <w:r>
        <w:rPr>
          <w:i w:val="0"/>
        </w:rPr>
        <w:t>Un espace couvert est un espace de travail rattaché au groupe. « Couvert » ne signifie pas « protégé » : le rattachement est purement déclaratif. Le produit emploie ici encore plusieurs formulations — « Espaces » en colonne, « Espaces couverts » sur la fiche, « Liste des WorkSpaces » dans le formulaire.</w:t>
      </w:r>
    </w:p>
    <w:p>
      <w:pPr>
        <w:pStyle w:val="Heading2"/>
      </w:pPr>
      <w:r>
        <w:t>2.4 Le compteur et la liste</w:t>
      </w:r>
    </w:p>
    <w:p>
      <w:r>
        <w:rPr>
          <w:i w:val="0"/>
        </w:rPr>
        <w:t>Dans le tableau, le nombre d’espaces est présenté sous forme de compteur : dans un tableau, un compteur se compare d’une ligne à l’autre, là où une liste de huit noms encombre sans se comparer. La liste nominative complète est donnée sur la fiche du groupe, où l’on dispose de la place nécessaire.</w:t>
      </w:r>
    </w:p>
    <w:p>
      <w:pPr>
        <w:pStyle w:val="Heading2"/>
      </w:pPr>
      <w:r>
        <w:t>2.5 Le code et le nom</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r>
          </w:p>
        </w:tc>
        <w:tc>
          <w:tcPr>
            <w:tcW w:type="dxa" w:w="3213"/>
          </w:tcPr>
          <w:p>
            <w:r>
              <w:rPr>
                <w:b/>
                <w:sz w:val="18"/>
              </w:rPr>
              <w:t>Le code</w:t>
            </w:r>
          </w:p>
        </w:tc>
        <w:tc>
          <w:tcPr>
            <w:tcW w:type="dxa" w:w="3213"/>
          </w:tcPr>
          <w:p>
            <w:r>
              <w:rPr>
                <w:b/>
                <w:sz w:val="18"/>
              </w:rPr>
              <w:t>Le nom</w:t>
            </w:r>
          </w:p>
        </w:tc>
      </w:tr>
      <w:tr>
        <w:tc>
          <w:tcPr>
            <w:tcW w:type="dxa" w:w="3213"/>
          </w:tcPr>
          <w:p>
            <w:pPr>
              <w:spacing w:after="40"/>
            </w:pPr>
            <w:r>
              <w:rPr>
                <w:b w:val="0"/>
                <w:sz w:val="18"/>
              </w:rPr>
              <w:t>Rôle</w:t>
            </w:r>
          </w:p>
        </w:tc>
        <w:tc>
          <w:tcPr>
            <w:tcW w:type="dxa" w:w="3213"/>
          </w:tcPr>
          <w:p>
            <w:pPr>
              <w:spacing w:after="40"/>
            </w:pPr>
            <w:r>
              <w:rPr>
                <w:b w:val="0"/>
                <w:sz w:val="18"/>
              </w:rPr>
              <w:t>Identifiant court et stable</w:t>
            </w:r>
          </w:p>
        </w:tc>
        <w:tc>
          <w:tcPr>
            <w:tcW w:type="dxa" w:w="3213"/>
          </w:tcPr>
          <w:p>
            <w:pPr>
              <w:spacing w:after="40"/>
            </w:pPr>
            <w:r>
              <w:rPr>
                <w:b w:val="0"/>
                <w:sz w:val="18"/>
              </w:rPr>
              <w:t>Libellé lisible</w:t>
            </w:r>
          </w:p>
        </w:tc>
      </w:tr>
      <w:tr>
        <w:tc>
          <w:tcPr>
            <w:tcW w:type="dxa" w:w="3213"/>
          </w:tcPr>
          <w:p>
            <w:pPr>
              <w:spacing w:after="40"/>
            </w:pPr>
            <w:r>
              <w:rPr>
                <w:b w:val="0"/>
                <w:sz w:val="18"/>
              </w:rPr>
              <w:t>Unicité</w:t>
            </w:r>
          </w:p>
        </w:tc>
        <w:tc>
          <w:tcPr>
            <w:tcW w:type="dxa" w:w="3213"/>
          </w:tcPr>
          <w:p>
            <w:pPr>
              <w:spacing w:after="40"/>
            </w:pPr>
            <w:r>
              <w:rPr>
                <w:b w:val="0"/>
                <w:sz w:val="18"/>
              </w:rPr>
              <w:t>Oui, sans distinction de majuscules et de minuscules</w:t>
            </w:r>
          </w:p>
        </w:tc>
        <w:tc>
          <w:tcPr>
            <w:tcW w:type="dxa" w:w="3213"/>
          </w:tcPr>
          <w:p>
            <w:pPr>
              <w:spacing w:after="40"/>
            </w:pPr>
            <w:r>
              <w:rPr>
                <w:b w:val="0"/>
                <w:sz w:val="18"/>
              </w:rPr>
              <w:t>Oui également — voir la section 10</w:t>
            </w:r>
          </w:p>
        </w:tc>
      </w:tr>
      <w:tr>
        <w:tc>
          <w:tcPr>
            <w:tcW w:type="dxa" w:w="3213"/>
          </w:tcPr>
          <w:p>
            <w:pPr>
              <w:spacing w:after="40"/>
            </w:pPr>
            <w:r>
              <w:rPr>
                <w:b w:val="0"/>
                <w:sz w:val="18"/>
              </w:rPr>
              <w:t>Interrogé par la recherche</w:t>
            </w:r>
          </w:p>
        </w:tc>
        <w:tc>
          <w:tcPr>
            <w:tcW w:type="dxa" w:w="3213"/>
          </w:tcPr>
          <w:p>
            <w:pPr>
              <w:spacing w:after="40"/>
            </w:pPr>
            <w:r>
              <w:rPr>
                <w:b w:val="0"/>
                <w:sz w:val="18"/>
              </w:rPr>
              <w:t>Non</w:t>
            </w:r>
          </w:p>
        </w:tc>
        <w:tc>
          <w:tcPr>
            <w:tcW w:type="dxa" w:w="3213"/>
          </w:tcPr>
          <w:p>
            <w:pPr>
              <w:spacing w:after="40"/>
            </w:pPr>
            <w:r>
              <w:rPr>
                <w:b w:val="0"/>
                <w:sz w:val="18"/>
              </w:rPr>
              <w:t>Oui</w:t>
            </w:r>
          </w:p>
        </w:tc>
      </w:tr>
      <w:tr>
        <w:tc>
          <w:tcPr>
            <w:tcW w:type="dxa" w:w="3213"/>
          </w:tcPr>
          <w:p>
            <w:pPr>
              <w:spacing w:after="40"/>
            </w:pPr>
            <w:r>
              <w:rPr>
                <w:b w:val="0"/>
                <w:sz w:val="18"/>
              </w:rPr>
              <w:t>Exemple</w:t>
            </w:r>
          </w:p>
        </w:tc>
        <w:tc>
          <w:tcPr>
            <w:tcW w:type="dxa" w:w="3213"/>
          </w:tcPr>
          <w:p>
            <w:pPr>
              <w:spacing w:after="40"/>
            </w:pPr>
            <w:r>
              <w:rPr>
                <w:b w:val="0"/>
                <w:sz w:val="18"/>
              </w:rPr>
              <w:t>AG-ADMIN</w:t>
            </w:r>
          </w:p>
        </w:tc>
        <w:tc>
          <w:tcPr>
            <w:tcW w:type="dxa" w:w="3213"/>
          </w:tcPr>
          <w:p>
            <w:pPr>
              <w:spacing w:after="40"/>
            </w:pPr>
            <w:r>
              <w:rPr>
                <w:b w:val="0"/>
                <w:sz w:val="18"/>
              </w:rPr>
              <w:t>Administration générale</w:t>
            </w:r>
          </w:p>
        </w:tc>
      </w:tr>
    </w:tbl>
    <w:p/>
    <w:p>
      <w:pPr>
        <w:pStyle w:val="Heading2"/>
      </w:pPr>
      <w:r>
        <w:t>2.6 La corbeille</w:t>
      </w:r>
    </w:p>
    <w:p>
      <w:r>
        <w:rPr>
          <w:i w:val="0"/>
        </w:rPr>
        <w:t>La suppression n’est pas définitive : elle déplace le groupe vers une corbeille, consultable par le bouton « Archive » et d’où le groupe peut être restauré. Il n’existe pas de statut sur cet écran : un groupe est présent, ou en corbeille.</w:t>
      </w:r>
    </w:p>
    <w:p>
      <w:pPr>
        <w:pStyle w:val="Heading1"/>
      </w:pPr>
      <w:r>
        <w:t>3. Ce que l’utilisateur voit</w:t>
      </w:r>
    </w:p>
    <w:p>
      <w:pPr>
        <w:pStyle w:val="Heading2"/>
      </w:pPr>
      <w:r>
        <w:t>3.1 En-tête de l’écran</w:t>
      </w:r>
    </w:p>
    <w:p>
      <w:r>
        <w:rPr>
          <w:i w:val="0"/>
        </w:rPr>
        <w:t>Le titre « Groupe d’accès », au singulier, est suivi du fil « Accueil - Listes des Groupes d’accès ». À droite, le bouton « Créer un groupe » ouvre le formulaire vierge.</w:t>
      </w:r>
    </w:p>
    <w:p>
      <w:pPr>
        <w:pStyle w:val="Heading2"/>
      </w:pPr>
      <w:r>
        <w:t>3.2 La barre d’outils</w:t>
      </w:r>
    </w:p>
    <w:tbl>
      <w:tblPr>
        <w:tblStyle w:val="LightGrid-Accent1"/>
        <w:tblW w:type="auto" w:w="0"/>
        <w:tblLayout w:type="autofit"/>
        <w:tblLook w:firstColumn="1" w:firstRow="1" w:lastColumn="0" w:lastRow="0" w:noHBand="0" w:noVBand="1" w:val="04A0"/>
      </w:tblPr>
      <w:tblGrid>
        <w:gridCol w:w="4819"/>
        <w:gridCol w:w="4819"/>
      </w:tblGrid>
      <w:tr>
        <w:tc>
          <w:tcPr>
            <w:tcW w:type="dxa" w:w="4819"/>
          </w:tcPr>
          <w:p>
            <w:r>
              <w:rPr>
                <w:b/>
                <w:sz w:val="18"/>
              </w:rPr>
              <w:t>Commande</w:t>
            </w:r>
          </w:p>
        </w:tc>
        <w:tc>
          <w:tcPr>
            <w:tcW w:type="dxa" w:w="4819"/>
          </w:tcPr>
          <w:p>
            <w:r>
              <w:rPr>
                <w:b/>
                <w:sz w:val="18"/>
              </w:rPr>
              <w:t>Effet</w:t>
            </w:r>
          </w:p>
        </w:tc>
      </w:tr>
      <w:tr>
        <w:tc>
          <w:tcPr>
            <w:tcW w:type="dxa" w:w="4819"/>
          </w:tcPr>
          <w:p>
            <w:pPr>
              <w:spacing w:after="40"/>
            </w:pPr>
            <w:r>
              <w:rPr>
                <w:b w:val="0"/>
                <w:sz w:val="18"/>
              </w:rPr>
              <w:t>Champ de recherche</w:t>
            </w:r>
          </w:p>
        </w:tc>
        <w:tc>
          <w:tcPr>
            <w:tcW w:type="dxa" w:w="4819"/>
          </w:tcPr>
          <w:p>
            <w:pPr>
              <w:spacing w:after="40"/>
            </w:pPr>
            <w:r>
              <w:rPr>
                <w:b w:val="0"/>
                <w:sz w:val="18"/>
              </w:rPr>
              <w:t xml:space="preserve">Filtre la liste sur le </w:t>
            </w:r>
            <w:r>
              <w:rPr>
                <w:b/>
                <w:sz w:val="18"/>
              </w:rPr>
              <w:t>nom</w:t>
            </w:r>
            <w:r>
              <w:rPr>
                <w:b w:val="0"/>
                <w:sz w:val="18"/>
              </w:rPr>
              <w:t xml:space="preserve"> du groupe, sur l’ensemble des groupes et non sur la seule page affichée</w:t>
            </w:r>
          </w:p>
        </w:tc>
      </w:tr>
      <w:tr>
        <w:tc>
          <w:tcPr>
            <w:tcW w:type="dxa" w:w="4819"/>
          </w:tcPr>
          <w:p>
            <w:pPr>
              <w:spacing w:after="40"/>
            </w:pPr>
            <w:r>
              <w:rPr>
                <w:b w:val="0"/>
                <w:sz w:val="18"/>
              </w:rPr>
              <w:t>Bouton « Supprimer (n) » ou « Restaurer (n) »</w:t>
            </w:r>
          </w:p>
        </w:tc>
        <w:tc>
          <w:tcPr>
            <w:tcW w:type="dxa" w:w="4819"/>
          </w:tcPr>
          <w:p>
            <w:pPr>
              <w:spacing w:after="40"/>
            </w:pPr>
            <w:r>
              <w:rPr>
                <w:b w:val="0"/>
                <w:sz w:val="18"/>
              </w:rPr>
              <w:t>N’apparaît que si au moins une ligne est cochée ; le verbe change selon la vue</w:t>
            </w:r>
          </w:p>
        </w:tc>
      </w:tr>
      <w:tr>
        <w:tc>
          <w:tcPr>
            <w:tcW w:type="dxa" w:w="4819"/>
          </w:tcPr>
          <w:p>
            <w:pPr>
              <w:spacing w:after="40"/>
            </w:pPr>
            <w:r>
              <w:rPr>
                <w:b w:val="0"/>
                <w:sz w:val="18"/>
              </w:rPr>
              <w:t>Bouton « Sélectionner »</w:t>
            </w:r>
          </w:p>
        </w:tc>
        <w:tc>
          <w:tcPr>
            <w:tcW w:type="dxa" w:w="4819"/>
          </w:tcPr>
          <w:p>
            <w:pPr>
              <w:spacing w:after="40"/>
            </w:pPr>
            <w:r>
              <w:rPr>
                <w:b w:val="0"/>
                <w:sz w:val="18"/>
              </w:rPr>
              <w:t>Fait apparaître les cases à cocher ; devient « Annuler » et vide la sélection lorsqu’on en sort</w:t>
            </w:r>
          </w:p>
        </w:tc>
      </w:tr>
      <w:tr>
        <w:tc>
          <w:tcPr>
            <w:tcW w:type="dxa" w:w="4819"/>
          </w:tcPr>
          <w:p>
            <w:pPr>
              <w:spacing w:after="40"/>
            </w:pPr>
            <w:r>
              <w:rPr>
                <w:b w:val="0"/>
                <w:sz w:val="18"/>
              </w:rPr>
              <w:t>Sélecteur de colonnes</w:t>
            </w:r>
          </w:p>
        </w:tc>
        <w:tc>
          <w:tcPr>
            <w:tcW w:type="dxa" w:w="4819"/>
          </w:tcPr>
          <w:p>
            <w:pPr>
              <w:spacing w:after="40"/>
            </w:pPr>
            <w:r>
              <w:rPr>
                <w:b w:val="0"/>
                <w:sz w:val="18"/>
              </w:rPr>
              <w:t>Affiche ou masque les colonnes facultatives ; le choix est mémorisé</w:t>
            </w:r>
          </w:p>
        </w:tc>
      </w:tr>
      <w:tr>
        <w:tc>
          <w:tcPr>
            <w:tcW w:type="dxa" w:w="4819"/>
          </w:tcPr>
          <w:p>
            <w:pPr>
              <w:spacing w:after="40"/>
            </w:pPr>
            <w:r>
              <w:rPr>
                <w:b w:val="0"/>
                <w:sz w:val="18"/>
              </w:rPr>
              <w:t>Bouton « Rafraîchir »</w:t>
            </w:r>
          </w:p>
        </w:tc>
        <w:tc>
          <w:tcPr>
            <w:tcW w:type="dxa" w:w="4819"/>
          </w:tcPr>
          <w:p>
            <w:pPr>
              <w:spacing w:after="40"/>
            </w:pPr>
            <w:r>
              <w:rPr>
                <w:b w:val="0"/>
                <w:sz w:val="18"/>
              </w:rPr>
              <w:t>Relit la liste</w:t>
            </w:r>
          </w:p>
        </w:tc>
      </w:tr>
      <w:tr>
        <w:tc>
          <w:tcPr>
            <w:tcW w:type="dxa" w:w="4819"/>
          </w:tcPr>
          <w:p>
            <w:pPr>
              <w:spacing w:after="40"/>
            </w:pPr>
            <w:r>
              <w:rPr>
                <w:b w:val="0"/>
                <w:sz w:val="18"/>
              </w:rPr>
              <w:t>Bouton « Archive » / « Actifs »</w:t>
            </w:r>
          </w:p>
        </w:tc>
        <w:tc>
          <w:tcPr>
            <w:tcW w:type="dxa" w:w="4819"/>
          </w:tcPr>
          <w:p>
            <w:pPr>
              <w:spacing w:after="40"/>
            </w:pPr>
            <w:r>
              <w:rPr>
                <w:b w:val="0"/>
                <w:sz w:val="18"/>
              </w:rPr>
              <w:t>Bascule entre les groupes présents et les groupes mis à la corbeille</w:t>
            </w:r>
          </w:p>
        </w:tc>
      </w:tr>
    </w:tbl>
    <w:p/>
    <w:p>
      <w:pPr>
        <w:pStyle w:val="Heading2"/>
      </w:pPr>
      <w:r>
        <w:t>3.3 Les colonnes du tableau</w:t>
      </w:r>
    </w:p>
    <w:tbl>
      <w:tblPr>
        <w:tblStyle w:val="LightGrid-Accent1"/>
        <w:tblW w:type="auto" w:w="0"/>
        <w:tblLayout w:type="autofit"/>
        <w:tblLook w:firstColumn="1" w:firstRow="1" w:lastColumn="0" w:lastRow="0" w:noHBand="0" w:noVBand="1" w:val="04A0"/>
      </w:tblPr>
      <w:tblGrid>
        <w:gridCol w:w="2409"/>
        <w:gridCol w:w="2409"/>
        <w:gridCol w:w="2409"/>
        <w:gridCol w:w="2409"/>
      </w:tblGrid>
      <w:tr>
        <w:tc>
          <w:tcPr>
            <w:tcW w:type="dxa" w:w="2409"/>
          </w:tcPr>
          <w:p>
            <w:r>
              <w:rPr>
                <w:b/>
                <w:sz w:val="17"/>
              </w:rPr>
              <w:t>Colonne</w:t>
            </w:r>
          </w:p>
        </w:tc>
        <w:tc>
          <w:tcPr>
            <w:tcW w:type="dxa" w:w="2409"/>
          </w:tcPr>
          <w:p>
            <w:r>
              <w:rPr>
                <w:b/>
                <w:sz w:val="17"/>
              </w:rPr>
              <w:t>Ce qu’elle contient</w:t>
            </w:r>
          </w:p>
        </w:tc>
        <w:tc>
          <w:tcPr>
            <w:tcW w:type="dxa" w:w="2409"/>
          </w:tcPr>
          <w:p>
            <w:r>
              <w:rPr>
                <w:b/>
                <w:sz w:val="17"/>
              </w:rPr>
              <w:t>Ce qu’elle apprend au lecteur</w:t>
            </w:r>
          </w:p>
        </w:tc>
        <w:tc>
          <w:tcPr>
            <w:tcW w:type="dxa" w:w="2409"/>
          </w:tcPr>
          <w:p>
            <w:r>
              <w:rPr>
                <w:b/>
                <w:sz w:val="17"/>
              </w:rPr>
              <w:t>Triable</w:t>
            </w:r>
          </w:p>
        </w:tc>
      </w:tr>
      <w:tr>
        <w:tc>
          <w:tcPr>
            <w:tcW w:type="dxa" w:w="2409"/>
          </w:tcPr>
          <w:p>
            <w:pPr>
              <w:spacing w:after="40"/>
            </w:pPr>
            <w:r>
              <w:rPr>
                <w:b w:val="0"/>
                <w:sz w:val="17"/>
              </w:rPr>
              <w:t>ID</w:t>
            </w:r>
          </w:p>
        </w:tc>
        <w:tc>
          <w:tcPr>
            <w:tcW w:type="dxa" w:w="2409"/>
          </w:tcPr>
          <w:p>
            <w:pPr>
              <w:spacing w:after="40"/>
            </w:pPr>
            <w:r>
              <w:rPr>
                <w:b w:val="0"/>
                <w:sz w:val="17"/>
              </w:rPr>
              <w:t>Numéro attribué par l’application</w:t>
            </w:r>
          </w:p>
        </w:tc>
        <w:tc>
          <w:tcPr>
            <w:tcW w:type="dxa" w:w="2409"/>
          </w:tcPr>
          <w:p>
            <w:pPr>
              <w:spacing w:after="40"/>
            </w:pPr>
            <w:r>
              <w:rPr>
                <w:b w:val="0"/>
                <w:sz w:val="17"/>
              </w:rPr>
              <w:t>L’ancienneté relative du groupe</w:t>
            </w:r>
          </w:p>
        </w:tc>
        <w:tc>
          <w:tcPr>
            <w:tcW w:type="dxa" w:w="2409"/>
          </w:tcPr>
          <w:p>
            <w:pPr>
              <w:spacing w:after="40"/>
            </w:pPr>
            <w:r>
              <w:rPr>
                <w:b w:val="0"/>
                <w:sz w:val="17"/>
              </w:rPr>
              <w:t>Oui</w:t>
            </w:r>
          </w:p>
        </w:tc>
      </w:tr>
      <w:tr>
        <w:tc>
          <w:tcPr>
            <w:tcW w:type="dxa" w:w="2409"/>
          </w:tcPr>
          <w:p>
            <w:pPr>
              <w:spacing w:after="40"/>
            </w:pPr>
            <w:r>
              <w:rPr>
                <w:b w:val="0"/>
                <w:sz w:val="17"/>
              </w:rPr>
              <w:t>Code</w:t>
            </w:r>
          </w:p>
        </w:tc>
        <w:tc>
          <w:tcPr>
            <w:tcW w:type="dxa" w:w="2409"/>
          </w:tcPr>
          <w:p>
            <w:pPr>
              <w:spacing w:after="40"/>
            </w:pPr>
            <w:r>
              <w:rPr>
                <w:b w:val="0"/>
                <w:sz w:val="17"/>
              </w:rPr>
              <w:t>Code court du groupe</w:t>
            </w:r>
          </w:p>
        </w:tc>
        <w:tc>
          <w:tcPr>
            <w:tcW w:type="dxa" w:w="2409"/>
          </w:tcPr>
          <w:p>
            <w:pPr>
              <w:spacing w:after="40"/>
            </w:pPr>
            <w:r>
              <w:rPr>
                <w:b w:val="0"/>
                <w:sz w:val="17"/>
              </w:rPr>
              <w:t>Le repère stable, à citer dans les échanges</w:t>
            </w:r>
          </w:p>
        </w:tc>
        <w:tc>
          <w:tcPr>
            <w:tcW w:type="dxa" w:w="2409"/>
          </w:tcPr>
          <w:p>
            <w:pPr>
              <w:spacing w:after="40"/>
            </w:pPr>
            <w:r>
              <w:rPr>
                <w:b w:val="0"/>
                <w:sz w:val="17"/>
              </w:rPr>
              <w:t>Oui</w:t>
            </w:r>
          </w:p>
        </w:tc>
      </w:tr>
      <w:tr>
        <w:tc>
          <w:tcPr>
            <w:tcW w:type="dxa" w:w="2409"/>
          </w:tcPr>
          <w:p>
            <w:pPr>
              <w:spacing w:after="40"/>
            </w:pPr>
            <w:r>
              <w:rPr>
                <w:b w:val="0"/>
                <w:sz w:val="17"/>
              </w:rPr>
              <w:t>Groupe</w:t>
            </w:r>
          </w:p>
        </w:tc>
        <w:tc>
          <w:tcPr>
            <w:tcW w:type="dxa" w:w="2409"/>
          </w:tcPr>
          <w:p>
            <w:pPr>
              <w:spacing w:after="40"/>
            </w:pPr>
            <w:r>
              <w:rPr>
                <w:b w:val="0"/>
                <w:sz w:val="17"/>
              </w:rPr>
              <w:t>Nom du groupe, précédé d’une icône, et cliquable</w:t>
            </w:r>
          </w:p>
        </w:tc>
        <w:tc>
          <w:tcPr>
            <w:tcW w:type="dxa" w:w="2409"/>
          </w:tcPr>
          <w:p>
            <w:pPr>
              <w:spacing w:after="40"/>
            </w:pPr>
            <w:r>
              <w:rPr>
                <w:b w:val="0"/>
                <w:sz w:val="17"/>
              </w:rPr>
              <w:t>Le libellé métier ; le lien conduit à la fiche</w:t>
            </w:r>
          </w:p>
        </w:tc>
        <w:tc>
          <w:tcPr>
            <w:tcW w:type="dxa" w:w="2409"/>
          </w:tcPr>
          <w:p>
            <w:pPr>
              <w:spacing w:after="40"/>
            </w:pPr>
            <w:r>
              <w:rPr>
                <w:b w:val="0"/>
                <w:sz w:val="17"/>
              </w:rPr>
              <w:t>Oui</w:t>
            </w:r>
          </w:p>
        </w:tc>
      </w:tr>
      <w:tr>
        <w:tc>
          <w:tcPr>
            <w:tcW w:type="dxa" w:w="2409"/>
          </w:tcPr>
          <w:p>
            <w:pPr>
              <w:spacing w:after="40"/>
            </w:pPr>
            <w:r>
              <w:rPr>
                <w:b w:val="0"/>
                <w:sz w:val="17"/>
              </w:rPr>
              <w:t>Espaces</w:t>
            </w:r>
          </w:p>
        </w:tc>
        <w:tc>
          <w:tcPr>
            <w:tcW w:type="dxa" w:w="2409"/>
          </w:tcPr>
          <w:p>
            <w:pPr>
              <w:spacing w:after="40"/>
            </w:pPr>
            <w:r>
              <w:rPr>
                <w:b w:val="0"/>
                <w:sz w:val="17"/>
              </w:rPr>
              <w:t>Nombre d’espaces de travail rattachés</w:t>
            </w:r>
          </w:p>
        </w:tc>
        <w:tc>
          <w:tcPr>
            <w:tcW w:type="dxa" w:w="2409"/>
          </w:tcPr>
          <w:p>
            <w:pPr>
              <w:spacing w:after="40"/>
            </w:pPr>
            <w:r>
              <w:rPr>
                <w:b w:val="0"/>
                <w:sz w:val="17"/>
              </w:rPr>
              <w:t>L’étendue du périmètre couvert, comparable d’une ligne à l’autre</w:t>
            </w:r>
          </w:p>
        </w:tc>
        <w:tc>
          <w:tcPr>
            <w:tcW w:type="dxa" w:w="2409"/>
          </w:tcPr>
          <w:p>
            <w:pPr>
              <w:spacing w:after="40"/>
            </w:pPr>
            <w:r>
              <w:rPr>
                <w:b w:val="0"/>
                <w:sz w:val="17"/>
              </w:rPr>
              <w:t>Oui, sur le nombre</w:t>
            </w:r>
          </w:p>
        </w:tc>
      </w:tr>
      <w:tr>
        <w:tc>
          <w:tcPr>
            <w:tcW w:type="dxa" w:w="2409"/>
          </w:tcPr>
          <w:p>
            <w:pPr>
              <w:spacing w:after="40"/>
            </w:pPr>
            <w:r>
              <w:rPr>
                <w:b w:val="0"/>
                <w:sz w:val="17"/>
              </w:rPr>
              <w:t>Membres</w:t>
            </w:r>
          </w:p>
        </w:tc>
        <w:tc>
          <w:tcPr>
            <w:tcW w:type="dxa" w:w="2409"/>
          </w:tcPr>
          <w:p>
            <w:pPr>
              <w:spacing w:after="40"/>
            </w:pPr>
            <w:r>
              <w:rPr>
                <w:b w:val="0"/>
                <w:sz w:val="17"/>
              </w:rPr>
              <w:t>Initiales colorées des quatre premiers membres, puis « +N »</w:t>
            </w:r>
          </w:p>
        </w:tc>
        <w:tc>
          <w:tcPr>
            <w:tcW w:type="dxa" w:w="2409"/>
          </w:tcPr>
          <w:p>
            <w:pPr>
              <w:spacing w:after="40"/>
            </w:pPr>
            <w:r>
              <w:rPr>
                <w:b w:val="0"/>
                <w:sz w:val="17"/>
              </w:rPr>
              <w:t>La taille de l’équipe et, au survol, l’identité des premiers membres</w:t>
            </w:r>
          </w:p>
        </w:tc>
        <w:tc>
          <w:tcPr>
            <w:tcW w:type="dxa" w:w="2409"/>
          </w:tcPr>
          <w:p>
            <w:pPr>
              <w:spacing w:after="40"/>
            </w:pPr>
            <w:r>
              <w:rPr>
                <w:b w:val="0"/>
                <w:sz w:val="17"/>
              </w:rPr>
              <w:t>Oui, sur le nombre</w:t>
            </w:r>
          </w:p>
        </w:tc>
      </w:tr>
      <w:tr>
        <w:tc>
          <w:tcPr>
            <w:tcW w:type="dxa" w:w="2409"/>
          </w:tcPr>
          <w:p>
            <w:pPr>
              <w:spacing w:after="40"/>
            </w:pPr>
            <w:r>
              <w:rPr>
                <w:b w:val="0"/>
                <w:sz w:val="17"/>
              </w:rPr>
              <w:t>Actions</w:t>
            </w:r>
          </w:p>
        </w:tc>
        <w:tc>
          <w:tcPr>
            <w:tcW w:type="dxa" w:w="2409"/>
          </w:tcPr>
          <w:p>
            <w:pPr>
              <w:spacing w:after="40"/>
            </w:pPr>
            <w:r>
              <w:rPr>
                <w:b w:val="0"/>
                <w:sz w:val="17"/>
              </w:rPr>
              <w:t>Boutons d’action de la ligne</w:t>
            </w:r>
          </w:p>
        </w:tc>
        <w:tc>
          <w:tcPr>
            <w:tcW w:type="dxa" w:w="2409"/>
          </w:tcPr>
          <w:p>
            <w:pPr>
              <w:spacing w:after="40"/>
            </w:pPr>
            <w:r>
              <w:rPr>
                <w:b w:val="0"/>
                <w:sz w:val="17"/>
              </w:rPr>
              <w:t>Ce qu’il est possible de faire sans quitter la liste</w:t>
            </w:r>
          </w:p>
        </w:tc>
        <w:tc>
          <w:tcPr>
            <w:tcW w:type="dxa" w:w="2409"/>
          </w:tcPr>
          <w:p>
            <w:pPr>
              <w:spacing w:after="40"/>
            </w:pPr>
            <w:r>
              <w:rPr>
                <w:b w:val="0"/>
                <w:sz w:val="17"/>
              </w:rPr>
              <w:t>Non</w:t>
            </w:r>
          </w:p>
        </w:tc>
      </w:tr>
    </w:tbl>
    <w:p/>
    <w:p>
      <w:r>
        <w:rPr>
          <w:i w:val="0"/>
        </w:rPr>
        <w:t>Le tri sur « Espaces » et sur « Membres » porte sur le **nombre**, non sur les noms. C’est le tri utile : il permet de repérer immédiatement les groupes les plus larges et les groupes vides.</w:t>
      </w:r>
    </w:p>
    <w:p>
      <w:pPr>
        <w:pStyle w:val="Heading2"/>
      </w:pPr>
      <w:r>
        <w:t>3.4 Les actions d’une ligne</w:t>
      </w:r>
    </w:p>
    <w:tbl>
      <w:tblPr>
        <w:tblStyle w:val="LightGrid-Accent1"/>
        <w:tblW w:type="auto" w:w="0"/>
        <w:tblLayout w:type="autofit"/>
        <w:tblLook w:firstColumn="1" w:firstRow="1" w:lastColumn="0" w:lastRow="0" w:noHBand="0" w:noVBand="1" w:val="04A0"/>
      </w:tblPr>
      <w:tblGrid>
        <w:gridCol w:w="4819"/>
        <w:gridCol w:w="4819"/>
      </w:tblGrid>
      <w:tr>
        <w:tc>
          <w:tcPr>
            <w:tcW w:type="dxa" w:w="4819"/>
          </w:tcPr>
          <w:p>
            <w:r>
              <w:rPr>
                <w:b/>
                <w:sz w:val="18"/>
              </w:rPr>
              <w:t>Vue</w:t>
            </w:r>
          </w:p>
        </w:tc>
        <w:tc>
          <w:tcPr>
            <w:tcW w:type="dxa" w:w="4819"/>
          </w:tcPr>
          <w:p>
            <w:r>
              <w:rPr>
                <w:b/>
                <w:sz w:val="18"/>
              </w:rPr>
              <w:t>Actions proposées</w:t>
            </w:r>
          </w:p>
        </w:tc>
      </w:tr>
      <w:tr>
        <w:tc>
          <w:tcPr>
            <w:tcW w:type="dxa" w:w="4819"/>
          </w:tcPr>
          <w:p>
            <w:pPr>
              <w:spacing w:after="40"/>
            </w:pPr>
            <w:r>
              <w:rPr>
                <w:b w:val="0"/>
                <w:sz w:val="18"/>
              </w:rPr>
              <w:t>Groupes présents</w:t>
            </w:r>
          </w:p>
        </w:tc>
        <w:tc>
          <w:tcPr>
            <w:tcW w:type="dxa" w:w="4819"/>
          </w:tcPr>
          <w:p>
            <w:pPr>
              <w:spacing w:after="40"/>
            </w:pPr>
            <w:r>
              <w:rPr>
                <w:b w:val="0"/>
                <w:sz w:val="18"/>
              </w:rPr>
              <w:t>Ouvrir la fiche · Modifier · Supprimer</w:t>
            </w:r>
          </w:p>
        </w:tc>
      </w:tr>
      <w:tr>
        <w:tc>
          <w:tcPr>
            <w:tcW w:type="dxa" w:w="4819"/>
          </w:tcPr>
          <w:p>
            <w:pPr>
              <w:spacing w:after="40"/>
            </w:pPr>
            <w:r>
              <w:rPr>
                <w:b w:val="0"/>
                <w:sz w:val="18"/>
              </w:rPr>
              <w:t>Corbeille</w:t>
            </w:r>
          </w:p>
        </w:tc>
        <w:tc>
          <w:tcPr>
            <w:tcW w:type="dxa" w:w="4819"/>
          </w:tcPr>
          <w:p>
            <w:pPr>
              <w:spacing w:after="40"/>
            </w:pPr>
            <w:r>
              <w:rPr>
                <w:b w:val="0"/>
                <w:sz w:val="18"/>
              </w:rPr>
              <w:t>Restaurer, et rien d’autre</w:t>
            </w:r>
          </w:p>
        </w:tc>
      </w:tr>
    </w:tbl>
    <w:p/>
    <w:p>
      <w:pPr>
        <w:pStyle w:val="Heading2"/>
      </w:pPr>
      <w:r>
        <w:t>3.5 Les états vides</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Situation</w:t>
            </w:r>
          </w:p>
        </w:tc>
        <w:tc>
          <w:tcPr>
            <w:tcW w:type="dxa" w:w="3213"/>
          </w:tcPr>
          <w:p>
            <w:r>
              <w:rPr>
                <w:b/>
                <w:sz w:val="18"/>
              </w:rPr>
              <w:t>Titre affiché</w:t>
            </w:r>
          </w:p>
        </w:tc>
        <w:tc>
          <w:tcPr>
            <w:tcW w:type="dxa" w:w="3213"/>
          </w:tcPr>
          <w:p>
            <w:r>
              <w:rPr>
                <w:b/>
                <w:sz w:val="18"/>
              </w:rPr>
              <w:t>Précision affichée</w:t>
            </w:r>
          </w:p>
        </w:tc>
      </w:tr>
      <w:tr>
        <w:tc>
          <w:tcPr>
            <w:tcW w:type="dxa" w:w="3213"/>
          </w:tcPr>
          <w:p>
            <w:pPr>
              <w:spacing w:after="40"/>
            </w:pPr>
            <w:r>
              <w:rPr>
                <w:b w:val="0"/>
                <w:sz w:val="18"/>
              </w:rPr>
              <w:t>Aucun groupe n’existe</w:t>
            </w:r>
          </w:p>
        </w:tc>
        <w:tc>
          <w:tcPr>
            <w:tcW w:type="dxa" w:w="3213"/>
          </w:tcPr>
          <w:p>
            <w:pPr>
              <w:spacing w:after="40"/>
            </w:pPr>
            <w:r>
              <w:rPr>
                <w:b w:val="0"/>
                <w:sz w:val="18"/>
              </w:rPr>
              <w:t>Aucun groupe d’accès</w:t>
            </w:r>
          </w:p>
        </w:tc>
        <w:tc>
          <w:tcPr>
            <w:tcW w:type="dxa" w:w="3213"/>
          </w:tcPr>
          <w:p>
            <w:pPr>
              <w:spacing w:after="40"/>
            </w:pPr>
            <w:r>
              <w:rPr>
                <w:b w:val="0"/>
                <w:sz w:val="18"/>
              </w:rPr>
              <w:t>Créez un groupe pour rattacher des utilisateurs à des espaces de travail.</w:t>
            </w:r>
          </w:p>
        </w:tc>
      </w:tr>
      <w:tr>
        <w:tc>
          <w:tcPr>
            <w:tcW w:type="dxa" w:w="3213"/>
          </w:tcPr>
          <w:p>
            <w:pPr>
              <w:spacing w:after="40"/>
            </w:pPr>
            <w:r>
              <w:rPr>
                <w:b w:val="0"/>
                <w:sz w:val="18"/>
              </w:rPr>
              <w:t>La corbeille est vide</w:t>
            </w:r>
          </w:p>
        </w:tc>
        <w:tc>
          <w:tcPr>
            <w:tcW w:type="dxa" w:w="3213"/>
          </w:tcPr>
          <w:p>
            <w:pPr>
              <w:spacing w:after="40"/>
            </w:pPr>
            <w:r>
              <w:rPr>
                <w:b w:val="0"/>
                <w:sz w:val="18"/>
              </w:rPr>
              <w:t>L’archive est vide</w:t>
            </w:r>
          </w:p>
        </w:tc>
        <w:tc>
          <w:tcPr>
            <w:tcW w:type="dxa" w:w="3213"/>
          </w:tcPr>
          <w:p>
            <w:pPr>
              <w:spacing w:after="40"/>
            </w:pPr>
            <w:r>
              <w:rPr>
                <w:b w:val="0"/>
                <w:sz w:val="18"/>
              </w:rPr>
              <w:t>Aucun groupe supprimé n’attend d’être restauré.</w:t>
            </w:r>
          </w:p>
        </w:tc>
      </w:tr>
    </w:tbl>
    <w:p/>
    <w:p>
      <w:pPr>
        <w:pStyle w:val="Heading2"/>
      </w:pPr>
      <w:r>
        <w:t>3.6 La fiche d’un groupe</w:t>
      </w:r>
    </w:p>
    <w:p>
      <w:r>
        <w:rPr>
          <w:i w:val="0"/>
        </w:rPr>
        <w:t>Le nom du groupe sert de titre, suivi d’un fil d’Ariane et d’un bouton « Modifier ». La fiche se lit en deux temps.</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Bloc</w:t>
            </w:r>
          </w:p>
        </w:tc>
        <w:tc>
          <w:tcPr>
            <w:tcW w:type="dxa" w:w="3213"/>
          </w:tcPr>
          <w:p>
            <w:r>
              <w:rPr>
                <w:b/>
                <w:sz w:val="18"/>
              </w:rPr>
              <w:t>Contenu</w:t>
            </w:r>
          </w:p>
        </w:tc>
        <w:tc>
          <w:tcPr>
            <w:tcW w:type="dxa" w:w="3213"/>
          </w:tcPr>
          <w:p>
            <w:r>
              <w:rPr>
                <w:b/>
                <w:sz w:val="18"/>
              </w:rPr>
              <w:t>Ordre d’affichage</w:t>
            </w:r>
          </w:p>
        </w:tc>
      </w:tr>
      <w:tr>
        <w:tc>
          <w:tcPr>
            <w:tcW w:type="dxa" w:w="3213"/>
          </w:tcPr>
          <w:p>
            <w:pPr>
              <w:spacing w:after="40"/>
            </w:pPr>
            <w:r>
              <w:rPr>
                <w:b w:val="0"/>
                <w:sz w:val="18"/>
              </w:rPr>
              <w:t>Identification</w:t>
            </w:r>
          </w:p>
        </w:tc>
        <w:tc>
          <w:tcPr>
            <w:tcW w:type="dxa" w:w="3213"/>
          </w:tcPr>
          <w:p>
            <w:pPr>
              <w:spacing w:after="40"/>
            </w:pPr>
            <w:r>
              <w:rPr>
                <w:b w:val="0"/>
                <w:sz w:val="18"/>
              </w:rPr>
              <w:t>Code · Espaces couverts (nombre) · Membres (nombre)</w:t>
            </w:r>
          </w:p>
        </w:tc>
        <w:tc>
          <w:tcPr>
            <w:tcW w:type="dxa" w:w="3213"/>
          </w:tcPr>
          <w:p>
            <w:pPr>
              <w:spacing w:after="40"/>
            </w:pPr>
            <w:r>
              <w:rPr>
                <w:b w:val="0"/>
                <w:sz w:val="18"/>
              </w:rPr>
              <w:t>Imposé par la consigne, respecté par le produit</w:t>
            </w:r>
          </w:p>
        </w:tc>
      </w:tr>
      <w:tr>
        <w:tc>
          <w:tcPr>
            <w:tcW w:type="dxa" w:w="3213"/>
          </w:tcPr>
          <w:p>
            <w:pPr>
              <w:spacing w:after="40"/>
            </w:pPr>
            <w:r>
              <w:rPr>
                <w:b w:val="0"/>
                <w:sz w:val="18"/>
              </w:rPr>
              <w:t>Utilisateurs</w:t>
            </w:r>
          </w:p>
        </w:tc>
        <w:tc>
          <w:tcPr>
            <w:tcW w:type="dxa" w:w="3213"/>
          </w:tcPr>
          <w:p>
            <w:pPr>
              <w:spacing w:after="40"/>
            </w:pPr>
            <w:r>
              <w:rPr>
                <w:b w:val="0"/>
                <w:sz w:val="18"/>
              </w:rPr>
              <w:t>Compteur, puis la liste nominative avec initiales colorées</w:t>
            </w:r>
          </w:p>
        </w:tc>
        <w:tc>
          <w:tcPr>
            <w:tcW w:type="dxa" w:w="3213"/>
          </w:tcPr>
          <w:p>
            <w:pPr>
              <w:spacing w:after="40"/>
            </w:pPr>
            <w:r>
              <w:rPr>
                <w:b w:val="0"/>
                <w:sz w:val="18"/>
              </w:rPr>
              <w:t>À gauche</w:t>
            </w:r>
          </w:p>
        </w:tc>
      </w:tr>
      <w:tr>
        <w:tc>
          <w:tcPr>
            <w:tcW w:type="dxa" w:w="3213"/>
          </w:tcPr>
          <w:p>
            <w:pPr>
              <w:spacing w:after="40"/>
            </w:pPr>
            <w:r>
              <w:rPr>
                <w:b w:val="0"/>
                <w:sz w:val="18"/>
              </w:rPr>
              <w:t>Espaces de travail</w:t>
            </w:r>
          </w:p>
        </w:tc>
        <w:tc>
          <w:tcPr>
            <w:tcW w:type="dxa" w:w="3213"/>
          </w:tcPr>
          <w:p>
            <w:pPr>
              <w:spacing w:after="40"/>
            </w:pPr>
            <w:r>
              <w:rPr>
                <w:b w:val="0"/>
                <w:sz w:val="18"/>
              </w:rPr>
              <w:t>Compteur, puis la liste nominative, chaque dossier étant cliquable</w:t>
            </w:r>
          </w:p>
        </w:tc>
        <w:tc>
          <w:tcPr>
            <w:tcW w:type="dxa" w:w="3213"/>
          </w:tcPr>
          <w:p>
            <w:pPr>
              <w:spacing w:after="40"/>
            </w:pPr>
            <w:r>
              <w:rPr>
                <w:b w:val="0"/>
                <w:sz w:val="18"/>
              </w:rPr>
              <w:t>À droite</w:t>
            </w:r>
          </w:p>
        </w:tc>
      </w:tr>
    </w:tbl>
    <w:p/>
    <w:p>
      <w:r>
        <w:rPr>
          <w:i w:val="0"/>
        </w:rPr>
        <w:t>Lorsqu’un bloc est vide, la mention affichée est « Aucun utilisateur assigné. » ou « Aucun espace de travail assigné. ». Une fiche demandée pour un groupe inexistant affiche « Groupe d’accès introuvable » et « Il a peut-être été supprimé. » avec un lien de retour à la liste.</w:t>
      </w:r>
    </w:p>
    <w:p>
      <w:pPr>
        <w:pStyle w:val="Heading2"/>
      </w:pPr>
      <w:r>
        <w:t>3.7 Le formulaire</w:t>
      </w:r>
    </w:p>
    <w:p>
      <w:r>
        <w:rPr>
          <w:i w:val="0"/>
        </w:rPr>
        <w:t>Le formulaire s’ouvre en fenêtre, intitulée « Créer un groupe d’accès » ou « Modifier le groupe d’accès ». Il présente deux sections.</w:t>
      </w:r>
    </w:p>
    <w:tbl>
      <w:tblPr>
        <w:tblStyle w:val="LightGrid-Accent1"/>
        <w:tblW w:type="auto" w:w="0"/>
        <w:tblLayout w:type="autofit"/>
        <w:tblLook w:firstColumn="1" w:firstRow="1" w:lastColumn="0" w:lastRow="0" w:noHBand="0" w:noVBand="1" w:val="04A0"/>
      </w:tblPr>
      <w:tblGrid>
        <w:gridCol w:w="4819"/>
        <w:gridCol w:w="4819"/>
      </w:tblGrid>
      <w:tr>
        <w:tc>
          <w:tcPr>
            <w:tcW w:type="dxa" w:w="4819"/>
          </w:tcPr>
          <w:p>
            <w:r>
              <w:rPr>
                <w:b/>
                <w:sz w:val="18"/>
              </w:rPr>
              <w:t>Section</w:t>
            </w:r>
          </w:p>
        </w:tc>
        <w:tc>
          <w:tcPr>
            <w:tcW w:type="dxa" w:w="4819"/>
          </w:tcPr>
          <w:p>
            <w:r>
              <w:rPr>
                <w:b/>
                <w:sz w:val="18"/>
              </w:rPr>
              <w:t>Champs</w:t>
            </w:r>
          </w:p>
        </w:tc>
      </w:tr>
      <w:tr>
        <w:tc>
          <w:tcPr>
            <w:tcW w:type="dxa" w:w="4819"/>
          </w:tcPr>
          <w:p>
            <w:pPr>
              <w:spacing w:after="40"/>
            </w:pPr>
            <w:r>
              <w:rPr>
                <w:b w:val="0"/>
                <w:sz w:val="18"/>
              </w:rPr>
              <w:t>Identification</w:t>
            </w:r>
          </w:p>
        </w:tc>
        <w:tc>
          <w:tcPr>
            <w:tcW w:type="dxa" w:w="4819"/>
          </w:tcPr>
          <w:p>
            <w:pPr>
              <w:spacing w:after="40"/>
            </w:pPr>
            <w:r>
              <w:rPr>
                <w:b w:val="0"/>
                <w:sz w:val="18"/>
              </w:rPr>
              <w:t>Code · Nom de group</w:t>
            </w:r>
          </w:p>
        </w:tc>
      </w:tr>
      <w:tr>
        <w:tc>
          <w:tcPr>
            <w:tcW w:type="dxa" w:w="4819"/>
          </w:tcPr>
          <w:p>
            <w:pPr>
              <w:spacing w:after="40"/>
            </w:pPr>
            <w:r>
              <w:rPr>
                <w:b w:val="0"/>
                <w:sz w:val="18"/>
              </w:rPr>
              <w:t>Liste des utilisateurs &amp; Workspaces</w:t>
            </w:r>
          </w:p>
        </w:tc>
        <w:tc>
          <w:tcPr>
            <w:tcW w:type="dxa" w:w="4819"/>
          </w:tcPr>
          <w:p>
            <w:pPr>
              <w:spacing w:after="40"/>
            </w:pPr>
            <w:r>
              <w:rPr>
                <w:b w:val="0"/>
                <w:sz w:val="18"/>
              </w:rPr>
              <w:t>Liste des WorkSpaces · Liste des utilisateurs</w:t>
            </w:r>
          </w:p>
        </w:tc>
      </w:tr>
    </w:tbl>
    <w:p/>
    <w:p>
      <w:r>
        <w:rPr>
          <w:i w:val="0"/>
        </w:rPr>
        <w:t>Le pied de fenêtre porte les boutons « Annuler » et « Ajouter » — ou « Mettre à jour » en modification. Le libellé « Nom de group » est celui du produit et doit être conservé tel quel, y compris dans les supports de recette.</w:t>
      </w:r>
    </w:p>
    <w:p>
      <w:pPr>
        <w:pStyle w:val="Heading1"/>
      </w:pPr>
      <w:r>
        <w:t>4. Le processus, étape par étape</w:t>
      </w:r>
    </w:p>
    <w:p>
      <w:pPr>
        <w:pStyle w:val="Heading2"/>
      </w:pPr>
      <w:r>
        <w:t>4.1 Parcours 1 — Créer un groupe</w:t>
      </w:r>
    </w:p>
    <w:p>
      <w:pPr>
        <w:pStyle w:val="ListNumber"/>
      </w:pPr>
      <w:r>
        <w:rPr>
          <w:b/>
        </w:rPr>
        <w:t>L’utilisateur active « Créer un groupe ».</w:t>
      </w:r>
      <w:r>
        <w:rPr>
          <w:b w:val="0"/>
        </w:rPr>
        <w:t xml:space="preserve"> La fenêtre s’ouvre, vide.</w:t>
      </w:r>
    </w:p>
    <w:p>
      <w:pPr>
        <w:pStyle w:val="ListNumber"/>
      </w:pPr>
      <w:r>
        <w:rPr>
          <w:b/>
        </w:rPr>
        <w:t>L’application prépare les deux listes de choix</w:t>
      </w:r>
      <w:r>
        <w:rPr>
          <w:b w:val="0"/>
        </w:rPr>
        <w:t xml:space="preserve"> : les espaces de travail hors corbeille, et les employés pouvant être rattachés.</w:t>
      </w:r>
    </w:p>
    <w:p>
      <w:pPr>
        <w:pStyle w:val="ListNumber"/>
      </w:pPr>
      <w:r>
        <w:rPr>
          <w:b/>
        </w:rPr>
        <w:t>L’utilisateur saisit le code et le nom.</w:t>
      </w:r>
      <w:r>
        <w:rPr>
          <w:b w:val="0"/>
        </w:rPr>
        <w:t xml:space="preserve"> Les deux sont obligatoires.</w:t>
      </w:r>
    </w:p>
    <w:p>
      <w:pPr>
        <w:pStyle w:val="ListNumber"/>
      </w:pPr>
      <w:r>
        <w:rPr>
          <w:b/>
        </w:rPr>
        <w:t>Il choisit, éventuellement, un ou plusieurs espaces de travail.</w:t>
      </w:r>
      <w:r>
        <w:rPr>
          <w:b w:val="0"/>
        </w:rPr>
        <w:t xml:space="preserve"> La sélection est multiple ; elle peut rester vide.</w:t>
      </w:r>
    </w:p>
    <w:p>
      <w:pPr>
        <w:pStyle w:val="ListNumber"/>
      </w:pPr>
      <w:r>
        <w:rPr>
          <w:b/>
        </w:rPr>
        <w:t>Il choisit, éventuellement, un ou plusieurs membres.</w:t>
      </w:r>
      <w:r>
        <w:rPr>
          <w:b w:val="0"/>
        </w:rPr>
        <w:t xml:space="preserve"> Même principe.</w:t>
      </w:r>
    </w:p>
    <w:p>
      <w:pPr>
        <w:pStyle w:val="ListNumber"/>
      </w:pPr>
      <w:r>
        <w:rPr>
          <w:b/>
        </w:rPr>
        <w:t>Il valide par « Ajouter ».</w:t>
      </w:r>
      <w:r>
        <w:rPr>
          <w:b w:val="0"/>
        </w:rPr>
        <w:t xml:space="preserve"> L’application vérifie que le code et le nom sont renseignés, puis qu’ils ne sont pas déjà utilisés par un autre groupe.</w:t>
      </w:r>
    </w:p>
    <w:p>
      <w:pPr>
        <w:pStyle w:val="ListNumber"/>
      </w:pPr>
      <w:r>
        <w:rPr>
          <w:b/>
        </w:rPr>
        <w:t>Le message « Groupe d’accès créé. » confirme l’enregistrement.</w:t>
      </w:r>
    </w:p>
    <w:p>
      <w:pPr>
        <w:pStyle w:val="ListNumber"/>
      </w:pPr>
      <w:r>
        <w:rPr>
          <w:b/>
        </w:rPr>
        <w:t>L’application ouvre directement la fiche du groupe créé</w:t>
      </w:r>
      <w:r>
        <w:rPr>
          <w:b w:val="0"/>
        </w:rPr>
        <w:t>, plutôt que de revenir à la liste : revenir à la liste obligerait à retrouver, à la main, le groupe que l’on vient tout juste de créer.</w:t>
      </w:r>
    </w:p>
    <w:p>
      <w:pPr>
        <w:pStyle w:val="Heading2"/>
      </w:pPr>
      <w:r>
        <w:t>4.2 Parcours 2 — Modifier un groupe</w:t>
      </w:r>
    </w:p>
    <w:p>
      <w:pPr>
        <w:pStyle w:val="ListNumber"/>
      </w:pPr>
      <w:r>
        <w:rPr>
          <w:b/>
        </w:rPr>
        <w:t>L’utilisateur active « Modifier »</w:t>
      </w:r>
      <w:r>
        <w:rPr>
          <w:b w:val="0"/>
        </w:rPr>
        <w:t>, depuis la ligne du tableau ou depuis la fiche.</w:t>
      </w:r>
    </w:p>
    <w:p>
      <w:pPr>
        <w:pStyle w:val="ListNumber"/>
      </w:pPr>
      <w:r>
        <w:rPr>
          <w:b/>
        </w:rPr>
        <w:t>L’application relit la fiche complète</w:t>
      </w:r>
      <w:r>
        <w:rPr>
          <w:b w:val="0"/>
        </w:rPr>
        <w:t xml:space="preserve"> et ouvre le formulaire pré-rempli, sélections comprises.</w:t>
      </w:r>
    </w:p>
    <w:p>
      <w:pPr>
        <w:pStyle w:val="ListNumber"/>
      </w:pPr>
      <w:r>
        <w:rPr>
          <w:b/>
        </w:rPr>
        <w:t>L’utilisateur ajoute ou retire des espaces et des membres</w:t>
      </w:r>
      <w:r>
        <w:rPr>
          <w:b w:val="0"/>
        </w:rPr>
        <w:t>, ou corrige le code et le nom.</w:t>
      </w:r>
    </w:p>
    <w:p>
      <w:pPr>
        <w:pStyle w:val="ListNumber"/>
      </w:pPr>
      <w:r>
        <w:rPr>
          <w:b/>
        </w:rPr>
        <w:t>Il valide par « Mettre à jour ».</w:t>
      </w:r>
    </w:p>
    <w:p>
      <w:pPr>
        <w:pStyle w:val="ListNumber"/>
      </w:pPr>
      <w:r>
        <w:rPr>
          <w:b/>
        </w:rPr>
        <w:t>Les rattachements enregistrés sont intégralement remplacés</w:t>
      </w:r>
      <w:r>
        <w:rPr>
          <w:b w:val="0"/>
        </w:rPr>
        <w:t xml:space="preserve"> par ceux du formulaire.</w:t>
      </w:r>
    </w:p>
    <w:p>
      <w:pPr>
        <w:pStyle w:val="ListNumber"/>
      </w:pPr>
      <w:r>
        <w:rPr>
          <w:b/>
        </w:rPr>
        <w:t>Le message « Groupe d’accès modifié. » confirme</w:t>
      </w:r>
      <w:r>
        <w:rPr>
          <w:b w:val="0"/>
        </w:rPr>
        <w:t>, et l’application revient à la liste rechargée.</w:t>
      </w:r>
    </w:p>
    <w:p>
      <w:pPr>
        <w:pStyle w:val="Heading2"/>
      </w:pPr>
      <w:r>
        <w:t>4.3 Parcours 3 — Consulter un groupe</w:t>
      </w:r>
    </w:p>
    <w:p>
      <w:pPr>
        <w:pStyle w:val="ListNumber"/>
      </w:pPr>
      <w:r>
        <w:rPr>
          <w:b/>
        </w:rPr>
        <w:t>L’utilisateur active le nom du groupe dans le tableau</w:t>
      </w:r>
      <w:r>
        <w:rPr>
          <w:b w:val="0"/>
        </w:rPr>
        <w:t>, ou le bouton « Ouvrir la fiche ».</w:t>
      </w:r>
    </w:p>
    <w:p>
      <w:pPr>
        <w:pStyle w:val="ListNumber"/>
      </w:pPr>
      <w:r>
        <w:rPr>
          <w:b/>
        </w:rPr>
        <w:t>La fiche présente d’abord l’identification</w:t>
      </w:r>
      <w:r>
        <w:rPr>
          <w:b w:val="0"/>
        </w:rPr>
        <w:t xml:space="preserve"> : code, nombre d’espaces couverts, nombre de membres.</w:t>
      </w:r>
    </w:p>
    <w:p>
      <w:pPr>
        <w:pStyle w:val="ListNumber"/>
      </w:pPr>
      <w:r>
        <w:rPr>
          <w:b/>
        </w:rPr>
        <w:t>Puis les deux listes nominatives</w:t>
      </w:r>
      <w:r>
        <w:rPr>
          <w:b w:val="0"/>
        </w:rPr>
        <w:t>, côte à côte : les membres à gauche, les espaces à droite.</w:t>
      </w:r>
    </w:p>
    <w:p>
      <w:pPr>
        <w:pStyle w:val="ListNumber"/>
      </w:pPr>
      <w:r>
        <w:rPr>
          <w:b/>
        </w:rPr>
        <w:t>Chaque espace listé est cliquable</w:t>
      </w:r>
      <w:r>
        <w:rPr>
          <w:b w:val="0"/>
        </w:rPr>
        <w:t xml:space="preserve"> et conduit à la fiche du dossier correspondant. Les membres, eux, ne sont pas cliquables : il n’y a pas de fiche d’employé accessible depuis cet écran.</w:t>
      </w:r>
    </w:p>
    <w:p>
      <w:pPr>
        <w:pStyle w:val="Heading2"/>
      </w:pPr>
      <w:r>
        <w:t>4.4 Parcours 4 — Supprimer et restaurer</w:t>
      </w:r>
    </w:p>
    <w:p>
      <w:pPr>
        <w:pStyle w:val="ListNumber"/>
      </w:pPr>
      <w:r>
        <w:rPr>
          <w:b/>
        </w:rPr>
        <w:t>L’utilisateur active « Supprimer ».</w:t>
      </w:r>
      <w:r>
        <w:rPr>
          <w:b w:val="0"/>
        </w:rPr>
        <w:t xml:space="preserve"> Une confirmation s’ouvre, intitulée « Supprimer ce groupe », et </w:t>
      </w:r>
      <w:r>
        <w:rPr>
          <w:b/>
        </w:rPr>
        <w:t>nomme le groupe</w:t>
      </w:r>
      <w:r>
        <w:rPr>
          <w:b w:val="0"/>
        </w:rPr>
        <w:t xml:space="preserve"> : « « Administration générale » sera déplacé vers la corbeille. »</w:t>
      </w:r>
    </w:p>
    <w:p>
      <w:pPr>
        <w:pStyle w:val="ListNumber"/>
      </w:pPr>
      <w:r>
        <w:rPr>
          <w:b/>
        </w:rPr>
        <w:t>Il confirme.</w:t>
      </w:r>
      <w:r>
        <w:rPr>
          <w:b w:val="0"/>
        </w:rPr>
        <w:t xml:space="preserve"> Le groupe rejoint la corbeille ; </w:t>
      </w:r>
      <w:r>
        <w:rPr>
          <w:b/>
        </w:rPr>
        <w:t>ni les employés ni les espaces ne sont touchés</w:t>
      </w:r>
      <w:r>
        <w:rPr>
          <w:b w:val="0"/>
        </w:rPr>
        <w:t>, seul le rattachement cesse d’être visible.</w:t>
      </w:r>
    </w:p>
    <w:p>
      <w:pPr>
        <w:pStyle w:val="ListNumber"/>
      </w:pPr>
      <w:r>
        <w:rPr>
          <w:b/>
        </w:rPr>
        <w:t>Le message « Groupe d’accès supprimé. » confirme.</w:t>
      </w:r>
    </w:p>
    <w:p>
      <w:pPr>
        <w:pStyle w:val="ListNumber"/>
      </w:pPr>
      <w:r>
        <w:rPr>
          <w:b/>
        </w:rPr>
        <w:t>Pour le retrouver</w:t>
      </w:r>
      <w:r>
        <w:rPr>
          <w:b w:val="0"/>
        </w:rPr>
        <w:t>, il bascule sur « Archive », puis active « Restaurer ». Aucune confirmation n’est demandée ; le message « Groupe d’accès restauré. » confirme.</w:t>
      </w:r>
    </w:p>
    <w:p>
      <w:r>
        <w:rPr>
          <w:i w:val="0"/>
        </w:rPr>
        <w:t>Pour une action groupée, l’utilisateur active « Sélectionner », coche les lignes, puis le bouton « Supprimer (n) ». La confirmation annonce « Voulez-vous supprimer 2 groupe(s) ? » et le résultat « 2 groupe(s) supprimé(s). ».</w:t>
      </w:r>
    </w:p>
    <w:p>
      <w:pPr>
        <w:pStyle w:val="Heading2"/>
      </w:pPr>
      <w:r>
        <w:t>4.5 Schéma d’ensemble</w:t>
      </w:r>
    </w:p>
    <w:p>
      <w:pPr>
        <w:spacing w:after="40"/>
      </w:pPr>
      <w:r>
        <w:rPr>
          <w:b/>
          <w:sz w:val="19"/>
        </w:rPr>
        <w:t>Cycle de vie d'un groupe : un rattachement, rien de plus</w:t>
      </w:r>
    </w:p>
    <w:p>
      <w:pPr>
        <w:spacing w:after="0" w:before="0" w:line="240" w:lineRule="auto"/>
      </w:pPr>
      <w:r>
        <w:rPr>
          <w:rFonts w:ascii="Consolas" w:hAnsi="Consolas" w:cs="Consolas" w:eastAsia="Consolas"/>
          <w:sz w:val="18"/>
        </w:rPr>
        <w:t xml:space="preserve">   LISTE DES GROUPES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 Creer un groupe » ---&gt; FORMULAIRE (vide)</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 Ajouter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v</w:t>
      </w:r>
    </w:p>
    <w:p>
      <w:pPr>
        <w:spacing w:after="0" w:before="0" w:line="240" w:lineRule="auto"/>
      </w:pPr>
      <w:r>
        <w:rPr>
          <w:rFonts w:ascii="Consolas" w:hAnsi="Consolas" w:cs="Consolas" w:eastAsia="Consolas"/>
          <w:sz w:val="18"/>
        </w:rPr>
        <w:t xml:space="preserve">        |                        controles : code + nom</w:t>
      </w:r>
    </w:p>
    <w:p>
      <w:pPr>
        <w:spacing w:after="0" w:before="0" w:line="240" w:lineRule="auto"/>
      </w:pPr>
      <w:r>
        <w:rPr>
          <w:rFonts w:ascii="Consolas" w:hAnsi="Consolas" w:cs="Consolas" w:eastAsia="Consolas"/>
          <w:sz w:val="18"/>
        </w:rPr>
        <w:t xml:space="preserve">        |                        renseignes et non deja pris</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v</w:t>
      </w:r>
    </w:p>
    <w:p>
      <w:pPr>
        <w:spacing w:after="0" w:before="0" w:line="240" w:lineRule="auto"/>
      </w:pPr>
      <w:r>
        <w:rPr>
          <w:rFonts w:ascii="Consolas" w:hAnsi="Consolas" w:cs="Consolas" w:eastAsia="Consolas"/>
          <w:sz w:val="18"/>
        </w:rPr>
        <w:t xml:space="preserve">        |                        FICHE DU GROUPE CREE</w:t>
      </w:r>
    </w:p>
    <w:p>
      <w:pPr>
        <w:spacing w:after="0" w:before="0" w:line="240" w:lineRule="auto"/>
      </w:pPr>
      <w:r>
        <w:rPr>
          <w:rFonts w:ascii="Consolas" w:hAnsi="Consolas" w:cs="Consolas" w:eastAsia="Consolas"/>
          <w:sz w:val="18"/>
        </w:rPr>
        <w:t xml:space="preserve">        |                        (ouverture automatique)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nom du groupe / « Ouvrir la fiche » ---&gt; FICHE</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 Modifier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 Modifier » ---&gt; FORMULAIRE (pre-rempli)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 Mettre a jour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v</w:t>
      </w:r>
    </w:p>
    <w:p>
      <w:pPr>
        <w:spacing w:after="0" w:before="0" w:line="240" w:lineRule="auto"/>
      </w:pPr>
      <w:r>
        <w:rPr>
          <w:rFonts w:ascii="Consolas" w:hAnsi="Consolas" w:cs="Consolas" w:eastAsia="Consolas"/>
          <w:sz w:val="18"/>
        </w:rPr>
        <w:t xml:space="preserve">        |            remplacement TOTAL des rattachements</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v</w:t>
      </w:r>
    </w:p>
    <w:p>
      <w:pPr>
        <w:spacing w:after="0" w:before="0" w:line="240" w:lineRule="auto"/>
      </w:pPr>
      <w:r>
        <w:rPr>
          <w:rFonts w:ascii="Consolas" w:hAnsi="Consolas" w:cs="Consolas" w:eastAsia="Consolas"/>
          <w:sz w:val="18"/>
        </w:rPr>
        <w:t xml:space="preserve">        |                     retour a la LISTE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 Supprimer » ---&gt; confirmation nommant le groupe ---&gt; CORBEILLE</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 Archive »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Restaurer »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groupe de nouveau present</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A AUCUN MOMENT un droit n'est accorde ni retire.</w:t>
      </w:r>
    </w:p>
    <w:p>
      <w:pPr>
        <w:spacing w:after="0" w:before="0" w:line="240" w:lineRule="auto"/>
      </w:pPr>
      <w:r>
        <w:rPr>
          <w:rFonts w:ascii="Consolas" w:hAnsi="Consolas" w:cs="Consolas" w:eastAsia="Consolas"/>
          <w:sz w:val="18"/>
        </w:rPr>
        <w:t xml:space="preserve">   Employes et espaces existent independamment du groupe.</w:t>
      </w:r>
    </w:p>
    <w:p/>
    <w:p>
      <w:pPr>
        <w:pStyle w:val="Heading1"/>
      </w:pPr>
      <w:r>
        <w:t>5. Les données saisies</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r>
              <w:rPr>
                <w:b/>
                <w:sz w:val="19"/>
              </w:rPr>
              <w:t>Intitulé affiché</w:t>
            </w:r>
          </w:p>
        </w:tc>
        <w:tc>
          <w:tcPr>
            <w:tcW w:type="dxa" w:w="1928"/>
          </w:tcPr>
          <w:p>
            <w:r>
              <w:rPr>
                <w:b/>
                <w:sz w:val="19"/>
              </w:rPr>
              <w:t>Nature</w:t>
            </w:r>
          </w:p>
        </w:tc>
        <w:tc>
          <w:tcPr>
            <w:tcW w:type="dxa" w:w="1928"/>
          </w:tcPr>
          <w:p>
            <w:r>
              <w:rPr>
                <w:b/>
                <w:sz w:val="19"/>
              </w:rPr>
              <w:t>Obligatoire</w:t>
            </w:r>
          </w:p>
        </w:tc>
        <w:tc>
          <w:tcPr>
            <w:tcW w:type="dxa" w:w="1928"/>
          </w:tcPr>
          <w:p>
            <w:r>
              <w:rPr>
                <w:b/>
                <w:sz w:val="19"/>
              </w:rPr>
              <w:t>Valeur par défaut</w:t>
            </w:r>
          </w:p>
        </w:tc>
        <w:tc>
          <w:tcPr>
            <w:tcW w:type="dxa" w:w="1928"/>
          </w:tcPr>
          <w:p>
            <w:r>
              <w:rPr>
                <w:b/>
                <w:sz w:val="19"/>
              </w:rPr>
              <w:t>Exemple</w:t>
            </w:r>
          </w:p>
        </w:tc>
      </w:tr>
      <w:tr>
        <w:tc>
          <w:tcPr>
            <w:tcW w:type="dxa" w:w="1928"/>
          </w:tcPr>
          <w:p>
            <w:pPr>
              <w:spacing w:after="40"/>
            </w:pPr>
            <w:r>
              <w:rPr>
                <w:b w:val="0"/>
                <w:sz w:val="19"/>
              </w:rPr>
              <w:t>Code</w:t>
            </w:r>
          </w:p>
        </w:tc>
        <w:tc>
          <w:tcPr>
            <w:tcW w:type="dxa" w:w="1928"/>
          </w:tcPr>
          <w:p>
            <w:pPr>
              <w:spacing w:after="40"/>
            </w:pPr>
            <w:r>
              <w:rPr>
                <w:b w:val="0"/>
                <w:sz w:val="19"/>
              </w:rPr>
              <w:t>Texte, 255 caractères au plus</w:t>
            </w:r>
          </w:p>
        </w:tc>
        <w:tc>
          <w:tcPr>
            <w:tcW w:type="dxa" w:w="1928"/>
          </w:tcPr>
          <w:p>
            <w:pPr>
              <w:spacing w:after="40"/>
            </w:pPr>
            <w:r>
              <w:rPr>
                <w:b w:val="0"/>
                <w:sz w:val="19"/>
              </w:rPr>
              <w:t>Oui</w:t>
            </w:r>
          </w:p>
        </w:tc>
        <w:tc>
          <w:tcPr>
            <w:tcW w:type="dxa" w:w="1928"/>
          </w:tcPr>
          <w:p>
            <w:pPr>
              <w:spacing w:after="40"/>
            </w:pPr>
            <w:r>
              <w:rPr>
                <w:b w:val="0"/>
                <w:sz w:val="19"/>
              </w:rPr>
              <w:t>Vide</w:t>
            </w:r>
          </w:p>
        </w:tc>
        <w:tc>
          <w:tcPr>
            <w:tcW w:type="dxa" w:w="1928"/>
          </w:tcPr>
          <w:p>
            <w:pPr>
              <w:spacing w:after="40"/>
            </w:pPr>
            <w:r>
              <w:rPr>
                <w:b w:val="0"/>
                <w:sz w:val="19"/>
              </w:rPr>
              <w:t>AG-ADMIN</w:t>
            </w:r>
          </w:p>
        </w:tc>
      </w:tr>
      <w:tr>
        <w:tc>
          <w:tcPr>
            <w:tcW w:type="dxa" w:w="1928"/>
          </w:tcPr>
          <w:p>
            <w:pPr>
              <w:spacing w:after="40"/>
            </w:pPr>
            <w:r>
              <w:rPr>
                <w:b w:val="0"/>
                <w:sz w:val="19"/>
              </w:rPr>
              <w:t>Nom de group</w:t>
            </w:r>
          </w:p>
        </w:tc>
        <w:tc>
          <w:tcPr>
            <w:tcW w:type="dxa" w:w="1928"/>
          </w:tcPr>
          <w:p>
            <w:pPr>
              <w:spacing w:after="40"/>
            </w:pPr>
            <w:r>
              <w:rPr>
                <w:b w:val="0"/>
                <w:sz w:val="19"/>
              </w:rPr>
              <w:t>Texte, 255 caractères au plus</w:t>
            </w:r>
          </w:p>
        </w:tc>
        <w:tc>
          <w:tcPr>
            <w:tcW w:type="dxa" w:w="1928"/>
          </w:tcPr>
          <w:p>
            <w:pPr>
              <w:spacing w:after="40"/>
            </w:pPr>
            <w:r>
              <w:rPr>
                <w:b w:val="0"/>
                <w:sz w:val="19"/>
              </w:rPr>
              <w:t>Oui</w:t>
            </w:r>
          </w:p>
        </w:tc>
        <w:tc>
          <w:tcPr>
            <w:tcW w:type="dxa" w:w="1928"/>
          </w:tcPr>
          <w:p>
            <w:pPr>
              <w:spacing w:after="40"/>
            </w:pPr>
            <w:r>
              <w:rPr>
                <w:b w:val="0"/>
                <w:sz w:val="19"/>
              </w:rPr>
              <w:t>Vide</w:t>
            </w:r>
          </w:p>
        </w:tc>
        <w:tc>
          <w:tcPr>
            <w:tcW w:type="dxa" w:w="1928"/>
          </w:tcPr>
          <w:p>
            <w:pPr>
              <w:spacing w:after="40"/>
            </w:pPr>
            <w:r>
              <w:rPr>
                <w:b w:val="0"/>
                <w:sz w:val="19"/>
              </w:rPr>
              <w:t>Administration générale</w:t>
            </w:r>
          </w:p>
        </w:tc>
      </w:tr>
      <w:tr>
        <w:tc>
          <w:tcPr>
            <w:tcW w:type="dxa" w:w="1928"/>
          </w:tcPr>
          <w:p>
            <w:pPr>
              <w:spacing w:after="40"/>
            </w:pPr>
            <w:r>
              <w:rPr>
                <w:b w:val="0"/>
                <w:sz w:val="19"/>
              </w:rPr>
              <w:t>Liste des WorkSpaces</w:t>
            </w:r>
          </w:p>
        </w:tc>
        <w:tc>
          <w:tcPr>
            <w:tcW w:type="dxa" w:w="1928"/>
          </w:tcPr>
          <w:p>
            <w:pPr>
              <w:spacing w:after="40"/>
            </w:pPr>
            <w:r>
              <w:rPr>
                <w:b w:val="0"/>
                <w:sz w:val="19"/>
              </w:rPr>
              <w:t>Sélection multiple</w:t>
            </w:r>
          </w:p>
        </w:tc>
        <w:tc>
          <w:tcPr>
            <w:tcW w:type="dxa" w:w="1928"/>
          </w:tcPr>
          <w:p>
            <w:pPr>
              <w:spacing w:after="40"/>
            </w:pPr>
            <w:r>
              <w:rPr>
                <w:b w:val="0"/>
                <w:sz w:val="19"/>
              </w:rPr>
              <w:t>Non</w:t>
            </w:r>
          </w:p>
        </w:tc>
        <w:tc>
          <w:tcPr>
            <w:tcW w:type="dxa" w:w="1928"/>
          </w:tcPr>
          <w:p>
            <w:pPr>
              <w:spacing w:after="40"/>
            </w:pPr>
            <w:r>
              <w:rPr>
                <w:b w:val="0"/>
                <w:sz w:val="19"/>
              </w:rPr>
              <w:t>Aucune sélection</w:t>
            </w:r>
          </w:p>
        </w:tc>
        <w:tc>
          <w:tcPr>
            <w:tcW w:type="dxa" w:w="1928"/>
          </w:tcPr>
          <w:p>
            <w:pPr>
              <w:spacing w:after="40"/>
            </w:pPr>
            <w:r>
              <w:rPr>
                <w:b w:val="0"/>
                <w:sz w:val="19"/>
              </w:rPr>
              <w:t>Comptabilité ; Direction financière</w:t>
            </w:r>
          </w:p>
        </w:tc>
      </w:tr>
      <w:tr>
        <w:tc>
          <w:tcPr>
            <w:tcW w:type="dxa" w:w="1928"/>
          </w:tcPr>
          <w:p>
            <w:pPr>
              <w:spacing w:after="40"/>
            </w:pPr>
            <w:r>
              <w:rPr>
                <w:b w:val="0"/>
                <w:sz w:val="19"/>
              </w:rPr>
              <w:t>Liste des utilisateurs</w:t>
            </w:r>
          </w:p>
        </w:tc>
        <w:tc>
          <w:tcPr>
            <w:tcW w:type="dxa" w:w="1928"/>
          </w:tcPr>
          <w:p>
            <w:pPr>
              <w:spacing w:after="40"/>
            </w:pPr>
            <w:r>
              <w:rPr>
                <w:b w:val="0"/>
                <w:sz w:val="19"/>
              </w:rPr>
              <w:t>Sélection multiple</w:t>
            </w:r>
          </w:p>
        </w:tc>
        <w:tc>
          <w:tcPr>
            <w:tcW w:type="dxa" w:w="1928"/>
          </w:tcPr>
          <w:p>
            <w:pPr>
              <w:spacing w:after="40"/>
            </w:pPr>
            <w:r>
              <w:rPr>
                <w:b w:val="0"/>
                <w:sz w:val="19"/>
              </w:rPr>
              <w:t>Non</w:t>
            </w:r>
          </w:p>
        </w:tc>
        <w:tc>
          <w:tcPr>
            <w:tcW w:type="dxa" w:w="1928"/>
          </w:tcPr>
          <w:p>
            <w:pPr>
              <w:spacing w:after="40"/>
            </w:pPr>
            <w:r>
              <w:rPr>
                <w:b w:val="0"/>
                <w:sz w:val="19"/>
              </w:rPr>
              <w:t>Aucune sélection</w:t>
            </w:r>
          </w:p>
        </w:tc>
        <w:tc>
          <w:tcPr>
            <w:tcW w:type="dxa" w:w="1928"/>
          </w:tcPr>
          <w:p>
            <w:pPr>
              <w:spacing w:after="40"/>
            </w:pPr>
            <w:r>
              <w:rPr>
                <w:b w:val="0"/>
                <w:sz w:val="19"/>
              </w:rPr>
              <w:t>Sara Bennani ; Karim Alami</w:t>
            </w:r>
          </w:p>
        </w:tc>
      </w:tr>
    </w:tbl>
    <w:p/>
    <w:p>
      <w:pPr>
        <w:pStyle w:val="Heading2"/>
      </w:pPr>
      <w:r>
        <w:t>5.1 Explication des champs</w:t>
      </w:r>
    </w:p>
    <w:p>
      <w:r>
        <w:rPr>
          <w:i w:val="0"/>
        </w:rPr>
        <w:t>**Code.** Texte d’aide affiché : « Ex. AG-ADMIN ». Le code doit être unique dans l’application, sans distinction de majuscules et de minuscules. Il n’est pas interrogé par la recherche, qui ne porte que sur le nom.</w:t>
      </w:r>
    </w:p>
    <w:p>
      <w:r>
        <w:rPr>
          <w:i w:val="0"/>
        </w:rPr>
        <w:t>**Nom de group.** Texte d’aide : « Entrez le nom du groupe ». Le libellé du champ comporte une faute d’accord héritée du cahier des charges ; il est conservé tel quel pour que la documentation coïncide avec l’écran. Le nom doit lui aussi être unique, ce que l’écran n’annonce pas — voir la section 10.</w:t>
      </w:r>
    </w:p>
    <w:p>
      <w:r>
        <w:rPr>
          <w:i w:val="0"/>
        </w:rPr>
        <w:t>**Liste des WorkSpaces.** Sélection multiple parmi les espaces de travail hors corbeille, quel que soit leur statut. Le champ peut rester vide : un groupe sans espace est parfaitement valide.</w:t>
      </w:r>
    </w:p>
    <w:p>
      <w:r>
        <w:rPr>
          <w:i w:val="0"/>
        </w:rPr>
        <w:t>**Liste des utilisateurs.** Sélection multiple parmi les employés portant la mention « peut se connecter ». **Ce n’est donc pas l’ensemble du personnel** : c’est la restriction la plus lourde de cet écran, développée en section 10. Le champ peut rester vide.</w:t>
      </w:r>
    </w:p>
    <w:p>
      <w:pPr>
        <w:pStyle w:val="Heading2"/>
      </w:pPr>
      <w:r>
        <w:t>5.2 Un champ prévu mais absent</w:t>
      </w:r>
    </w:p>
    <w:p>
      <w:r>
        <w:rPr>
          <w:i w:val="0"/>
        </w:rPr>
        <w:t>La consigne d’origine prévoyait un champ « Description » facultatif. Le produit ne le propose pas : le formulaire ne comporte que les quatre champs ci-dessus. Il n’existe donc aucun emplacement pour expliquer la raison d’être d’un groupe. Cette explication doit tenir dans le nom, ou être consignée hors de l’application.</w:t>
      </w:r>
    </w:p>
    <w:p>
      <w:pPr>
        <w:pStyle w:val="Heading1"/>
      </w:pPr>
      <w:r>
        <w:t>6. Les règles de gestion</w:t>
      </w:r>
    </w:p>
    <w:p>
      <w:pPr>
        <w:spacing w:after="40"/>
      </w:pPr>
      <w:r>
        <w:rPr>
          <w:b/>
        </w:rPr>
        <w:t xml:space="preserve">R1. </w:t>
      </w:r>
      <w:r>
        <w:rPr>
          <w:b/>
        </w:rPr>
        <w:t>Un groupe d’accès n’accorde aucun droit et n’en retire aucun.</w:t>
      </w:r>
    </w:p>
    <w:p>
      <w:pPr>
        <w:spacing w:after="200"/>
        <w:ind w:left="454"/>
      </w:pPr>
      <w:r>
        <w:rPr>
          <w:b/>
          <w:sz w:val="19"/>
        </w:rPr>
        <w:t xml:space="preserve">Pourquoi : </w:t>
      </w:r>
      <w:r>
        <w:rPr>
          <w:color w:val="353535"/>
          <w:sz w:val="19"/>
        </w:rPr>
        <w:t>L’application ne comporte qu’un seul compte, à qui tout est ouvert. Il n’existe aucun mécanisme de vérification de droits nulle part dans le produit ; le groupe n’aurait donc rien à quoi s’appliquer. Laisser croire le contraire produirait un faux sentiment de protection.</w:t>
      </w:r>
    </w:p>
    <w:p>
      <w:pPr>
        <w:spacing w:after="40"/>
      </w:pPr>
      <w:r>
        <w:rPr>
          <w:b/>
        </w:rPr>
        <w:t xml:space="preserve">R2. </w:t>
      </w:r>
      <w:r>
        <w:rPr>
          <w:b/>
        </w:rPr>
        <w:t>Un groupe vide est accepté</w:t>
      </w:r>
      <w:r>
        <w:rPr>
          <w:b w:val="0"/>
        </w:rPr>
        <w:t>, sans espace ni membre.</w:t>
      </w:r>
    </w:p>
    <w:p>
      <w:pPr>
        <w:spacing w:after="200"/>
        <w:ind w:left="454"/>
      </w:pPr>
      <w:r>
        <w:rPr>
          <w:b/>
          <w:sz w:val="19"/>
        </w:rPr>
        <w:t xml:space="preserve">Pourquoi : </w:t>
      </w:r>
      <w:r>
        <w:rPr>
          <w:color w:val="353535"/>
          <w:sz w:val="19"/>
        </w:rPr>
        <w:t>On doit pouvoir déclarer un groupe avant de le peupler, par exemple lors d’une reprise d’organigramme faite en plusieurs séances. Exiger un contenu minimal obligerait à des rattachements provisoires, plus faux qu’un groupe vide assumé.</w:t>
      </w:r>
    </w:p>
    <w:p>
      <w:pPr>
        <w:spacing w:after="40"/>
      </w:pPr>
      <w:r>
        <w:rPr>
          <w:b/>
        </w:rPr>
        <w:t xml:space="preserve">R3. </w:t>
      </w:r>
      <w:r>
        <w:rPr>
          <w:b/>
        </w:rPr>
        <w:t>Le code est unique</w:t>
      </w:r>
      <w:r>
        <w:rPr>
          <w:b w:val="0"/>
        </w:rPr>
        <w:t>, sans distinction de majuscules et de minuscules.</w:t>
      </w:r>
    </w:p>
    <w:p>
      <w:pPr>
        <w:spacing w:after="200"/>
        <w:ind w:left="454"/>
      </w:pPr>
      <w:r>
        <w:rPr>
          <w:b/>
          <w:sz w:val="19"/>
        </w:rPr>
        <w:t xml:space="preserve">Pourquoi : </w:t>
      </w:r>
      <w:r>
        <w:rPr>
          <w:color w:val="353535"/>
          <w:sz w:val="19"/>
        </w:rPr>
        <w:t>Le code est le repère cité dans les échanges. Deux groupes portant le même code rendraient toute référence ambiguë.</w:t>
      </w:r>
    </w:p>
    <w:p>
      <w:pPr>
        <w:spacing w:after="40"/>
      </w:pPr>
      <w:r>
        <w:rPr>
          <w:b/>
        </w:rPr>
        <w:t xml:space="preserve">R4. </w:t>
      </w:r>
      <w:r>
        <w:rPr>
          <w:b/>
        </w:rPr>
        <w:t>Le nom est également unique</w:t>
      </w:r>
      <w:r>
        <w:rPr>
          <w:b w:val="0"/>
        </w:rPr>
        <w:t>, sans distinction de majuscules et de minuscules.</w:t>
      </w:r>
    </w:p>
    <w:p>
      <w:pPr>
        <w:spacing w:after="200"/>
        <w:ind w:left="454"/>
      </w:pPr>
      <w:r>
        <w:rPr>
          <w:b/>
          <w:sz w:val="19"/>
        </w:rPr>
        <w:t xml:space="preserve">Pourquoi : </w:t>
      </w:r>
      <w:r>
        <w:rPr>
          <w:color w:val="353535"/>
          <w:sz w:val="19"/>
        </w:rPr>
        <w:t>Le nom est ce que voient les listes de sélection et la fiche d’un espace de travail. Deux groupes homonymes y seraient indiscernables. Cette règle n’est toutefois pas annoncée à l’écran — voir la section 10.</w:t>
      </w:r>
    </w:p>
    <w:p>
      <w:pPr>
        <w:spacing w:after="40"/>
      </w:pPr>
      <w:r>
        <w:rPr>
          <w:b/>
        </w:rPr>
        <w:t xml:space="preserve">R5. </w:t>
      </w:r>
      <w:r>
        <w:rPr>
          <w:b/>
        </w:rPr>
        <w:t>Le code et le nom sont bornés à 255 caractères.</w:t>
      </w:r>
    </w:p>
    <w:p>
      <w:pPr>
        <w:spacing w:after="200"/>
        <w:ind w:left="454"/>
      </w:pPr>
      <w:r>
        <w:rPr>
          <w:b/>
          <w:sz w:val="19"/>
        </w:rPr>
        <w:t xml:space="preserve">Pourquoi : </w:t>
      </w:r>
      <w:r>
        <w:rPr>
          <w:color w:val="353535"/>
          <w:sz w:val="19"/>
        </w:rPr>
        <w:t>Ils s’affichent dans des colonnes de tableau et dans des pastilles sur la fiche d’un dossier. Au-delà, ils cessent d’être lisibles et déforment la mise en page. Le contrôle est fait au plus près de la saisie, afin que le refus nomme le champ et sa limite.</w:t>
      </w:r>
    </w:p>
    <w:p>
      <w:pPr>
        <w:spacing w:after="40"/>
      </w:pPr>
      <w:r>
        <w:rPr>
          <w:b/>
        </w:rPr>
        <w:t xml:space="preserve">R6. </w:t>
      </w:r>
      <w:r>
        <w:rPr>
          <w:b/>
        </w:rPr>
        <w:t>Modifier un groupe remplace intégralement ses rattachements</w:t>
      </w:r>
      <w:r>
        <w:rPr>
          <w:b w:val="0"/>
        </w:rPr>
        <w:t>, espaces comme membres.</w:t>
      </w:r>
    </w:p>
    <w:p>
      <w:pPr>
        <w:spacing w:after="200"/>
        <w:ind w:left="454"/>
      </w:pPr>
      <w:r>
        <w:rPr>
          <w:b/>
          <w:sz w:val="19"/>
        </w:rPr>
        <w:t xml:space="preserve">Pourquoi : </w:t>
      </w:r>
      <w:r>
        <w:rPr>
          <w:color w:val="353535"/>
          <w:sz w:val="19"/>
        </w:rPr>
        <w:t>Le résultat est prévisible : ce que montre le formulaire au moment de valider est exactement ce qui sera enregistré, sans reliquat d’une composition antérieure.</w:t>
      </w:r>
    </w:p>
    <w:p>
      <w:pPr>
        <w:spacing w:after="40"/>
      </w:pPr>
      <w:r>
        <w:rPr>
          <w:b/>
        </w:rPr>
        <w:t xml:space="preserve">R7. </w:t>
      </w:r>
      <w:r>
        <w:rPr>
          <w:b/>
        </w:rPr>
        <w:t>Supprimer un groupe ne supprime ni les employés ni les espaces de travail.</w:t>
      </w:r>
      <w:r>
        <w:rPr>
          <w:b w:val="0"/>
        </w:rPr>
        <w:t xml:space="preserve"> Seul le rattachement disparaît.</w:t>
      </w:r>
    </w:p>
    <w:p>
      <w:pPr>
        <w:spacing w:after="200"/>
        <w:ind w:left="454"/>
      </w:pPr>
      <w:r>
        <w:rPr>
          <w:b/>
          <w:sz w:val="19"/>
        </w:rPr>
        <w:t xml:space="preserve">Pourquoi : </w:t>
      </w:r>
      <w:r>
        <w:rPr>
          <w:color w:val="353535"/>
          <w:sz w:val="19"/>
        </w:rPr>
        <w:t>Le groupe n’est qu’une association entre des objets qui existent par eux-mêmes. Emporter les objets associés serait une destruction en cascade que rien ne justifie.</w:t>
      </w:r>
    </w:p>
    <w:p>
      <w:pPr>
        <w:spacing w:after="40"/>
      </w:pPr>
      <w:r>
        <w:rPr>
          <w:b/>
        </w:rPr>
        <w:t xml:space="preserve">R8. </w:t>
      </w:r>
      <w:r>
        <w:rPr>
          <w:b/>
        </w:rPr>
        <w:t>Un employé peut appartenir à plusieurs groupes ; un espace peut être couvert par plusieurs groupes.</w:t>
      </w:r>
    </w:p>
    <w:p>
      <w:pPr>
        <w:spacing w:after="200"/>
        <w:ind w:left="454"/>
      </w:pPr>
      <w:r>
        <w:rPr>
          <w:b/>
          <w:sz w:val="19"/>
        </w:rPr>
        <w:t xml:space="preserve">Pourquoi : </w:t>
      </w:r>
      <w:r>
        <w:rPr>
          <w:color w:val="353535"/>
          <w:sz w:val="19"/>
        </w:rPr>
        <w:t>Les organisations réelles se recoupent : une personne travaille souvent pour plusieurs services, et un dossier concerne souvent plusieurs équipes. Imposer une appartenance unique obligerait à choisir arbitrairement.</w:t>
      </w:r>
    </w:p>
    <w:p>
      <w:pPr>
        <w:spacing w:after="40"/>
      </w:pPr>
      <w:r>
        <w:rPr>
          <w:b/>
        </w:rPr>
        <w:t xml:space="preserve">R9. </w:t>
      </w:r>
      <w:r>
        <w:rPr>
          <w:b/>
        </w:rPr>
        <w:t>Après une création, l’application ouvre la fiche du nouveau groupe.</w:t>
      </w:r>
      <w:r>
        <w:rPr>
          <w:b w:val="0"/>
        </w:rPr>
        <w:t xml:space="preserve"> Après une modification, elle revient à la liste.</w:t>
      </w:r>
    </w:p>
    <w:p>
      <w:pPr>
        <w:spacing w:after="200"/>
        <w:ind w:left="454"/>
      </w:pPr>
      <w:r>
        <w:rPr>
          <w:b/>
          <w:sz w:val="19"/>
        </w:rPr>
        <w:t xml:space="preserve">Pourquoi : </w:t>
      </w:r>
      <w:r>
        <w:rPr>
          <w:color w:val="353535"/>
          <w:sz w:val="19"/>
        </w:rPr>
        <w:t>Après une création, on veut vérifier ce que l’on vient de produire, et le groupe est difficile à retrouver dans une liste qui peut compter plusieurs pages. Après une modification, on repart généralement vers un autre groupe : la liste est la bonne destination.</w:t>
      </w:r>
    </w:p>
    <w:p>
      <w:pPr>
        <w:spacing w:after="40"/>
      </w:pPr>
      <w:r>
        <w:rPr>
          <w:b/>
        </w:rPr>
        <w:t xml:space="preserve">R10. </w:t>
      </w:r>
      <w:r>
        <w:rPr>
          <w:b/>
        </w:rPr>
        <w:t>Les espaces proposés sont les espaces hors corbeille, quel que soit leur statut.</w:t>
      </w:r>
    </w:p>
    <w:p>
      <w:pPr>
        <w:spacing w:after="200"/>
        <w:ind w:left="454"/>
      </w:pPr>
      <w:r>
        <w:rPr>
          <w:b/>
          <w:sz w:val="19"/>
        </w:rPr>
        <w:t xml:space="preserve">Pourquoi : </w:t>
      </w:r>
      <w:r>
        <w:rPr>
          <w:color w:val="353535"/>
          <w:sz w:val="19"/>
        </w:rPr>
        <w:t>Un dossier inactif ou archivé reste un dossier de l’organisation : il peut légitimement figurer dans le périmètre d’une équipe. Un dossier supprimé, en revanche, n’a plus à être proposé.</w:t>
      </w:r>
    </w:p>
    <w:p>
      <w:pPr>
        <w:spacing w:after="40"/>
      </w:pPr>
      <w:r>
        <w:rPr>
          <w:b/>
        </w:rPr>
        <w:t xml:space="preserve">R11. </w:t>
      </w:r>
      <w:r>
        <w:rPr>
          <w:b/>
        </w:rPr>
        <w:t>Aucune suppression n’est définitive</w:t>
      </w:r>
      <w:r>
        <w:rPr>
          <w:b w:val="0"/>
        </w:rPr>
        <w:t xml:space="preserve"> : supprimer déplace vers la corbeille, restaurer ramène.</w:t>
      </w:r>
    </w:p>
    <w:p>
      <w:pPr>
        <w:spacing w:after="200"/>
        <w:ind w:left="454"/>
      </w:pPr>
      <w:r>
        <w:rPr>
          <w:b/>
          <w:sz w:val="19"/>
        </w:rPr>
        <w:t xml:space="preserve">Pourquoi : </w:t>
      </w:r>
      <w:r>
        <w:rPr>
          <w:color w:val="353535"/>
          <w:sz w:val="19"/>
        </w:rPr>
        <w:t>Un groupe supprimé par erreur emporte avec lui la trace d’un travail de recensement parfois long. Sa perte définitive obligerait à tout ressaisir.</w:t>
      </w:r>
    </w:p>
    <w:p>
      <w:pPr>
        <w:spacing w:after="40"/>
      </w:pPr>
      <w:r>
        <w:rPr>
          <w:b/>
        </w:rPr>
        <w:t xml:space="preserve">R12. </w:t>
      </w:r>
      <w:r>
        <w:rPr>
          <w:b/>
        </w:rPr>
        <w:t>Supprimer demande une confirmation nommant le groupe. Restaurer n’en demande aucune.</w:t>
      </w:r>
    </w:p>
    <w:p>
      <w:pPr>
        <w:spacing w:after="200"/>
        <w:ind w:left="454"/>
      </w:pPr>
      <w:r>
        <w:rPr>
          <w:b/>
          <w:sz w:val="19"/>
        </w:rPr>
        <w:t xml:space="preserve">Pourquoi : </w:t>
      </w:r>
      <w:r>
        <w:rPr>
          <w:color w:val="353535"/>
          <w:sz w:val="19"/>
        </w:rPr>
        <w:t>La confirmation sert à empêcher une erreur de cible : nommer le groupe est donc la seule chose utile. La restauration ne détruit rien.</w:t>
      </w:r>
    </w:p>
    <w:p>
      <w:pPr>
        <w:spacing w:after="40"/>
      </w:pPr>
      <w:r>
        <w:rPr>
          <w:b/>
        </w:rPr>
        <w:t xml:space="preserve">R13. </w:t>
      </w:r>
      <w:r>
        <w:rPr>
          <w:b/>
        </w:rPr>
        <w:t>Les actions groupées s’expriment en « groupe(s) »</w:t>
      </w:r>
      <w:r>
        <w:rPr>
          <w:b w:val="0"/>
        </w:rPr>
        <w:t>, aussi bien dans la question que dans le résultat.</w:t>
      </w:r>
    </w:p>
    <w:p>
      <w:pPr>
        <w:spacing w:after="200"/>
        <w:ind w:left="454"/>
      </w:pPr>
      <w:r>
        <w:rPr>
          <w:b/>
          <w:sz w:val="19"/>
        </w:rPr>
        <w:t xml:space="preserve">Pourquoi : </w:t>
      </w:r>
      <w:r>
        <w:rPr>
          <w:color w:val="353535"/>
          <w:sz w:val="19"/>
        </w:rPr>
        <w:t>L’unité suit l’objet de l’écran, conformément à la convention appliquée à toutes les listes de l’application.</w:t>
      </w:r>
    </w:p>
    <w:p>
      <w:pPr>
        <w:spacing w:after="40"/>
      </w:pPr>
      <w:r>
        <w:rPr>
          <w:b/>
        </w:rPr>
        <w:t xml:space="preserve">R14. </w:t>
      </w:r>
      <w:r>
        <w:rPr>
          <w:b/>
        </w:rPr>
        <w:t>La recherche, le tri et la pagination portent sur l’ensemble des groupes</w:t>
      </w:r>
      <w:r>
        <w:rPr>
          <w:b w:val="0"/>
        </w:rPr>
        <w:t>, pas sur la page affichée.</w:t>
      </w:r>
    </w:p>
    <w:p>
      <w:pPr>
        <w:spacing w:after="200"/>
        <w:ind w:left="454"/>
      </w:pPr>
      <w:r>
        <w:rPr>
          <w:b/>
          <w:sz w:val="19"/>
        </w:rPr>
        <w:t xml:space="preserve">Pourquoi : </w:t>
      </w:r>
      <w:r>
        <w:rPr>
          <w:color w:val="353535"/>
          <w:sz w:val="19"/>
        </w:rPr>
        <w:t>Filtrer localement masquerait silencieusement les groupes des pages suivantes.</w:t>
      </w:r>
    </w:p>
    <w:p>
      <w:pPr>
        <w:spacing w:after="40"/>
      </w:pPr>
      <w:r>
        <w:rPr>
          <w:b/>
        </w:rPr>
        <w:t xml:space="preserve">R15. </w:t>
      </w:r>
      <w:r>
        <w:rPr>
          <w:b/>
        </w:rPr>
        <w:t>Le tri sur les colonnes « Espaces » et « Membres » porte sur le nombre</w:t>
      </w:r>
      <w:r>
        <w:rPr>
          <w:b w:val="0"/>
        </w:rPr>
        <w:t>, et les ex æquo sont départagés par l’ancienneté.</w:t>
      </w:r>
    </w:p>
    <w:p>
      <w:pPr>
        <w:spacing w:after="200"/>
        <w:ind w:left="454"/>
      </w:pPr>
      <w:r>
        <w:rPr>
          <w:b/>
          <w:sz w:val="19"/>
        </w:rPr>
        <w:t xml:space="preserve">Pourquoi : </w:t>
      </w:r>
      <w:r>
        <w:rPr>
          <w:color w:val="353535"/>
          <w:sz w:val="19"/>
        </w:rPr>
        <w:t>Sans second critère, deux groupes ayant le même nombre d’espaces pourraient changer de place d’une page à l’autre, et l’un d’eux disparaîtrait de la pagination.</w:t>
      </w:r>
    </w:p>
    <w:p>
      <w:pPr>
        <w:spacing w:after="40"/>
      </w:pPr>
      <w:r>
        <w:rPr>
          <w:b/>
        </w:rPr>
        <w:t xml:space="preserve">R16. </w:t>
      </w:r>
      <w:r>
        <w:rPr>
          <w:b/>
        </w:rPr>
        <w:t>L’état « corbeille » est inscrit dans l’adresse de la page.</w:t>
      </w:r>
    </w:p>
    <w:p>
      <w:pPr>
        <w:spacing w:after="200"/>
        <w:ind w:left="454"/>
      </w:pPr>
      <w:r>
        <w:rPr>
          <w:b/>
          <w:sz w:val="19"/>
        </w:rPr>
        <w:t xml:space="preserve">Pourquoi : </w:t>
      </w:r>
      <w:r>
        <w:rPr>
          <w:color w:val="353535"/>
          <w:sz w:val="19"/>
        </w:rPr>
        <w:t>Sans cela, recharger la page ou transmettre le lien ramènerait aux groupes présents sans prévenir.</w:t>
      </w:r>
    </w:p>
    <w:p>
      <w:pPr>
        <w:pStyle w:val="Heading1"/>
      </w:pPr>
      <w:r>
        <w:t>7. Les contrôles et les refus</w:t>
      </w:r>
    </w:p>
    <w:p>
      <w:pPr>
        <w:pStyle w:val="Heading2"/>
      </w:pPr>
      <w:r>
        <w:t>7.1 Contrôles du formulaire</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Situation</w:t>
            </w:r>
          </w:p>
        </w:tc>
        <w:tc>
          <w:tcPr>
            <w:tcW w:type="dxa" w:w="3213"/>
          </w:tcPr>
          <w:p>
            <w:r>
              <w:rPr>
                <w:b/>
                <w:sz w:val="18"/>
              </w:rPr>
              <w:t>Message exact affiché</w:t>
            </w:r>
          </w:p>
        </w:tc>
        <w:tc>
          <w:tcPr>
            <w:tcW w:type="dxa" w:w="3213"/>
          </w:tcPr>
          <w:p>
            <w:r>
              <w:rPr>
                <w:b/>
                <w:sz w:val="18"/>
              </w:rPr>
              <w:t>Conséquence pour l’utilisateur</w:t>
            </w:r>
          </w:p>
        </w:tc>
      </w:tr>
      <w:tr>
        <w:tc>
          <w:tcPr>
            <w:tcW w:type="dxa" w:w="3213"/>
          </w:tcPr>
          <w:p>
            <w:pPr>
              <w:spacing w:after="40"/>
            </w:pPr>
            <w:r>
              <w:rPr>
                <w:b w:val="0"/>
                <w:sz w:val="18"/>
              </w:rPr>
              <w:t>Le code est laissé vide</w:t>
            </w:r>
          </w:p>
        </w:tc>
        <w:tc>
          <w:tcPr>
            <w:tcW w:type="dxa" w:w="3213"/>
          </w:tcPr>
          <w:p>
            <w:pPr>
              <w:spacing w:after="40"/>
            </w:pPr>
            <w:r>
              <w:rPr>
                <w:b w:val="0"/>
                <w:sz w:val="18"/>
              </w:rPr>
              <w:t>Le code est obligatoire</w:t>
            </w:r>
          </w:p>
        </w:tc>
        <w:tc>
          <w:tcPr>
            <w:tcW w:type="dxa" w:w="3213"/>
          </w:tcPr>
          <w:p>
            <w:pPr>
              <w:spacing w:after="40"/>
            </w:pPr>
            <w:r>
              <w:rPr>
                <w:b w:val="0"/>
                <w:sz w:val="18"/>
              </w:rPr>
              <w:t>Message sous le champ ; la fenêtre reste ouverte ; rien n’est enregistré</w:t>
            </w:r>
          </w:p>
        </w:tc>
      </w:tr>
      <w:tr>
        <w:tc>
          <w:tcPr>
            <w:tcW w:type="dxa" w:w="3213"/>
          </w:tcPr>
          <w:p>
            <w:pPr>
              <w:spacing w:after="40"/>
            </w:pPr>
            <w:r>
              <w:rPr>
                <w:b w:val="0"/>
                <w:sz w:val="18"/>
              </w:rPr>
              <w:t>Le nom est laissé vide</w:t>
            </w:r>
          </w:p>
        </w:tc>
        <w:tc>
          <w:tcPr>
            <w:tcW w:type="dxa" w:w="3213"/>
          </w:tcPr>
          <w:p>
            <w:pPr>
              <w:spacing w:after="40"/>
            </w:pPr>
            <w:r>
              <w:rPr>
                <w:b w:val="0"/>
                <w:sz w:val="18"/>
              </w:rPr>
              <w:t>Le nom est obligatoire</w:t>
            </w:r>
          </w:p>
        </w:tc>
        <w:tc>
          <w:tcPr>
            <w:tcW w:type="dxa" w:w="3213"/>
          </w:tcPr>
          <w:p>
            <w:pPr>
              <w:spacing w:after="40"/>
            </w:pPr>
            <w:r>
              <w:rPr>
                <w:b w:val="0"/>
                <w:sz w:val="18"/>
              </w:rPr>
              <w:t>Idem</w:t>
            </w:r>
          </w:p>
        </w:tc>
      </w:tr>
    </w:tbl>
    <w:p/>
    <w:p>
      <w:r>
        <w:rPr>
          <w:i w:val="0"/>
        </w:rPr>
        <w:t>Les deux listes de sélection ne font l’objet d’aucun contrôle : un groupe sans espace et sans membre est accepté.</w:t>
      </w:r>
    </w:p>
    <w:p>
      <w:pPr>
        <w:pStyle w:val="Heading2"/>
      </w:pPr>
      <w:r>
        <w:t>7.2 Refus prononcés à l’enregistrement</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Situation</w:t>
            </w:r>
          </w:p>
        </w:tc>
        <w:tc>
          <w:tcPr>
            <w:tcW w:type="dxa" w:w="3213"/>
          </w:tcPr>
          <w:p>
            <w:r>
              <w:rPr>
                <w:b/>
                <w:sz w:val="18"/>
              </w:rPr>
              <w:t>Message exact affiché</w:t>
            </w:r>
          </w:p>
        </w:tc>
        <w:tc>
          <w:tcPr>
            <w:tcW w:type="dxa" w:w="3213"/>
          </w:tcPr>
          <w:p>
            <w:r>
              <w:rPr>
                <w:b/>
                <w:sz w:val="18"/>
              </w:rPr>
              <w:t>Conséquence pour l’utilisateur</w:t>
            </w:r>
          </w:p>
        </w:tc>
      </w:tr>
      <w:tr>
        <w:tc>
          <w:tcPr>
            <w:tcW w:type="dxa" w:w="3213"/>
          </w:tcPr>
          <w:p>
            <w:pPr>
              <w:spacing w:after="40"/>
            </w:pPr>
            <w:r>
              <w:rPr>
                <w:b w:val="0"/>
                <w:sz w:val="18"/>
              </w:rPr>
              <w:t>Le code est déjà porté par un autre groupe</w:t>
            </w:r>
          </w:p>
        </w:tc>
        <w:tc>
          <w:tcPr>
            <w:tcW w:type="dxa" w:w="3213"/>
          </w:tcPr>
          <w:p>
            <w:pPr>
              <w:spacing w:after="40"/>
            </w:pPr>
            <w:r>
              <w:rPr>
                <w:b w:val="0"/>
                <w:sz w:val="18"/>
              </w:rPr>
              <w:t>Le code « AG-ADMIN » est déjà utilisé</w:t>
            </w:r>
          </w:p>
        </w:tc>
        <w:tc>
          <w:tcPr>
            <w:tcW w:type="dxa" w:w="3213"/>
          </w:tcPr>
          <w:p>
            <w:pPr>
              <w:spacing w:after="40"/>
            </w:pPr>
            <w:r>
              <w:rPr>
                <w:b w:val="0"/>
                <w:sz w:val="18"/>
              </w:rPr>
              <w:t>Message en pied de formulaire ; la fenêtre reste ouverte ; il faut changer le code</w:t>
            </w:r>
          </w:p>
        </w:tc>
      </w:tr>
      <w:tr>
        <w:tc>
          <w:tcPr>
            <w:tcW w:type="dxa" w:w="3213"/>
          </w:tcPr>
          <w:p>
            <w:pPr>
              <w:spacing w:after="40"/>
            </w:pPr>
            <w:r>
              <w:rPr>
                <w:b w:val="0"/>
                <w:sz w:val="18"/>
              </w:rPr>
              <w:t>Le nom est déjà porté par un autre groupe</w:t>
            </w:r>
          </w:p>
        </w:tc>
        <w:tc>
          <w:tcPr>
            <w:tcW w:type="dxa" w:w="3213"/>
          </w:tcPr>
          <w:p>
            <w:pPr>
              <w:spacing w:after="40"/>
            </w:pPr>
            <w:r>
              <w:rPr>
                <w:b w:val="0"/>
                <w:sz w:val="18"/>
              </w:rPr>
              <w:t>Le nom « Administration générale » est déjà utilisé</w:t>
            </w:r>
          </w:p>
        </w:tc>
        <w:tc>
          <w:tcPr>
            <w:tcW w:type="dxa" w:w="3213"/>
          </w:tcPr>
          <w:p>
            <w:pPr>
              <w:spacing w:after="40"/>
            </w:pPr>
            <w:r>
              <w:rPr>
                <w:b w:val="0"/>
                <w:sz w:val="18"/>
              </w:rPr>
              <w:t>Idem ; il faut changer le nom</w:t>
            </w:r>
          </w:p>
        </w:tc>
      </w:tr>
      <w:tr>
        <w:tc>
          <w:tcPr>
            <w:tcW w:type="dxa" w:w="3213"/>
          </w:tcPr>
          <w:p>
            <w:pPr>
              <w:spacing w:after="40"/>
            </w:pPr>
            <w:r>
              <w:rPr>
                <w:b w:val="0"/>
                <w:sz w:val="18"/>
              </w:rPr>
              <w:t>Le code dépasse 255 caractères</w:t>
            </w:r>
          </w:p>
        </w:tc>
        <w:tc>
          <w:tcPr>
            <w:tcW w:type="dxa" w:w="3213"/>
          </w:tcPr>
          <w:p>
            <w:pPr>
              <w:spacing w:after="40"/>
            </w:pPr>
            <w:r>
              <w:rPr>
                <w:b w:val="0"/>
                <w:sz w:val="18"/>
              </w:rPr>
              <w:t>Le code ne peut pas dépasser 255 caractères</w:t>
            </w:r>
          </w:p>
        </w:tc>
        <w:tc>
          <w:tcPr>
            <w:tcW w:type="dxa" w:w="3213"/>
          </w:tcPr>
          <w:p>
            <w:pPr>
              <w:spacing w:after="40"/>
            </w:pPr>
            <w:r>
              <w:rPr>
                <w:b w:val="0"/>
                <w:sz w:val="18"/>
              </w:rPr>
              <w:t>Idem ; il faut raccourcir la saisie</w:t>
            </w:r>
          </w:p>
        </w:tc>
      </w:tr>
      <w:tr>
        <w:tc>
          <w:tcPr>
            <w:tcW w:type="dxa" w:w="3213"/>
          </w:tcPr>
          <w:p>
            <w:pPr>
              <w:spacing w:after="40"/>
            </w:pPr>
            <w:r>
              <w:rPr>
                <w:b w:val="0"/>
                <w:sz w:val="18"/>
              </w:rPr>
              <w:t>Le nom dépasse 255 caractères</w:t>
            </w:r>
          </w:p>
        </w:tc>
        <w:tc>
          <w:tcPr>
            <w:tcW w:type="dxa" w:w="3213"/>
          </w:tcPr>
          <w:p>
            <w:pPr>
              <w:spacing w:after="40"/>
            </w:pPr>
            <w:r>
              <w:rPr>
                <w:b w:val="0"/>
                <w:sz w:val="18"/>
              </w:rPr>
              <w:t>Le nom ne peut pas dépasser 255 caractères</w:t>
            </w:r>
          </w:p>
        </w:tc>
        <w:tc>
          <w:tcPr>
            <w:tcW w:type="dxa" w:w="3213"/>
          </w:tcPr>
          <w:p>
            <w:pPr>
              <w:spacing w:after="40"/>
            </w:pPr>
            <w:r>
              <w:rPr>
                <w:b w:val="0"/>
                <w:sz w:val="18"/>
              </w:rPr>
              <w:t>Idem</w:t>
            </w:r>
          </w:p>
        </w:tc>
      </w:tr>
      <w:tr>
        <w:tc>
          <w:tcPr>
            <w:tcW w:type="dxa" w:w="3213"/>
          </w:tcPr>
          <w:p>
            <w:pPr>
              <w:spacing w:after="40"/>
            </w:pPr>
            <w:r>
              <w:rPr>
                <w:b w:val="0"/>
                <w:sz w:val="18"/>
              </w:rPr>
              <w:t>Le groupe modifié n’existe plus</w:t>
            </w:r>
          </w:p>
        </w:tc>
        <w:tc>
          <w:tcPr>
            <w:tcW w:type="dxa" w:w="3213"/>
          </w:tcPr>
          <w:p>
            <w:pPr>
              <w:spacing w:after="40"/>
            </w:pPr>
            <w:r>
              <w:rPr>
                <w:b w:val="0"/>
                <w:sz w:val="18"/>
              </w:rPr>
              <w:t>Groupe d’accès introuvable : 4</w:t>
            </w:r>
          </w:p>
        </w:tc>
        <w:tc>
          <w:tcPr>
            <w:tcW w:type="dxa" w:w="3213"/>
          </w:tcPr>
          <w:p>
            <w:pPr>
              <w:spacing w:after="40"/>
            </w:pPr>
            <w:r>
              <w:rPr>
                <w:b w:val="0"/>
                <w:sz w:val="18"/>
              </w:rPr>
              <w:t>Idem ; le groupe a probablement été supprimé entre-temps</w:t>
            </w:r>
          </w:p>
        </w:tc>
      </w:tr>
      <w:tr>
        <w:tc>
          <w:tcPr>
            <w:tcW w:type="dxa" w:w="3213"/>
          </w:tcPr>
          <w:p>
            <w:pPr>
              <w:spacing w:after="40"/>
            </w:pPr>
            <w:r>
              <w:rPr>
                <w:b w:val="0"/>
                <w:sz w:val="18"/>
              </w:rPr>
              <w:t>Réponse non interprétée</w:t>
            </w:r>
          </w:p>
        </w:tc>
        <w:tc>
          <w:tcPr>
            <w:tcW w:type="dxa" w:w="3213"/>
          </w:tcPr>
          <w:p>
            <w:pPr>
              <w:spacing w:after="40"/>
            </w:pPr>
            <w:r>
              <w:rPr>
                <w:b w:val="0"/>
                <w:sz w:val="18"/>
              </w:rPr>
              <w:t>Une erreur est survenue.</w:t>
            </w:r>
          </w:p>
        </w:tc>
        <w:tc>
          <w:tcPr>
            <w:tcW w:type="dxa" w:w="3213"/>
          </w:tcPr>
          <w:p>
            <w:pPr>
              <w:spacing w:after="40"/>
            </w:pPr>
            <w:r>
              <w:rPr>
                <w:b w:val="0"/>
                <w:sz w:val="18"/>
              </w:rPr>
              <w:t>Message en pied de formulaire ; aucun libellé technique n’est présenté</w:t>
            </w:r>
          </w:p>
        </w:tc>
      </w:tr>
    </w:tbl>
    <w:p/>
    <w:p>
      <w:pPr>
        <w:pStyle w:val="Heading2"/>
      </w:pPr>
      <w:r>
        <w:t>7.3 Confirmations</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Action</w:t>
            </w:r>
          </w:p>
        </w:tc>
        <w:tc>
          <w:tcPr>
            <w:tcW w:type="dxa" w:w="3213"/>
          </w:tcPr>
          <w:p>
            <w:r>
              <w:rPr>
                <w:b/>
                <w:sz w:val="18"/>
              </w:rPr>
              <w:t>Titre de la fenêtre</w:t>
            </w:r>
          </w:p>
        </w:tc>
        <w:tc>
          <w:tcPr>
            <w:tcW w:type="dxa" w:w="3213"/>
          </w:tcPr>
          <w:p>
            <w:r>
              <w:rPr>
                <w:b/>
                <w:sz w:val="18"/>
              </w:rPr>
              <w:t>Message exact</w:t>
            </w:r>
          </w:p>
        </w:tc>
      </w:tr>
      <w:tr>
        <w:tc>
          <w:tcPr>
            <w:tcW w:type="dxa" w:w="3213"/>
          </w:tcPr>
          <w:p>
            <w:pPr>
              <w:spacing w:after="40"/>
            </w:pPr>
            <w:r>
              <w:rPr>
                <w:b w:val="0"/>
                <w:sz w:val="18"/>
              </w:rPr>
              <w:t>Supprimer un groupe</w:t>
            </w:r>
          </w:p>
        </w:tc>
        <w:tc>
          <w:tcPr>
            <w:tcW w:type="dxa" w:w="3213"/>
          </w:tcPr>
          <w:p>
            <w:pPr>
              <w:spacing w:after="40"/>
            </w:pPr>
            <w:r>
              <w:rPr>
                <w:b w:val="0"/>
                <w:sz w:val="18"/>
              </w:rPr>
              <w:t>Supprimer ce groupe</w:t>
            </w:r>
          </w:p>
        </w:tc>
        <w:tc>
          <w:tcPr>
            <w:tcW w:type="dxa" w:w="3213"/>
          </w:tcPr>
          <w:p>
            <w:pPr>
              <w:spacing w:after="40"/>
            </w:pPr>
            <w:r>
              <w:rPr>
                <w:b w:val="0"/>
                <w:sz w:val="18"/>
              </w:rPr>
              <w:t>« Administration générale » sera déplacé vers la corbeille.</w:t>
            </w:r>
          </w:p>
        </w:tc>
      </w:tr>
      <w:tr>
        <w:tc>
          <w:tcPr>
            <w:tcW w:type="dxa" w:w="3213"/>
          </w:tcPr>
          <w:p>
            <w:pPr>
              <w:spacing w:after="40"/>
            </w:pPr>
            <w:r>
              <w:rPr>
                <w:b w:val="0"/>
                <w:sz w:val="18"/>
              </w:rPr>
              <w:t>Supprimer une sélection</w:t>
            </w:r>
          </w:p>
        </w:tc>
        <w:tc>
          <w:tcPr>
            <w:tcW w:type="dxa" w:w="3213"/>
          </w:tcPr>
          <w:p>
            <w:pPr>
              <w:spacing w:after="40"/>
            </w:pPr>
            <w:r>
              <w:rPr>
                <w:b w:val="0"/>
                <w:sz w:val="18"/>
              </w:rPr>
              <w:t>Supprimer la sélection</w:t>
            </w:r>
          </w:p>
        </w:tc>
        <w:tc>
          <w:tcPr>
            <w:tcW w:type="dxa" w:w="3213"/>
          </w:tcPr>
          <w:p>
            <w:pPr>
              <w:spacing w:after="40"/>
            </w:pPr>
            <w:r>
              <w:rPr>
                <w:b w:val="0"/>
                <w:sz w:val="18"/>
              </w:rPr>
              <w:t>Voulez-vous supprimer 2 groupe(s) ?</w:t>
            </w:r>
          </w:p>
        </w:tc>
      </w:tr>
      <w:tr>
        <w:tc>
          <w:tcPr>
            <w:tcW w:type="dxa" w:w="3213"/>
          </w:tcPr>
          <w:p>
            <w:pPr>
              <w:spacing w:after="40"/>
            </w:pPr>
            <w:r>
              <w:rPr>
                <w:b w:val="0"/>
                <w:sz w:val="18"/>
              </w:rPr>
              <w:t>Restaurer une sélection</w:t>
            </w:r>
          </w:p>
        </w:tc>
        <w:tc>
          <w:tcPr>
            <w:tcW w:type="dxa" w:w="3213"/>
          </w:tcPr>
          <w:p>
            <w:pPr>
              <w:spacing w:after="40"/>
            </w:pPr>
            <w:r>
              <w:rPr>
                <w:b w:val="0"/>
                <w:sz w:val="18"/>
              </w:rPr>
              <w:t>Restaurer la sélection</w:t>
            </w:r>
          </w:p>
        </w:tc>
        <w:tc>
          <w:tcPr>
            <w:tcW w:type="dxa" w:w="3213"/>
          </w:tcPr>
          <w:p>
            <w:pPr>
              <w:spacing w:after="40"/>
            </w:pPr>
            <w:r>
              <w:rPr>
                <w:b w:val="0"/>
                <w:sz w:val="18"/>
              </w:rPr>
              <w:t>Voulez-vous restaurer 2 groupe(s) ?</w:t>
            </w:r>
          </w:p>
        </w:tc>
      </w:tr>
    </w:tbl>
    <w:p/>
    <w:p>
      <w:pPr>
        <w:pStyle w:val="Heading2"/>
      </w:pPr>
      <w:r>
        <w:t>7.4 Messages de confirmation et d’échec</w:t>
      </w:r>
    </w:p>
    <w:tbl>
      <w:tblPr>
        <w:tblStyle w:val="LightGrid-Accent1"/>
        <w:tblW w:type="auto" w:w="0"/>
        <w:tblLayout w:type="autofit"/>
        <w:tblLook w:firstColumn="1" w:firstRow="1" w:lastColumn="0" w:lastRow="0" w:noHBand="0" w:noVBand="1" w:val="04A0"/>
      </w:tblPr>
      <w:tblGrid>
        <w:gridCol w:w="4819"/>
        <w:gridCol w:w="4819"/>
      </w:tblGrid>
      <w:tr>
        <w:tc>
          <w:tcPr>
            <w:tcW w:type="dxa" w:w="4819"/>
          </w:tcPr>
          <w:p>
            <w:r>
              <w:rPr>
                <w:b/>
                <w:sz w:val="18"/>
              </w:rPr>
              <w:t>Situation</w:t>
            </w:r>
          </w:p>
        </w:tc>
        <w:tc>
          <w:tcPr>
            <w:tcW w:type="dxa" w:w="4819"/>
          </w:tcPr>
          <w:p>
            <w:r>
              <w:rPr>
                <w:b/>
                <w:sz w:val="18"/>
              </w:rPr>
              <w:t>Message exact affiché</w:t>
            </w:r>
          </w:p>
        </w:tc>
      </w:tr>
      <w:tr>
        <w:tc>
          <w:tcPr>
            <w:tcW w:type="dxa" w:w="4819"/>
          </w:tcPr>
          <w:p>
            <w:pPr>
              <w:spacing w:after="40"/>
            </w:pPr>
            <w:r>
              <w:rPr>
                <w:b w:val="0"/>
                <w:sz w:val="18"/>
              </w:rPr>
              <w:t>Création réussie</w:t>
            </w:r>
          </w:p>
        </w:tc>
        <w:tc>
          <w:tcPr>
            <w:tcW w:type="dxa" w:w="4819"/>
          </w:tcPr>
          <w:p>
            <w:pPr>
              <w:spacing w:after="40"/>
            </w:pPr>
            <w:r>
              <w:rPr>
                <w:b w:val="0"/>
                <w:sz w:val="18"/>
              </w:rPr>
              <w:t>Groupe d’accès créé.</w:t>
            </w:r>
          </w:p>
        </w:tc>
      </w:tr>
      <w:tr>
        <w:tc>
          <w:tcPr>
            <w:tcW w:type="dxa" w:w="4819"/>
          </w:tcPr>
          <w:p>
            <w:pPr>
              <w:spacing w:after="40"/>
            </w:pPr>
            <w:r>
              <w:rPr>
                <w:b w:val="0"/>
                <w:sz w:val="18"/>
              </w:rPr>
              <w:t>Modification réussie</w:t>
            </w:r>
          </w:p>
        </w:tc>
        <w:tc>
          <w:tcPr>
            <w:tcW w:type="dxa" w:w="4819"/>
          </w:tcPr>
          <w:p>
            <w:pPr>
              <w:spacing w:after="40"/>
            </w:pPr>
            <w:r>
              <w:rPr>
                <w:b w:val="0"/>
                <w:sz w:val="18"/>
              </w:rPr>
              <w:t>Groupe d’accès modifié.</w:t>
            </w:r>
          </w:p>
        </w:tc>
      </w:tr>
      <w:tr>
        <w:tc>
          <w:tcPr>
            <w:tcW w:type="dxa" w:w="4819"/>
          </w:tcPr>
          <w:p>
            <w:pPr>
              <w:spacing w:after="40"/>
            </w:pPr>
            <w:r>
              <w:rPr>
                <w:b w:val="0"/>
                <w:sz w:val="18"/>
              </w:rPr>
              <w:t>Suppression réussie</w:t>
            </w:r>
          </w:p>
        </w:tc>
        <w:tc>
          <w:tcPr>
            <w:tcW w:type="dxa" w:w="4819"/>
          </w:tcPr>
          <w:p>
            <w:pPr>
              <w:spacing w:after="40"/>
            </w:pPr>
            <w:r>
              <w:rPr>
                <w:b w:val="0"/>
                <w:sz w:val="18"/>
              </w:rPr>
              <w:t>Groupe d’accès supprimé.</w:t>
            </w:r>
          </w:p>
        </w:tc>
      </w:tr>
      <w:tr>
        <w:tc>
          <w:tcPr>
            <w:tcW w:type="dxa" w:w="4819"/>
          </w:tcPr>
          <w:p>
            <w:pPr>
              <w:spacing w:after="40"/>
            </w:pPr>
            <w:r>
              <w:rPr>
                <w:b w:val="0"/>
                <w:sz w:val="18"/>
              </w:rPr>
              <w:t>Restauration réussie</w:t>
            </w:r>
          </w:p>
        </w:tc>
        <w:tc>
          <w:tcPr>
            <w:tcW w:type="dxa" w:w="4819"/>
          </w:tcPr>
          <w:p>
            <w:pPr>
              <w:spacing w:after="40"/>
            </w:pPr>
            <w:r>
              <w:rPr>
                <w:b w:val="0"/>
                <w:sz w:val="18"/>
              </w:rPr>
              <w:t>Groupe d’accès restauré.</w:t>
            </w:r>
          </w:p>
        </w:tc>
      </w:tr>
      <w:tr>
        <w:tc>
          <w:tcPr>
            <w:tcW w:type="dxa" w:w="4819"/>
          </w:tcPr>
          <w:p>
            <w:pPr>
              <w:spacing w:after="40"/>
            </w:pPr>
            <w:r>
              <w:rPr>
                <w:b w:val="0"/>
                <w:sz w:val="18"/>
              </w:rPr>
              <w:t>Suppression groupée réussie</w:t>
            </w:r>
          </w:p>
        </w:tc>
        <w:tc>
          <w:tcPr>
            <w:tcW w:type="dxa" w:w="4819"/>
          </w:tcPr>
          <w:p>
            <w:pPr>
              <w:spacing w:after="40"/>
            </w:pPr>
            <w:r>
              <w:rPr>
                <w:b w:val="0"/>
                <w:sz w:val="18"/>
              </w:rPr>
              <w:t>2 groupe(s) supprimé(s).</w:t>
            </w:r>
          </w:p>
        </w:tc>
      </w:tr>
      <w:tr>
        <w:tc>
          <w:tcPr>
            <w:tcW w:type="dxa" w:w="4819"/>
          </w:tcPr>
          <w:p>
            <w:pPr>
              <w:spacing w:after="40"/>
            </w:pPr>
            <w:r>
              <w:rPr>
                <w:b w:val="0"/>
                <w:sz w:val="18"/>
              </w:rPr>
              <w:t>Restauration groupée réussie</w:t>
            </w:r>
          </w:p>
        </w:tc>
        <w:tc>
          <w:tcPr>
            <w:tcW w:type="dxa" w:w="4819"/>
          </w:tcPr>
          <w:p>
            <w:pPr>
              <w:spacing w:after="40"/>
            </w:pPr>
            <w:r>
              <w:rPr>
                <w:b w:val="0"/>
                <w:sz w:val="18"/>
              </w:rPr>
              <w:t>2 groupe(s) restauré(s).</w:t>
            </w:r>
          </w:p>
        </w:tc>
      </w:tr>
      <w:tr>
        <w:tc>
          <w:tcPr>
            <w:tcW w:type="dxa" w:w="4819"/>
          </w:tcPr>
          <w:p>
            <w:pPr>
              <w:spacing w:after="40"/>
            </w:pPr>
            <w:r>
              <w:rPr>
                <w:b w:val="0"/>
                <w:sz w:val="18"/>
              </w:rPr>
              <w:t>La liste ne peut pas être obtenue</w:t>
            </w:r>
          </w:p>
        </w:tc>
        <w:tc>
          <w:tcPr>
            <w:tcW w:type="dxa" w:w="4819"/>
          </w:tcPr>
          <w:p>
            <w:pPr>
              <w:spacing w:after="40"/>
            </w:pPr>
            <w:r>
              <w:rPr>
                <w:b w:val="0"/>
                <w:sz w:val="18"/>
              </w:rPr>
              <w:t>Chargement impossible.</w:t>
            </w:r>
          </w:p>
        </w:tc>
      </w:tr>
      <w:tr>
        <w:tc>
          <w:tcPr>
            <w:tcW w:type="dxa" w:w="4819"/>
          </w:tcPr>
          <w:p>
            <w:pPr>
              <w:spacing w:after="40"/>
            </w:pPr>
            <w:r>
              <w:rPr>
                <w:b w:val="0"/>
                <w:sz w:val="18"/>
              </w:rPr>
              <w:t>La suppression échoue</w:t>
            </w:r>
          </w:p>
        </w:tc>
        <w:tc>
          <w:tcPr>
            <w:tcW w:type="dxa" w:w="4819"/>
          </w:tcPr>
          <w:p>
            <w:pPr>
              <w:spacing w:after="40"/>
            </w:pPr>
            <w:r>
              <w:rPr>
                <w:b w:val="0"/>
                <w:sz w:val="18"/>
              </w:rPr>
              <w:t>Suppression impossible.</w:t>
            </w:r>
          </w:p>
        </w:tc>
      </w:tr>
      <w:tr>
        <w:tc>
          <w:tcPr>
            <w:tcW w:type="dxa" w:w="4819"/>
          </w:tcPr>
          <w:p>
            <w:pPr>
              <w:spacing w:after="40"/>
            </w:pPr>
            <w:r>
              <w:rPr>
                <w:b w:val="0"/>
                <w:sz w:val="18"/>
              </w:rPr>
              <w:t>La restauration échoue</w:t>
            </w:r>
          </w:p>
        </w:tc>
        <w:tc>
          <w:tcPr>
            <w:tcW w:type="dxa" w:w="4819"/>
          </w:tcPr>
          <w:p>
            <w:pPr>
              <w:spacing w:after="40"/>
            </w:pPr>
            <w:r>
              <w:rPr>
                <w:b w:val="0"/>
                <w:sz w:val="18"/>
              </w:rPr>
              <w:t>Restauration impossible.</w:t>
            </w:r>
          </w:p>
        </w:tc>
      </w:tr>
      <w:tr>
        <w:tc>
          <w:tcPr>
            <w:tcW w:type="dxa" w:w="4819"/>
          </w:tcPr>
          <w:p>
            <w:pPr>
              <w:spacing w:after="40"/>
            </w:pPr>
            <w:r>
              <w:rPr>
                <w:b w:val="0"/>
                <w:sz w:val="18"/>
              </w:rPr>
              <w:t>Une action groupée échoue</w:t>
            </w:r>
          </w:p>
        </w:tc>
        <w:tc>
          <w:tcPr>
            <w:tcW w:type="dxa" w:w="4819"/>
          </w:tcPr>
          <w:p>
            <w:pPr>
              <w:spacing w:after="40"/>
            </w:pPr>
            <w:r>
              <w:rPr>
                <w:b w:val="0"/>
                <w:sz w:val="18"/>
              </w:rPr>
              <w:t>Opération impossible.</w:t>
            </w:r>
          </w:p>
        </w:tc>
      </w:tr>
    </w:tbl>
    <w:p/>
    <w:p>
      <w:pPr>
        <w:pStyle w:val="Heading1"/>
      </w:pPr>
      <w:r>
        <w:t>8. Les cas particuliers</w:t>
      </w:r>
    </w:p>
    <w:p>
      <w:pPr>
        <w:pStyle w:val="Heading3"/>
      </w:pPr>
      <w:r>
        <w:t>8.1 On ne revient pas à la liste après une création</w:t>
      </w:r>
    </w:p>
    <w:p>
      <w:r>
        <w:rPr>
          <w:i w:val="0"/>
        </w:rPr>
        <w:t>Créer un groupe conduit directement à sa fiche. Ce comportement est délibéré mais peut surprendre lors d’une saisie en série : pour créer plusieurs groupes à la suite, il faut revenir à la liste par le fil d’Ariane entre chaque création.</w:t>
      </w:r>
    </w:p>
    <w:p>
      <w:pPr>
        <w:pStyle w:val="Heading3"/>
      </w:pPr>
      <w:r>
        <w:t>8.2 Un espace supprimé reste listé dans le groupe</w:t>
      </w:r>
    </w:p>
    <w:p>
      <w:r>
        <w:rPr>
          <w:i w:val="0"/>
        </w:rPr>
        <w:t>Si un espace de travail est mis à la corbeille alors qu’il figure dans un groupe, il continue d’apparaître dans la fiche du groupe et d’être compté dans le nombre d’espaces couverts. Le lien conduit alors à une fiche de dossier qui existe toujours, mais qui n’apparaît plus dans la liste principale des espaces. Le rattachement n’est pas rompu automatiquement, ce qui est cohérent avec le caractère réversible de la corbeille.</w:t>
      </w:r>
    </w:p>
    <w:p>
      <w:pPr>
        <w:pStyle w:val="Heading3"/>
      </w:pPr>
      <w:r>
        <w:t>8.3 La colonne « Membres » n’affiche pas un compteur</w:t>
      </w:r>
    </w:p>
    <w:p>
      <w:r>
        <w:rPr>
          <w:i w:val="0"/>
        </w:rPr>
        <w:t>Contrairement à la colonne « Espaces », qui présente un nombre, la colonne « Membres » présente les initiales colorées des quatre premiers membres, suivies d’une pastille « +N » lorsqu’il y en a davantage. Le nom complet apparaît au survol de chaque pastille. Le nombre exact se lit sur la fiche du groupe.</w:t>
      </w:r>
    </w:p>
    <w:p>
      <w:pPr>
        <w:pStyle w:val="Heading3"/>
      </w:pPr>
      <w:r>
        <w:t>8.4 Les membres ne sont pas cliquables</w:t>
      </w:r>
    </w:p>
    <w:p>
      <w:r>
        <w:rPr>
          <w:i w:val="0"/>
        </w:rPr>
        <w:t>Sur la fiche d’un groupe, les espaces de travail sont cliquables, les membres ne le sont pas. Il n’existe pas de fiche d’employé accessible depuis cet écran : seule la fiche de profil de la personne connectée existe dans le produit.</w:t>
      </w:r>
    </w:p>
    <w:p>
      <w:pPr>
        <w:pStyle w:val="Heading3"/>
      </w:pPr>
      <w:r>
        <w:t>8.5 Aucun statut, aucune période de validité</w:t>
      </w:r>
    </w:p>
    <w:p>
      <w:r>
        <w:rPr>
          <w:i w:val="0"/>
        </w:rPr>
        <w:t>Un groupe est présent ou en corbeille. Il n’a ni statut « Actif », ni date de début, ni date de fin. Il n’est donc pas possible de consigner qu’une équipe a été rattachée à un dossier pendant une période donnée : le rattachement est toujours au présent.</w:t>
      </w:r>
    </w:p>
    <w:p>
      <w:pPr>
        <w:pStyle w:val="Heading3"/>
      </w:pPr>
      <w:r>
        <w:t>8.6 Le rattachement se voit aussi depuis l’espace de travail</w:t>
      </w:r>
    </w:p>
    <w:p>
      <w:r>
        <w:rPr>
          <w:i w:val="0"/>
        </w:rPr>
        <w:t>La fiche d’un espace de travail comporte un bloc « Groupes d’accès » qui restitue l’information dans l’autre sens : quels groupes couvrent ce dossier. C’est souvent la lecture la plus utile en exploitation. Lorsqu’aucun groupe ne couvre le dossier, la mention affichée est « Aucun groupe rattaché. »</w:t>
      </w:r>
    </w:p>
    <w:p>
      <w:pPr>
        <w:pStyle w:val="Heading1"/>
      </w:pPr>
      <w:r>
        <w:t>9. Enchaînement avec les autres interfaces</w:t>
      </w:r>
    </w:p>
    <w:p>
      <w:pPr>
        <w:pStyle w:val="Heading2"/>
      </w:pPr>
      <w:r>
        <w:t>9.1 En amont — ce qui doit exister avant</w:t>
      </w:r>
    </w:p>
    <w:p>
      <w:pPr>
        <w:pStyle w:val="ListBullet"/>
      </w:pPr>
      <w:r>
        <w:rPr>
          <w:b/>
        </w:rPr>
        <w:t>Des employés</w:t>
      </w:r>
      <w:r>
        <w:rPr>
          <w:b w:val="0"/>
        </w:rPr>
        <w:t>, pour pouvoir désigner des membres. Sans eux, le groupe peut être créé mais restera vide.</w:t>
      </w:r>
    </w:p>
    <w:p>
      <w:pPr>
        <w:pStyle w:val="ListBullet"/>
      </w:pPr>
      <w:r>
        <w:rPr>
          <w:b/>
        </w:rPr>
        <w:t>Des espaces de travail</w:t>
      </w:r>
      <w:r>
        <w:rPr>
          <w:b w:val="0"/>
        </w:rPr>
        <w:t>, pour pouvoir désigner un périmètre. Même remarque.</w:t>
      </w:r>
    </w:p>
    <w:p>
      <w:pPr>
        <w:pStyle w:val="ListBullet"/>
      </w:pPr>
      <w:r>
        <w:rPr>
          <w:b/>
        </w:rPr>
        <w:t>Aucune dépendance bloquante</w:t>
      </w:r>
      <w:r>
        <w:rPr>
          <w:b w:val="0"/>
        </w:rPr>
        <w:t>, cependant : un groupe peut être créé avant l’un et l’autre, puisque les deux sélections sont facultatives.</w:t>
      </w:r>
    </w:p>
    <w:p>
      <w:pPr>
        <w:pStyle w:val="Heading2"/>
      </w:pPr>
      <w:r>
        <w:t>9.2 En aval — ce qui dépend de cet écran</w:t>
      </w:r>
    </w:p>
    <w:p>
      <w:pPr>
        <w:pStyle w:val="ListBullet"/>
      </w:pPr>
      <w:r>
        <w:rPr>
          <w:b/>
        </w:rPr>
        <w:t>La fiche d’un espace de travail</w:t>
      </w:r>
      <w:r>
        <w:rPr>
          <w:b w:val="0"/>
        </w:rPr>
        <w:t>, qui affiche les groupes couvrant le dossier.</w:t>
      </w:r>
    </w:p>
    <w:p>
      <w:pPr>
        <w:pStyle w:val="ListBullet"/>
      </w:pPr>
      <w:r>
        <w:rPr>
          <w:b/>
        </w:rPr>
        <w:t>L’accueil</w:t>
      </w:r>
      <w:r>
        <w:rPr>
          <w:b w:val="0"/>
        </w:rPr>
        <w:t>, dont une tuile compte les groupes hors corbeille.</w:t>
      </w:r>
    </w:p>
    <w:p>
      <w:pPr>
        <w:pStyle w:val="ListBullet"/>
      </w:pPr>
      <w:r>
        <w:rPr>
          <w:b/>
        </w:rPr>
        <w:t>La fiche de profil</w:t>
      </w:r>
      <w:r>
        <w:rPr>
          <w:b w:val="0"/>
        </w:rPr>
        <w:t>, où les groupes de la personne connectée sont mentionnés.</w:t>
      </w:r>
    </w:p>
    <w:p>
      <w:pPr>
        <w:pStyle w:val="ListBullet"/>
      </w:pPr>
      <w:r>
        <w:rPr>
          <w:b/>
        </w:rPr>
        <w:t>Aucun autre écran.</w:t>
      </w:r>
      <w:r>
        <w:rPr>
          <w:b w:val="0"/>
        </w:rPr>
        <w:t xml:space="preserve"> Ni le dépôt, ni les signatures, ni la recherche, ni les listes de documents ne consultent les groupes.</w:t>
      </w:r>
    </w:p>
    <w:p>
      <w:r>
        <w:rPr>
          <w:i w:val="0"/>
        </w:rPr>
        <w:t>Cette absence de dépendance est en elle-même une information : elle confirme que le module est descriptif et non structurant. Elle doit être dite au client, car elle détermine la priorité à donner à cet écran dans un plan de déploiement — il peut être traité en dernier, sans bloquer quoi que ce soit.</w:t>
      </w:r>
    </w:p>
    <w:p>
      <w:pPr>
        <w:pStyle w:val="Heading1"/>
      </w:pPr>
      <w:r>
        <w:t>10. Points de vigilance</w:t>
      </w:r>
    </w:p>
    <w:p>
      <w:pPr>
        <w:pStyle w:val="Heading3"/>
      </w:pPr>
      <w:r>
        <w:t>10.1 Le nom du module est trompeur, et c’est le point le plus important</w:t>
      </w:r>
    </w:p>
    <w:p>
      <w:r>
        <w:rPr>
          <w:i w:val="0"/>
        </w:rPr>
        <w:t>« Groupe d’accès » annonce une gestion de permissions. Il n’y en a aucune. Toute présentation de cet écran doit commencer par cette mise au point, faute de quoi le client se construira une représentation fausse de la sécurité de son application. En recette, la question « et si je retire cet espace du groupe, qui perd l’accès ? » revient systématiquement : la réponse est « personne, puisque personne n’avait d’accès à perdre ».</w:t>
      </w:r>
    </w:p>
    <w:p>
      <w:r>
        <w:rPr>
          <w:i w:val="0"/>
        </w:rPr>
        <w:t>Si le besoin de cloisonnement est réel, il doit être traité comme une évolution distincte, avec les conséquences que cela suppose : plusieurs comptes de connexion, une notion de rôle, et une vérification de droits à chaque action. Aucune de ces trois choses n’existe aujourd’hui.</w:t>
      </w:r>
    </w:p>
    <w:p>
      <w:pPr>
        <w:pStyle w:val="Heading3"/>
      </w:pPr>
      <w:r>
        <w:t>10.2 La liste des membres est plus courte que le personnel</w:t>
      </w:r>
    </w:p>
    <w:p>
      <w:r>
        <w:rPr>
          <w:i w:val="0"/>
        </w:rPr>
        <w:t>Seuls les employés portant la mention « peut se connecter » sont proposés comme membres. Dans un produit à utilisateur unique, cette mention ne concerne qu’une poignée de personnes. **Il est donc impossible, en pratique, de constituer un groupe représentant une équipe complète**, ce qui prive le module d’une bonne part de son utilité documentaire. C’est l’écart le plus lourd de conséquence sur cet écran, et il doit être arbitré : soit la liste s’ouvre à tous les employés, soit l’usage du module est explicitement restreint.</w:t>
      </w:r>
    </w:p>
    <w:p>
      <w:pPr>
        <w:pStyle w:val="Heading3"/>
      </w:pPr>
      <w:r>
        <w:t>10.3 L’unicité du nom n’est pas annoncée</w:t>
      </w:r>
    </w:p>
    <w:p>
      <w:r>
        <w:rPr>
          <w:i w:val="0"/>
        </w:rPr>
        <w:t>Le formulaire ne signale nulle part que le nom doit être unique. L’utilisateur ne l’apprend qu’au moment du refus, après avoir saisi l’ensemble du groupe. Sur une reprise d’organigramme comportant des libellés proches, cela peut occasionner plusieurs allers-retours.</w:t>
      </w:r>
    </w:p>
    <w:p>
      <w:pPr>
        <w:pStyle w:val="Heading3"/>
      </w:pPr>
      <w:r>
        <w:t>10.4 La confirmation n’annonce pas l’ampleur de la suppression</w:t>
      </w:r>
    </w:p>
    <w:p>
      <w:r>
        <w:rPr>
          <w:i w:val="0"/>
        </w:rPr>
        <w:t>La consigne d’origine demandait que la confirmation précise combien de membres perdent le rattachement, sous la forme « 3 membre(s) perdent ce rattachement. ». Le produit affiche la même phrase pour un groupe vide et pour un groupe de trente personnes. L’opération reste réversible, mais l’utilisateur n’est pas averti de ce qu’il défait.</w:t>
      </w:r>
    </w:p>
    <w:p>
      <w:pPr>
        <w:pStyle w:val="Heading3"/>
      </w:pPr>
      <w:r>
        <w:t>10.5 La colonne « Membres » ne respecte pas la consigne</w:t>
      </w:r>
    </w:p>
    <w:p>
      <w:r>
        <w:rPr>
          <w:i w:val="0"/>
        </w:rPr>
        <w:t>La consigne d’origine demandait deux compteurs, au motif qu’un compteur se compare d’une ligne à l’autre. Le produit présente un compteur pour les espaces, mais des pastilles d’initiales pour les membres. La comparaison entre lignes reste possible visuellement — quatre pastilles au plus, puis un « +N » — mais elle est moins immédiate qu’un nombre.</w:t>
      </w:r>
    </w:p>
    <w:p>
      <w:pPr>
        <w:pStyle w:val="Heading3"/>
      </w:pPr>
      <w:r>
        <w:t>10.6 Le champ « Description » n’existe pas</w:t>
      </w:r>
    </w:p>
    <w:p>
      <w:r>
        <w:rPr>
          <w:i w:val="0"/>
        </w:rPr>
        <w:t>Prévu par la consigne d’origine, il n’est pas présent dans le formulaire. La raison d’être d’un groupe doit donc tenir entièrement dans son nom, ou être documentée hors de l’application.</w:t>
      </w:r>
    </w:p>
    <w:p>
      <w:pPr>
        <w:pStyle w:val="Heading3"/>
      </w:pPr>
      <w:r>
        <w:t>10.7 La recherche ignore le code</w:t>
      </w:r>
    </w:p>
    <w:p>
      <w:r>
        <w:rPr>
          <w:i w:val="0"/>
        </w:rPr>
        <w:t>Seul le nom est interrogé. Chercher « AG-ADMIN » ne renvoie rien, bien que la valeur soit affichée en colonne.</w:t>
      </w:r>
    </w:p>
    <w:p>
      <w:pPr>
        <w:pStyle w:val="Heading3"/>
      </w:pPr>
      <w:r>
        <w:t>10.8 Ce que l’écran ne fait pas</w:t>
      </w:r>
    </w:p>
    <w:p>
      <w:pPr>
        <w:pStyle w:val="ListBullet"/>
      </w:pPr>
      <w:r>
        <w:rPr>
          <w:b w:val="0"/>
        </w:rPr>
        <w:t>Il n’accorde ni ne retire aucun droit, sur aucun écran, aucun dossier, aucun document.</w:t>
      </w:r>
    </w:p>
    <w:p>
      <w:pPr>
        <w:pStyle w:val="ListBullet"/>
      </w:pPr>
      <w:r>
        <w:rPr>
          <w:b w:val="0"/>
        </w:rPr>
        <w:t>Il ne filtre aucune liste : les documents et les dossiers visibles sont les mêmes quel que soit le groupe.</w:t>
      </w:r>
    </w:p>
    <w:p>
      <w:pPr>
        <w:pStyle w:val="ListBullet"/>
      </w:pPr>
      <w:r>
        <w:rPr>
          <w:b w:val="0"/>
        </w:rPr>
        <w:t>Il ne détermine pas qui peut signer : cela relève des étapes des règles de workflow.</w:t>
      </w:r>
    </w:p>
    <w:p>
      <w:pPr>
        <w:pStyle w:val="ListBullet"/>
      </w:pPr>
      <w:r>
        <w:rPr>
          <w:b w:val="0"/>
        </w:rPr>
        <w:t>Il ne crée aucun employé et n’en modifie aucun : il ne fait que les citer.</w:t>
      </w:r>
    </w:p>
    <w:p>
      <w:pPr>
        <w:pStyle w:val="ListBullet"/>
      </w:pPr>
      <w:r>
        <w:rPr>
          <w:b w:val="0"/>
        </w:rPr>
        <w:t>Il n’envoie aucune notification aux membres, qui ne se connectent pas.</w:t>
      </w:r>
    </w:p>
    <w:p>
      <w:pPr>
        <w:pStyle w:val="ListBullet"/>
      </w:pPr>
      <w:r>
        <w:rPr>
          <w:b w:val="0"/>
        </w:rPr>
        <w:t>Il ne comporte ni description, ni statut, ni période de validité.</w:t>
      </w:r>
    </w:p>
    <w:p>
      <w:pPr>
        <w:pStyle w:val="ListBullet"/>
      </w:pPr>
      <w:r>
        <w:rPr>
          <w:b w:val="0"/>
        </w:rPr>
        <w:t>Il n’est le préalable d’aucun autre écran.</w:t>
      </w:r>
    </w:p>
    <w:p>
      <w:pPr>
        <w:pStyle w:val="Heading3"/>
      </w:pPr>
      <w:r>
        <w:t>10.9 Formulation à tenir devant le client</w:t>
      </w:r>
    </w:p>
    <w:p>
      <w:r>
        <w:rPr>
          <w:i w:val="0"/>
        </w:rPr>
        <w:t>On présentera un groupe d’accès comme **un rattachement documenté entre des personnes et des dossiers**, comparable à une ligne d’organigramme. On évitera systématiquement les verbes « protéger », « autoriser », « restreindre » et « ouvrir l’accès ». Si l’interlocuteur emploie ces mots, il faut le reprendre immédiatement : un malentendu sur ce point ne se découvre qu’au moment d’un incident, c’est-à-dire trop tard.</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GED Marchica Med — 05 Groupes d’accès — volet fonctionnel  —  page </w:t>
    </w:r>
    <w:r>
      <w:rPr>
        <w:color w:val="60606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55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44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