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06 — Index</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06 — Index</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Ce que l'écran déclare, et pourquoi il constitue le premier maillon de la chaîne de paramétrage.</w:t>
            </w:r>
          </w:p>
        </w:tc>
      </w:tr>
      <w:tr>
        <w:tc>
          <w:tcPr>
            <w:tcW w:type="dxa" w:w="4819"/>
          </w:tcPr>
          <w:p>
            <w:pPr>
              <w:spacing w:before="20" w:after="20"/>
            </w:pPr>
            <w:r>
              <w:rPr>
                <w:sz w:val="19"/>
              </w:rPr>
              <w:t>2. Les notions manipulées</w:t>
            </w:r>
          </w:p>
        </w:tc>
        <w:tc>
          <w:tcPr>
            <w:tcW w:type="dxa" w:w="4819"/>
          </w:tcPr>
          <w:p>
            <w:pPr>
              <w:spacing w:before="20" w:after="20"/>
            </w:pPr>
            <w:r>
              <w:rPr>
                <w:sz w:val="19"/>
              </w:rPr>
              <w:t>Index et valeur d'index, index et étiquette, nom et code, recherche et groupage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La barre d'outils, les dix colonnes du tableau, les deux états vides et le pied de liste.</w:t>
            </w:r>
          </w:p>
        </w:tc>
      </w:tr>
      <w:tr>
        <w:tc>
          <w:tcPr>
            <w:tcW w:type="dxa" w:w="4819"/>
          </w:tcPr>
          <w:p>
            <w:pPr>
              <w:spacing w:before="20" w:after="20"/>
            </w:pPr>
            <w:r>
              <w:rPr>
                <w:sz w:val="19"/>
              </w:rPr>
              <w:t>4. Le processus, étape par étape</w:t>
            </w:r>
          </w:p>
        </w:tc>
        <w:tc>
          <w:tcPr>
            <w:tcW w:type="dxa" w:w="4819"/>
          </w:tcPr>
          <w:p>
            <w:pPr>
              <w:spacing w:before="20" w:after="20"/>
            </w:pPr>
            <w:r>
              <w:rPr>
                <w:sz w:val="19"/>
              </w:rPr>
              <w:t>Les six parcours de l'écran, en suites numérotées et en schémas.</w:t>
            </w:r>
          </w:p>
        </w:tc>
      </w:tr>
      <w:tr>
        <w:tc>
          <w:tcPr>
            <w:tcW w:type="dxa" w:w="4819"/>
          </w:tcPr>
          <w:p>
            <w:pPr>
              <w:spacing w:before="20" w:after="20"/>
            </w:pPr>
            <w:r>
              <w:rPr>
                <w:sz w:val="19"/>
              </w:rPr>
              <w:t>5. Les données saisies</w:t>
            </w:r>
          </w:p>
        </w:tc>
        <w:tc>
          <w:tcPr>
            <w:tcW w:type="dxa" w:w="4819"/>
          </w:tcPr>
          <w:p>
            <w:pPr>
              <w:spacing w:before="20" w:after="20"/>
            </w:pPr>
            <w:r>
              <w:rPr>
                <w:sz w:val="19"/>
              </w:rPr>
              <w:t>Les huit champs du formulaire : nature, caractère obligatoire, valeur par défaut, exemple et explication.</w:t>
            </w:r>
          </w:p>
        </w:tc>
      </w:tr>
      <w:tr>
        <w:tc>
          <w:tcPr>
            <w:tcW w:type="dxa" w:w="4819"/>
          </w:tcPr>
          <w:p>
            <w:pPr>
              <w:spacing w:before="20" w:after="20"/>
            </w:pPr>
            <w:r>
              <w:rPr>
                <w:sz w:val="19"/>
              </w:rPr>
              <w:t>6. Les règles de gestion</w:t>
            </w:r>
          </w:p>
        </w:tc>
        <w:tc>
          <w:tcPr>
            <w:tcW w:type="dxa" w:w="4819"/>
          </w:tcPr>
          <w:p>
            <w:pPr>
              <w:spacing w:before="20" w:after="20"/>
            </w:pPr>
            <w:r>
              <w:rPr>
                <w:sz w:val="19"/>
              </w:rPr>
              <w:t>Treize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Les messages exacts affichés à la saisie, les confirmations, les réussites et les refus rencontrés plus tard au dépôt.</w:t>
            </w:r>
          </w:p>
        </w:tc>
      </w:tr>
      <w:tr>
        <w:tc>
          <w:tcPr>
            <w:tcW w:type="dxa" w:w="4819"/>
          </w:tcPr>
          <w:p>
            <w:pPr>
              <w:spacing w:before="20" w:after="20"/>
            </w:pPr>
            <w:r>
              <w:rPr>
                <w:sz w:val="19"/>
              </w:rPr>
              <w:t>8. Les cas particuliers</w:t>
            </w:r>
          </w:p>
        </w:tc>
        <w:tc>
          <w:tcPr>
            <w:tcW w:type="dxa" w:w="4819"/>
          </w:tcPr>
          <w:p>
            <w:pPr>
              <w:spacing w:before="20" w:after="20"/>
            </w:pPr>
            <w:r>
              <w:rPr>
                <w:sz w:val="19"/>
              </w:rPr>
              <w:t>Les comportements que le lecteur ne devinera pas à la lecture de l'écran.</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Aucun prérequis en amont ; les plans, les types, le dépôt et la recherche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L'interface Index sert à déclarer, une fois pour toutes, les informations qui décriront les documents de l'entreprise. Créer un index revient à répondre à la question : « quel renseignement voulons-nous connaître sur nos documents ? ». Les réponses habituelles sont « le numéro de facture », « la date d'émission », « le fournisseur », « la priorité ».</w:t>
      </w:r>
    </w:p>
    <w:p>
      <w:pPr/>
      <w:r>
        <w:t>Un index est un modèle de champ, pas une donnée. Il ne contient aucune valeur. Il décrit une case à remplir : son intitulé, sa nature, son caractère obligatoire ou non, et ce que l'application aura le droit d'en faire ensuite. Les valeurs, elles, sont saisies document par document, au moment du dépôt.</w:t>
      </w:r>
    </w:p>
    <w:p>
      <w:pPr/>
      <w:r>
        <w:t>Cette interface est le premier maillon de la chaîne de paramétrage. Rien de ce qui suit ne peut être construit sans elle : un plan d'indexation assemble des index, un type de document porte un plan, et l'écran de dépôt n'affiche que les champs issus de cette chaîne. Un référentiel d'index vide produit mécaniquement une GED où l'on dépose des fichiers sans jamais les décrire.</w:t>
      </w:r>
    </w:p>
    <w:p>
      <w:pPr>
        <w:spacing w:before="0" w:after="0"/>
        <w:ind w:left="113"/>
      </w:pPr>
      <w:r>
        <w:rPr>
          <w:rFonts w:ascii="Consolas" w:hAnsi="Consolas" w:cs="Consolas"/>
          <w:sz w:val="18"/>
        </w:rPr>
        <w:t xml:space="preserve">  CHAÎNE DE PARAMÉTRAGE — position de l'écran Index</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[06] INDEX  --&gt;  [07] PLAN D'INDEXATION  --&gt;  [08] TYPE DE DOCUMENT</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                      |                    [03] ESPACE DE TRAVAIL</w:t>
      </w:r>
    </w:p>
    <w:p>
      <w:pPr>
        <w:spacing w:before="0" w:after="0"/>
        <w:ind w:left="113"/>
      </w:pPr>
      <w:r>
        <w:rPr>
          <w:rFonts w:ascii="Consolas" w:hAnsi="Consolas" w:cs="Consolas"/>
          <w:sz w:val="18"/>
        </w:rPr>
        <w:t xml:space="preserve">     |                      |                    [04] RÈGLE DE WORKFLOW</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                      v                            v</w:t>
      </w:r>
    </w:p>
    <w:p>
      <w:pPr>
        <w:spacing w:before="0" w:after="0"/>
        <w:ind w:left="113"/>
      </w:pPr>
      <w:r>
        <w:rPr>
          <w:rFonts w:ascii="Consolas" w:hAnsi="Consolas" w:cs="Consolas"/>
          <w:sz w:val="18"/>
        </w:rPr>
        <w:t xml:space="preserve">     |            charte de nommage              [11] DÉPÔT ET INDEXATION</w:t>
      </w:r>
    </w:p>
    <w:p>
      <w:pPr>
        <w:spacing w:before="0" w:after="0"/>
        <w:ind w:left="113"/>
      </w:pPr>
      <w:r>
        <w:rPr>
          <w:rFonts w:ascii="Consolas" w:hAnsi="Consolas" w:cs="Consolas"/>
          <w:sz w:val="18"/>
        </w:rPr>
        <w:t xml:space="preserve">     |            (le nom du document)                   |</w:t>
      </w:r>
    </w:p>
    <w:p>
      <w:pPr>
        <w:spacing w:before="0" w:after="0"/>
        <w:ind w:left="113"/>
      </w:pPr>
      <w:r>
        <w:rPr>
          <w:rFonts w:ascii="Consolas" w:hAnsi="Consolas" w:cs="Consolas"/>
          <w:sz w:val="18"/>
        </w:rPr>
        <w:t xml:space="preserve">     |                                                   v</w:t>
      </w:r>
    </w:p>
    <w:p>
      <w:pPr>
        <w:spacing w:before="0" w:after="0"/>
        <w:ind w:left="113"/>
      </w:pPr>
      <w:r>
        <w:rPr>
          <w:rFonts w:ascii="Consolas" w:hAnsi="Consolas" w:cs="Consolas"/>
          <w:sz w:val="18"/>
        </w:rPr>
        <w:t xml:space="preserve">     +--&gt; critères de recherche et de groupage --&gt; [10] DOCUMENTS</w:t>
      </w:r>
    </w:p>
    <w:p>
      <w:pPr>
        <w:spacing w:after="40"/>
      </w:pPr>
    </w:p>
    <w:p>
      <w:pPr/>
      <w:r>
        <w:t>L'écran remplit donc trois fonctions à la fois, et c'est ce qui le rend structurant. Il alimente le formulaire de saisie du dépôt ; il fournit la matière première du nom automatique des documents ; il détermine les critères par lesquels on retrouvera ces documents plus tard. Une décision prise ici se répercute sur les trois plans en même temps.</w:t>
      </w:r>
    </w:p>
    <w:p>
      <w:pPr>
        <w:pStyle w:val="Heading1"/>
      </w:pPr>
      <w:r>
        <w:t>2. Les notions manipulées</w:t>
      </w:r>
    </w:p>
    <w:p>
      <w:pPr>
        <w:pStyle w:val="Heading2"/>
      </w:pPr>
      <w:r>
        <w:t>2.1 L'index et la valeur d'index</w:t>
      </w:r>
    </w:p>
    <w:p>
      <w:pPr/>
      <w:r>
        <w:t>L'index est le champ ; la valeur d'index est ce qu'un document précis inscrit dans ce champ. « Numéro de facture » est un index, créé une seule fois sur cet écran. « 2026003 » est une valeur, saisie sur un document précis au moment du dépôt. La confusion est fréquente et lourde de conséquences : on ne crée pas un index par facture, on en crée un pour toutes les factures.</w:t>
      </w:r>
    </w:p>
    <w:p>
      <w:pPr>
        <w:pStyle w:val="Heading2"/>
      </w:pPr>
      <w:r>
        <w:t>2.2 L'index et l'étiquette</w:t>
      </w:r>
    </w:p>
    <w:p>
      <w:pPr/>
      <w:r>
        <w:t>Ces deux notions servent toutes deux à retrouver des documents, mais elles n'ont ni la même nature ni le même auteur. Le tableau ci-dessous les oppose terme à terme.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Critère</w:t>
            </w:r>
          </w:p>
        </w:tc>
        <w:tc>
          <w:tcPr>
            <w:tcW w:type="dxa" w:w="3213"/>
          </w:tcPr>
          <w:p>
            <w:pPr>
              <w:spacing w:before="20" w:after="20"/>
            </w:pPr>
            <w:r>
              <w:rPr>
                <w:b/>
                <w:sz w:val="19"/>
              </w:rPr>
              <w:t>Index</w:t>
            </w:r>
          </w:p>
        </w:tc>
        <w:tc>
          <w:tcPr>
            <w:tcW w:type="dxa" w:w="3213"/>
          </w:tcPr>
          <w:p>
            <w:pPr>
              <w:spacing w:before="20" w:after="20"/>
            </w:pPr>
            <w:r>
              <w:rPr>
                <w:b/>
                <w:sz w:val="19"/>
              </w:rPr>
              <w:t>Étiquette</w:t>
            </w:r>
          </w:p>
        </w:tc>
      </w:tr>
      <w:tr>
        <w:tc>
          <w:tcPr>
            <w:tcW w:type="dxa" w:w="3213"/>
          </w:tcPr>
          <w:p>
            <w:pPr>
              <w:spacing w:before="20" w:after="20"/>
            </w:pPr>
            <w:r>
              <w:rPr>
                <w:sz w:val="19"/>
              </w:rPr>
              <w:t>Ce qu'il porte</w:t>
            </w:r>
          </w:p>
        </w:tc>
        <w:tc>
          <w:tcPr>
            <w:tcW w:type="dxa" w:w="3213"/>
          </w:tcPr>
          <w:p>
            <w:pPr>
              <w:spacing w:before="20" w:after="20"/>
            </w:pPr>
            <w:r>
              <w:rPr>
                <w:sz w:val="19"/>
              </w:rPr>
              <w:t>Une valeur (« 2026003 », « ACME »)</w:t>
            </w:r>
          </w:p>
        </w:tc>
        <w:tc>
          <w:tcPr>
            <w:tcW w:type="dxa" w:w="3213"/>
          </w:tcPr>
          <w:p>
            <w:pPr>
              <w:spacing w:before="20" w:after="20"/>
            </w:pPr>
            <w:r>
              <w:rPr>
                <w:sz w:val="19"/>
              </w:rPr>
              <w:t>Rien : elle est posée ou elle ne l'est pas</w:t>
            </w:r>
          </w:p>
        </w:tc>
      </w:tr>
      <w:tr>
        <w:tc>
          <w:tcPr>
            <w:tcW w:type="dxa" w:w="3213"/>
          </w:tcPr>
          <w:p>
            <w:pPr>
              <w:spacing w:before="20" w:after="20"/>
            </w:pPr>
            <w:r>
              <w:rPr>
                <w:sz w:val="19"/>
              </w:rPr>
              <w:t>Qui décide de son existence</w:t>
            </w:r>
          </w:p>
        </w:tc>
        <w:tc>
          <w:tcPr>
            <w:tcW w:type="dxa" w:w="3213"/>
          </w:tcPr>
          <w:p>
            <w:pPr>
              <w:spacing w:before="20" w:after="20"/>
            </w:pPr>
            <w:r>
              <w:rPr>
                <w:sz w:val="19"/>
              </w:rPr>
              <w:t>Le paramétrage, sur cet écran</w:t>
            </w:r>
          </w:p>
        </w:tc>
        <w:tc>
          <w:tcPr>
            <w:tcW w:type="dxa" w:w="3213"/>
          </w:tcPr>
          <w:p>
            <w:pPr>
              <w:spacing w:before="20" w:after="20"/>
            </w:pPr>
            <w:r>
              <w:rPr>
                <w:sz w:val="19"/>
              </w:rPr>
              <w:t>Le paramétrage, sur l'écran Étiquettes</w:t>
            </w:r>
          </w:p>
        </w:tc>
      </w:tr>
      <w:tr>
        <w:tc>
          <w:tcPr>
            <w:tcW w:type="dxa" w:w="3213"/>
          </w:tcPr>
          <w:p>
            <w:pPr>
              <w:spacing w:before="20" w:after="20"/>
            </w:pPr>
            <w:r>
              <w:rPr>
                <w:sz w:val="19"/>
              </w:rPr>
              <w:t>Qui décide de sa présence sur un document</w:t>
            </w:r>
          </w:p>
        </w:tc>
        <w:tc>
          <w:tcPr>
            <w:tcW w:type="dxa" w:w="3213"/>
          </w:tcPr>
          <w:p>
            <w:pPr>
              <w:spacing w:before="20" w:after="20"/>
            </w:pPr>
            <w:r>
              <w:rPr>
                <w:sz w:val="19"/>
              </w:rPr>
              <w:t>Le plan d'indexation du type choisi : les champs s'imposent</w:t>
            </w:r>
          </w:p>
        </w:tc>
        <w:tc>
          <w:tcPr>
            <w:tcW w:type="dxa" w:w="3213"/>
          </w:tcPr>
          <w:p>
            <w:pPr>
              <w:spacing w:before="20" w:after="20"/>
            </w:pPr>
            <w:r>
              <w:rPr>
                <w:sz w:val="19"/>
              </w:rPr>
              <w:t>L'opérateur, librement, au moment du dépôt</w:t>
            </w:r>
          </w:p>
        </w:tc>
      </w:tr>
      <w:tr>
        <w:tc>
          <w:tcPr>
            <w:tcW w:type="dxa" w:w="3213"/>
          </w:tcPr>
          <w:p>
            <w:pPr>
              <w:spacing w:before="20" w:after="20"/>
            </w:pPr>
            <w:r>
              <w:rPr>
                <w:sz w:val="19"/>
              </w:rPr>
              <w:t>Combien par document</w:t>
            </w:r>
          </w:p>
        </w:tc>
        <w:tc>
          <w:tcPr>
            <w:tcW w:type="dxa" w:w="3213"/>
          </w:tcPr>
          <w:p>
            <w:pPr>
              <w:spacing w:before="20" w:after="20"/>
            </w:pPr>
            <w:r>
              <w:rPr>
                <w:sz w:val="19"/>
              </w:rPr>
              <w:t>Un par index du plan, ni plus ni moins</w:t>
            </w:r>
          </w:p>
        </w:tc>
        <w:tc>
          <w:tcPr>
            <w:tcW w:type="dxa" w:w="3213"/>
          </w:tcPr>
          <w:p>
            <w:pPr>
              <w:spacing w:before="20" w:after="20"/>
            </w:pPr>
            <w:r>
              <w:rPr>
                <w:sz w:val="19"/>
              </w:rPr>
              <w:t>Autant que l'on veut, y compris aucune</w:t>
            </w:r>
          </w:p>
        </w:tc>
      </w:tr>
      <w:tr>
        <w:tc>
          <w:tcPr>
            <w:tcW w:type="dxa" w:w="3213"/>
          </w:tcPr>
          <w:p>
            <w:pPr>
              <w:spacing w:before="20" w:after="20"/>
            </w:pPr>
            <w:r>
              <w:rPr>
                <w:sz w:val="19"/>
              </w:rPr>
              <w:t>Effet sur le nom du document</w:t>
            </w:r>
          </w:p>
        </w:tc>
        <w:tc>
          <w:tcPr>
            <w:tcW w:type="dxa" w:w="3213"/>
          </w:tcPr>
          <w:p>
            <w:pPr>
              <w:spacing w:before="20" w:after="20"/>
            </w:pPr>
            <w:r>
              <w:rPr>
                <w:sz w:val="19"/>
              </w:rPr>
              <w:t>Peut composer le nom automatiquement</w:t>
            </w:r>
          </w:p>
        </w:tc>
        <w:tc>
          <w:tcPr>
            <w:tcW w:type="dxa" w:w="3213"/>
          </w:tcPr>
          <w:p>
            <w:pPr>
              <w:spacing w:before="20" w:after="20"/>
            </w:pPr>
            <w:r>
              <w:rPr>
                <w:sz w:val="19"/>
              </w:rPr>
              <w:t>Aucun</w:t>
            </w:r>
          </w:p>
        </w:tc>
      </w:tr>
      <w:tr>
        <w:tc>
          <w:tcPr>
            <w:tcW w:type="dxa" w:w="3213"/>
          </w:tcPr>
          <w:p>
            <w:pPr>
              <w:spacing w:before="20" w:after="20"/>
            </w:pPr>
            <w:r>
              <w:rPr>
                <w:sz w:val="19"/>
              </w:rPr>
              <w:t>Nature du classement</w:t>
            </w:r>
          </w:p>
        </w:tc>
        <w:tc>
          <w:tcPr>
            <w:tcW w:type="dxa" w:w="3213"/>
          </w:tcPr>
          <w:p>
            <w:pPr>
              <w:spacing w:before="20" w:after="20"/>
            </w:pPr>
            <w:r>
              <w:rPr>
                <w:sz w:val="19"/>
              </w:rPr>
              <w:t>Structuré, imposé par le type</w:t>
            </w:r>
          </w:p>
        </w:tc>
        <w:tc>
          <w:tcPr>
            <w:tcW w:type="dxa" w:w="3213"/>
          </w:tcPr>
          <w:p>
            <w:pPr>
              <w:spacing w:before="20" w:after="20"/>
            </w:pPr>
            <w:r>
              <w:rPr>
                <w:sz w:val="19"/>
              </w:rPr>
              <w:t>Transversal, libre, indépendant du dossier</w:t>
            </w:r>
          </w:p>
        </w:tc>
      </w:tr>
    </w:tbl>
    <w:p>
      <w:pPr>
        <w:spacing w:after="40"/>
      </w:pPr>
    </w:p>
    <w:p>
      <w:pPr/>
      <w:r>
        <w:t>Formulé autrement : l'index répond à « quelle est la valeur de ce renseignement ? », l'étiquette répond à « ce document appartient-il à ce lot ? ».</w:t>
      </w:r>
    </w:p>
    <w:p>
      <w:pPr>
        <w:pStyle w:val="Heading2"/>
      </w:pPr>
      <w:r>
        <w:t>2.3 Le nom de l'index et le code</w:t>
      </w:r>
    </w:p>
    <w:p>
      <w:pPr/>
      <w:r>
        <w:t>Deux identifiants coexistent, et ils ne servent pas au même usage. Le nom de l'index est le libellé humain : c'est lui qui apparaît devant la case à remplir au dépôt, et c'est lui qui compose l'aperçu de la charte de nommage. Le code est un identifiant court et technique, du genre IDX-NUMFACT : il ne s'affiche jamais devant l'opérateur qui dépose, il sert de repère stable au paramétrage et d'ancrage lors des reprises de données. Le code est unique dans toute l'application ; le nom, lui, ne l'est pas.</w:t>
      </w:r>
    </w:p>
    <w:p>
      <w:pPr>
        <w:pStyle w:val="Heading2"/>
      </w:pPr>
      <w:r>
        <w:t>2.4 Le type de champ et le caractère obligatoire</w:t>
      </w:r>
    </w:p>
    <w:p>
      <w:pPr/>
      <w:r>
        <w:t>Le type de champ dit ce que la case accepte : du texte libre, un nombre, une date, ou un choix dans une liste fermée. Le caractère obligatoire dit si la case doit être remplie. Les deux réglages sont indépendants : un champ Date peut être facultatif, un champ Texte peut être obligatoire. Le type gouverne la qualité de la donnée, l'obligation gouverne sa présence.</w:t>
      </w:r>
    </w:p>
    <w:p>
      <w:pPr>
        <w:pStyle w:val="Heading2"/>
      </w:pPr>
      <w:r>
        <w:t>2.5 « Indexé pour recherche » et « Index de groupage »</w:t>
      </w:r>
    </w:p>
    <w:p>
      <w:pPr/>
      <w:r>
        <w:t>Ces deux interrupteurs se ressemblent et produisent des effets différents. « Indexé pour recherche » fait apparaître l'index comme critère dans le formulaire de recherche : on pourra filtrer les documents sur cette information. « Index de groupage » fait de l'index un axe de regroupement des résultats : les documents trouvés seront présentés rassemblés par la valeur de cet index.</w:t>
      </w:r>
    </w:p>
    <w:p>
      <w:pPr/>
      <w:r>
        <w:t>Un exemple sépare les deux. Sur « Numéro de facture », la recherche a du sens (on cherche une facture précise) mais le groupage n'en a aucun (chaque groupe ne contiendrait qu'un document). Sur « Fournisseur » ou « Priorité », les deux ont du sens : on cherche par fournisseur, et l'on aime voir les résultats rassemblés par fournisseur. Un index de groupage doit avoir peu de valeurs distinctes ; sinon le regroupement produit autant de groupes que de documents et n'apporte rien.</w:t>
      </w:r>
    </w:p>
    <w:p>
      <w:pPr>
        <w:pStyle w:val="Heading2"/>
      </w:pPr>
      <w:r>
        <w:t>2.6 « Valeurs (Options) » et « Valeur par défaut »</w:t>
      </w:r>
    </w:p>
    <w:p>
      <w:pPr/>
      <w:r>
        <w:t>« Valeurs (Options) » n'existe que pour le type Liste : c'est l'énumération des choix proposés dans la liste déroulante. « Valeur par défaut » est la proposition initiale faite à l'opérateur ; elle s'applique quel que soit le type. Confondre les deux conduit à écrire une énumération dans le champ de la valeur par défaut, ce que l'application accepte sans broncher, et qui produit au dépôt un champ pré-rempli avec une chaîne absurde.</w:t>
      </w:r>
    </w:p>
    <w:p>
      <w:pPr>
        <w:pStyle w:val="Heading2"/>
      </w:pPr>
      <w:r>
        <w:t>2.7 La corbeille et la suppression</w:t>
      </w:r>
    </w:p>
    <w:p>
      <w:pPr/>
      <w:r>
        <w:t>Aucune suppression n'est définitive dans cette application. Supprimer un index le déplace vers l'archive, d'où il peut être restauré à tout moment. La liste se lit donc dans deux vues exclusives : la vue des index actifs, et la vue Archive. L'écran conserve la vue courante dans l'adresse de la page, ce qui permet de recharger la page, de la mettre en favori ou d'utiliser le bouton Précédent du navigateur sans revenir sournoisement aux actifs.</w:t>
      </w:r>
    </w:p>
    <w:p>
      <w:pPr>
        <w:pStyle w:val="Heading1"/>
      </w:pPr>
      <w:r>
        <w:t>3. Ce que l'utilisateur voit</w:t>
      </w:r>
    </w:p>
    <w:p>
      <w:pPr>
        <w:pStyle w:val="Heading2"/>
      </w:pPr>
      <w:r>
        <w:t>3.1 L'en-tête de page</w:t>
      </w:r>
    </w:p>
    <w:p>
      <w:pPr/>
      <w:r>
        <w:t>En haut à gauche, le titre « Index » et, sous lui, le fil d'ariane « Accueil - Listes des Index ». En haut à droite, un bouton d'action principale « Créer un index ». L'écran est atteint depuis l'entrée « Index » du menu latéral.</w:t>
      </w:r>
    </w:p>
    <w:p>
      <w:pPr>
        <w:pStyle w:val="Heading2"/>
      </w:pPr>
      <w:r>
        <w:t>3.2 La barre d'outils, au-dessus du tableau</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Ce qu'il fait</w:t>
            </w:r>
          </w:p>
        </w:tc>
        <w:tc>
          <w:tcPr>
            <w:tcW w:type="dxa" w:w="3213"/>
          </w:tcPr>
          <w:p>
            <w:pPr>
              <w:spacing w:before="20" w:after="20"/>
            </w:pPr>
            <w:r>
              <w:rPr>
                <w:b/>
                <w:sz w:val="19"/>
              </w:rPr>
              <w:t>Ce que le lecteur doit en retenir</w:t>
            </w:r>
          </w:p>
        </w:tc>
      </w:tr>
      <w:tr>
        <w:tc>
          <w:tcPr>
            <w:tcW w:type="dxa" w:w="3213"/>
          </w:tcPr>
          <w:p>
            <w:pPr>
              <w:spacing w:before="20" w:after="20"/>
            </w:pPr>
            <w:r>
              <w:rPr>
                <w:sz w:val="19"/>
              </w:rPr>
              <w:t>Champ de recherche « Rechercher… »</w:t>
            </w:r>
          </w:p>
        </w:tc>
        <w:tc>
          <w:tcPr>
            <w:tcW w:type="dxa" w:w="3213"/>
          </w:tcPr>
          <w:p>
            <w:pPr>
              <w:spacing w:before="20" w:after="20"/>
            </w:pPr>
            <w:r>
              <w:rPr>
                <w:sz w:val="19"/>
              </w:rPr>
              <w:t>Filtre la liste au fil de la frappe.</w:t>
            </w:r>
          </w:p>
        </w:tc>
        <w:tc>
          <w:tcPr>
            <w:tcW w:type="dxa" w:w="3213"/>
          </w:tcPr>
          <w:p>
            <w:pPr>
              <w:spacing w:before="20" w:after="20"/>
            </w:pPr>
            <w:r>
              <w:rPr>
                <w:sz w:val="19"/>
              </w:rPr>
              <w:t>La recherche porte sur le nom de l'index uniquement. Saisir un code n'y ramène rien.</w:t>
            </w:r>
          </w:p>
        </w:tc>
      </w:tr>
      <w:tr>
        <w:tc>
          <w:tcPr>
            <w:tcW w:type="dxa" w:w="3213"/>
          </w:tcPr>
          <w:p>
            <w:pPr>
              <w:spacing w:before="20" w:after="20"/>
            </w:pPr>
            <w:r>
              <w:rPr>
                <w:sz w:val="19"/>
              </w:rPr>
              <w:t>Bouton « Sélectionner »</w:t>
            </w:r>
          </w:p>
        </w:tc>
        <w:tc>
          <w:tcPr>
            <w:tcW w:type="dxa" w:w="3213"/>
          </w:tcPr>
          <w:p>
            <w:pPr>
              <w:spacing w:before="20" w:after="20"/>
            </w:pPr>
            <w:r>
              <w:rPr>
                <w:sz w:val="19"/>
              </w:rPr>
              <w:t>Fait apparaître la colonne de cases à cocher. Le bouton devient « Annuler » tant que le mode est actif.</w:t>
            </w:r>
          </w:p>
        </w:tc>
        <w:tc>
          <w:tcPr>
            <w:tcW w:type="dxa" w:w="3213"/>
          </w:tcPr>
          <w:p>
            <w:pPr>
              <w:spacing w:before="20" w:after="20"/>
            </w:pPr>
            <w:r>
              <w:rPr>
                <w:sz w:val="19"/>
              </w:rPr>
              <w:t>Les cases sont masquées par défaut : la sélection multiple est un geste que l'on demande, pas un état permanent.</w:t>
            </w:r>
          </w:p>
        </w:tc>
      </w:tr>
      <w:tr>
        <w:tc>
          <w:tcPr>
            <w:tcW w:type="dxa" w:w="3213"/>
          </w:tcPr>
          <w:p>
            <w:pPr>
              <w:spacing w:before="20" w:after="20"/>
            </w:pPr>
            <w:r>
              <w:rPr>
                <w:sz w:val="19"/>
              </w:rPr>
              <w:t>Sélecteur de colonnes</w:t>
            </w:r>
          </w:p>
        </w:tc>
        <w:tc>
          <w:tcPr>
            <w:tcW w:type="dxa" w:w="3213"/>
          </w:tcPr>
          <w:p>
            <w:pPr>
              <w:spacing w:before="20" w:after="20"/>
            </w:pPr>
            <w:r>
              <w:rPr>
                <w:sz w:val="19"/>
              </w:rPr>
              <w:t>Ouvre un menu « Colonnes affichées » listant les colonnes que l'on peut masquer, avec un bouton « Réinitialiser ».</w:t>
            </w:r>
          </w:p>
        </w:tc>
        <w:tc>
          <w:tcPr>
            <w:tcW w:type="dxa" w:w="3213"/>
          </w:tcPr>
          <w:p>
            <w:pPr>
              <w:spacing w:before="20" w:after="20"/>
            </w:pPr>
            <w:r>
              <w:rPr>
                <w:sz w:val="19"/>
              </w:rPr>
              <w:t>Le choix est mémorisé et retrouvé à la visite suivante. Les colonnes de sélection et d'actions ne sont pas proposées.</w:t>
            </w:r>
          </w:p>
        </w:tc>
      </w:tr>
      <w:tr>
        <w:tc>
          <w:tcPr>
            <w:tcW w:type="dxa" w:w="3213"/>
          </w:tcPr>
          <w:p>
            <w:pPr>
              <w:spacing w:before="20" w:after="20"/>
            </w:pPr>
            <w:r>
              <w:rPr>
                <w:sz w:val="19"/>
              </w:rPr>
              <w:t>Bouton « Rafraîchir »</w:t>
            </w:r>
          </w:p>
        </w:tc>
        <w:tc>
          <w:tcPr>
            <w:tcW w:type="dxa" w:w="3213"/>
          </w:tcPr>
          <w:p>
            <w:pPr>
              <w:spacing w:before="20" w:after="20"/>
            </w:pPr>
            <w:r>
              <w:rPr>
                <w:sz w:val="19"/>
              </w:rPr>
              <w:t>Recharge la liste sans changer de vue ni de page.</w:t>
            </w:r>
          </w:p>
        </w:tc>
        <w:tc>
          <w:tcPr>
            <w:tcW w:type="dxa" w:w="3213"/>
          </w:tcPr>
          <w:p>
            <w:pPr>
              <w:spacing w:before="20" w:after="20"/>
            </w:pPr>
            <w:r>
              <w:rPr>
                <w:sz w:val="19"/>
              </w:rPr>
              <w:t>Utile après une modification faite ailleurs.</w:t>
            </w:r>
          </w:p>
        </w:tc>
      </w:tr>
      <w:tr>
        <w:tc>
          <w:tcPr>
            <w:tcW w:type="dxa" w:w="3213"/>
          </w:tcPr>
          <w:p>
            <w:pPr>
              <w:spacing w:before="20" w:after="20"/>
            </w:pPr>
            <w:r>
              <w:rPr>
                <w:sz w:val="19"/>
              </w:rPr>
              <w:t>Bascule « Archive » / « Actifs »</w:t>
            </w:r>
          </w:p>
        </w:tc>
        <w:tc>
          <w:tcPr>
            <w:tcW w:type="dxa" w:w="3213"/>
          </w:tcPr>
          <w:p>
            <w:pPr>
              <w:spacing w:before="20" w:after="20"/>
            </w:pPr>
            <w:r>
              <w:rPr>
                <w:sz w:val="19"/>
              </w:rPr>
              <w:t>Passe de la liste des index actifs à celle des index mis à la corbeille, et inversement. L'intitulé du bouton annonce la vue vers laquelle on va.</w:t>
            </w:r>
          </w:p>
        </w:tc>
        <w:tc>
          <w:tcPr>
            <w:tcW w:type="dxa" w:w="3213"/>
          </w:tcPr>
          <w:p>
            <w:pPr>
              <w:spacing w:before="20" w:after="20"/>
            </w:pPr>
            <w:r>
              <w:rPr>
                <w:sz w:val="19"/>
              </w:rPr>
              <w:t>C'est le seul accès à la corbeille des index.</w:t>
            </w:r>
          </w:p>
        </w:tc>
      </w:tr>
      <w:tr>
        <w:tc>
          <w:tcPr>
            <w:tcW w:type="dxa" w:w="3213"/>
          </w:tcPr>
          <w:p>
            <w:pPr>
              <w:spacing w:before="20" w:after="20"/>
            </w:pPr>
            <w:r>
              <w:rPr>
                <w:sz w:val="19"/>
              </w:rPr>
              <w:t>Bouton d'action groupée</w:t>
            </w:r>
          </w:p>
        </w:tc>
        <w:tc>
          <w:tcPr>
            <w:tcW w:type="dxa" w:w="3213"/>
          </w:tcPr>
          <w:p>
            <w:pPr>
              <w:spacing w:before="20" w:after="20"/>
            </w:pPr>
            <w:r>
              <w:rPr>
                <w:sz w:val="19"/>
              </w:rPr>
              <w:t>N'apparaît que lorsqu'au moins une ligne est cochée. Il s'intitule « Supprimer (n) » en vue Actifs et « Restaurer (n) » en vue Archive.</w:t>
            </w:r>
          </w:p>
        </w:tc>
        <w:tc>
          <w:tcPr>
            <w:tcW w:type="dxa" w:w="3213"/>
          </w:tcPr>
          <w:p>
            <w:pPr>
              <w:spacing w:before="20" w:after="20"/>
            </w:pPr>
            <w:r>
              <w:rPr>
                <w:sz w:val="19"/>
              </w:rPr>
              <w:t>Le compteur est dans le bouton : on sait toujours sur combien de lignes on agit.</w:t>
            </w:r>
          </w:p>
        </w:tc>
      </w:tr>
    </w:tbl>
    <w:p>
      <w:pPr>
        <w:spacing w:after="40"/>
      </w:pPr>
    </w:p>
    <w:p>
      <w:pPr>
        <w:pStyle w:val="Heading2"/>
      </w:pPr>
      <w:r>
        <w:t>3.3 Le tableau et ses colonnes</w:t>
      </w:r>
    </w:p>
    <w:p>
      <w:pPr/>
      <w:r>
        <w:t>Les colonnes sont présentées ci-dessous dans leur ordre d'affichage. La dernière colonne du tableau indique ce que l'information apprend réellement au lecteur.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Contenu affiché</w:t>
            </w:r>
          </w:p>
        </w:tc>
        <w:tc>
          <w:tcPr>
            <w:tcW w:type="dxa" w:w="3213"/>
          </w:tcPr>
          <w:p>
            <w:pPr>
              <w:spacing w:before="20" w:after="20"/>
            </w:pPr>
            <w:r>
              <w:rPr>
                <w:b/>
                <w:sz w:val="19"/>
              </w:rPr>
              <w:t>Ce qu'elle apprend</w:t>
            </w:r>
          </w:p>
        </w:tc>
      </w:tr>
      <w:tr>
        <w:tc>
          <w:tcPr>
            <w:tcW w:type="dxa" w:w="3213"/>
          </w:tcPr>
          <w:p>
            <w:pPr>
              <w:spacing w:before="20" w:after="20"/>
            </w:pPr>
            <w:r>
              <w:rPr>
                <w:sz w:val="19"/>
              </w:rPr>
              <w:t>ID</w:t>
            </w:r>
          </w:p>
        </w:tc>
        <w:tc>
          <w:tcPr>
            <w:tcW w:type="dxa" w:w="3213"/>
          </w:tcPr>
          <w:p>
            <w:pPr>
              <w:spacing w:before="20" w:after="20"/>
            </w:pPr>
            <w:r>
              <w:rPr>
                <w:sz w:val="19"/>
              </w:rPr>
              <w:t>Le numéro interne de l'index.</w:t>
            </w:r>
          </w:p>
        </w:tc>
        <w:tc>
          <w:tcPr>
            <w:tcW w:type="dxa" w:w="3213"/>
          </w:tcPr>
          <w:p>
            <w:pPr>
              <w:spacing w:before="20" w:after="20"/>
            </w:pPr>
            <w:r>
              <w:rPr>
                <w:sz w:val="19"/>
              </w:rPr>
              <w:t>Sert de repère lors d'un échange technique ou d'un contrôle ; sans intérêt métier.</w:t>
            </w:r>
          </w:p>
        </w:tc>
      </w:tr>
      <w:tr>
        <w:tc>
          <w:tcPr>
            <w:tcW w:type="dxa" w:w="3213"/>
          </w:tcPr>
          <w:p>
            <w:pPr>
              <w:spacing w:before="20" w:after="20"/>
            </w:pPr>
            <w:r>
              <w:rPr>
                <w:sz w:val="19"/>
              </w:rPr>
              <w:t>Code</w:t>
            </w:r>
          </w:p>
        </w:tc>
        <w:tc>
          <w:tcPr>
            <w:tcW w:type="dxa" w:w="3213"/>
          </w:tcPr>
          <w:p>
            <w:pPr>
              <w:spacing w:before="20" w:after="20"/>
            </w:pPr>
            <w:r>
              <w:rPr>
                <w:sz w:val="19"/>
              </w:rPr>
              <w:t>Le code saisi, en caractères à chasse fixe.</w:t>
            </w:r>
          </w:p>
        </w:tc>
        <w:tc>
          <w:tcPr>
            <w:tcW w:type="dxa" w:w="3213"/>
          </w:tcPr>
          <w:p>
            <w:pPr>
              <w:spacing w:before="20" w:after="20"/>
            </w:pPr>
            <w:r>
              <w:rPr>
                <w:sz w:val="19"/>
              </w:rPr>
              <w:t>Permet de reconnaître un index dans une reprise de données ou une convention de nommage interne.</w:t>
            </w:r>
          </w:p>
        </w:tc>
      </w:tr>
      <w:tr>
        <w:tc>
          <w:tcPr>
            <w:tcW w:type="dxa" w:w="3213"/>
          </w:tcPr>
          <w:p>
            <w:pPr>
              <w:spacing w:before="20" w:after="20"/>
            </w:pPr>
            <w:r>
              <w:rPr>
                <w:sz w:val="19"/>
              </w:rPr>
              <w:t>Nom index</w:t>
            </w:r>
          </w:p>
        </w:tc>
        <w:tc>
          <w:tcPr>
            <w:tcW w:type="dxa" w:w="3213"/>
          </w:tcPr>
          <w:p>
            <w:pPr>
              <w:spacing w:before="20" w:after="20"/>
            </w:pPr>
            <w:r>
              <w:rPr>
                <w:sz w:val="19"/>
              </w:rPr>
              <w:t>Le libellé, précédé du glyphe des index.</w:t>
            </w:r>
          </w:p>
        </w:tc>
        <w:tc>
          <w:tcPr>
            <w:tcW w:type="dxa" w:w="3213"/>
          </w:tcPr>
          <w:p>
            <w:pPr>
              <w:spacing w:before="20" w:after="20"/>
            </w:pPr>
            <w:r>
              <w:rPr>
                <w:sz w:val="19"/>
              </w:rPr>
              <w:t>C'est le nom que l'opérateur verra au dépôt. C'est la seule colonne sur laquelle la recherche opère.</w:t>
            </w:r>
          </w:p>
        </w:tc>
      </w:tr>
      <w:tr>
        <w:tc>
          <w:tcPr>
            <w:tcW w:type="dxa" w:w="3213"/>
          </w:tcPr>
          <w:p>
            <w:pPr>
              <w:spacing w:before="20" w:after="20"/>
            </w:pPr>
            <w:r>
              <w:rPr>
                <w:sz w:val="19"/>
              </w:rPr>
              <w:t>Obligatoire</w:t>
            </w:r>
          </w:p>
        </w:tc>
        <w:tc>
          <w:tcPr>
            <w:tcW w:type="dxa" w:w="3213"/>
          </w:tcPr>
          <w:p>
            <w:pPr>
              <w:spacing w:before="20" w:after="20"/>
            </w:pPr>
            <w:r>
              <w:rPr>
                <w:sz w:val="19"/>
              </w:rPr>
              <w:t>« Oui » ou « Non ».</w:t>
            </w:r>
          </w:p>
        </w:tc>
        <w:tc>
          <w:tcPr>
            <w:tcW w:type="dxa" w:w="3213"/>
          </w:tcPr>
          <w:p>
            <w:pPr>
              <w:spacing w:before="20" w:after="20"/>
            </w:pPr>
            <w:r>
              <w:rPr>
                <w:sz w:val="19"/>
              </w:rPr>
              <w:t>Annonce si le champ bloquera la validation de l'indexation lorsqu'il sera vide. À lire comme un indicateur de lourdeur du dépôt.</w:t>
            </w:r>
          </w:p>
        </w:tc>
      </w:tr>
      <w:tr>
        <w:tc>
          <w:tcPr>
            <w:tcW w:type="dxa" w:w="3213"/>
          </w:tcPr>
          <w:p>
            <w:pPr>
              <w:spacing w:before="20" w:after="20"/>
            </w:pPr>
            <w:r>
              <w:rPr>
                <w:sz w:val="19"/>
              </w:rPr>
              <w:t>Type champs</w:t>
            </w:r>
          </w:p>
        </w:tc>
        <w:tc>
          <w:tcPr>
            <w:tcW w:type="dxa" w:w="3213"/>
          </w:tcPr>
          <w:p>
            <w:pPr>
              <w:spacing w:before="20" w:after="20"/>
            </w:pPr>
            <w:r>
              <w:rPr>
                <w:sz w:val="19"/>
              </w:rPr>
              <w:t>Une pastille portant un glyphe et le libellé du type : Texte, Nombre, Date ou Liste.</w:t>
            </w:r>
          </w:p>
        </w:tc>
        <w:tc>
          <w:tcPr>
            <w:tcW w:type="dxa" w:w="3213"/>
          </w:tcPr>
          <w:p>
            <w:pPr>
              <w:spacing w:before="20" w:after="20"/>
            </w:pPr>
            <w:r>
              <w:rPr>
                <w:sz w:val="19"/>
              </w:rPr>
              <w:t>Le type est une nature, pas une mention : chaque type porte son propre glyphe et sa propre famille de couleur, pour être distingué d'un coup d'œil.</w:t>
            </w:r>
          </w:p>
        </w:tc>
      </w:tr>
      <w:tr>
        <w:tc>
          <w:tcPr>
            <w:tcW w:type="dxa" w:w="3213"/>
          </w:tcPr>
          <w:p>
            <w:pPr>
              <w:spacing w:before="20" w:after="20"/>
            </w:pPr>
            <w:r>
              <w:rPr>
                <w:sz w:val="19"/>
              </w:rPr>
              <w:t>Valeurs</w:t>
            </w:r>
          </w:p>
        </w:tc>
        <w:tc>
          <w:tcPr>
            <w:tcW w:type="dxa" w:w="3213"/>
          </w:tcPr>
          <w:p>
            <w:pPr>
              <w:spacing w:before="20" w:after="20"/>
            </w:pPr>
            <w:r>
              <w:rPr>
                <w:sz w:val="19"/>
              </w:rPr>
              <w:t>Les options de la liste, une puce par option ; un tiret lorsque le type n'est pas Liste.</w:t>
            </w:r>
          </w:p>
        </w:tc>
        <w:tc>
          <w:tcPr>
            <w:tcW w:type="dxa" w:w="3213"/>
          </w:tcPr>
          <w:p>
            <w:pPr>
              <w:spacing w:before="20" w:after="20"/>
            </w:pPr>
            <w:r>
              <w:rPr>
                <w:sz w:val="19"/>
              </w:rPr>
              <w:t>Montre immédiatement si la liste déroulante proposera trois choix ou trente.</w:t>
            </w:r>
          </w:p>
        </w:tc>
      </w:tr>
      <w:tr>
        <w:tc>
          <w:tcPr>
            <w:tcW w:type="dxa" w:w="3213"/>
          </w:tcPr>
          <w:p>
            <w:pPr>
              <w:spacing w:before="20" w:after="20"/>
            </w:pPr>
            <w:r>
              <w:rPr>
                <w:sz w:val="19"/>
              </w:rPr>
              <w:t>Valeur par défaut</w:t>
            </w:r>
          </w:p>
        </w:tc>
        <w:tc>
          <w:tcPr>
            <w:tcW w:type="dxa" w:w="3213"/>
          </w:tcPr>
          <w:p>
            <w:pPr>
              <w:spacing w:before="20" w:after="20"/>
            </w:pPr>
            <w:r>
              <w:rPr>
                <w:sz w:val="19"/>
              </w:rPr>
              <w:t>La valeur pré-remplie, ou un tiret si aucune.</w:t>
            </w:r>
          </w:p>
        </w:tc>
        <w:tc>
          <w:tcPr>
            <w:tcW w:type="dxa" w:w="3213"/>
          </w:tcPr>
          <w:p>
            <w:pPr>
              <w:spacing w:before="20" w:after="20"/>
            </w:pPr>
            <w:r>
              <w:rPr>
                <w:sz w:val="19"/>
              </w:rPr>
              <w:t>Annonce ce que l'opérateur trouvera déjà écrit dans la case au dépôt.</w:t>
            </w:r>
          </w:p>
        </w:tc>
      </w:tr>
      <w:tr>
        <w:tc>
          <w:tcPr>
            <w:tcW w:type="dxa" w:w="3213"/>
          </w:tcPr>
          <w:p>
            <w:pPr>
              <w:spacing w:before="20" w:after="20"/>
            </w:pPr>
            <w:r>
              <w:rPr>
                <w:sz w:val="19"/>
              </w:rPr>
              <w:t>Indexé pour recherche</w:t>
            </w:r>
          </w:p>
        </w:tc>
        <w:tc>
          <w:tcPr>
            <w:tcW w:type="dxa" w:w="3213"/>
          </w:tcPr>
          <w:p>
            <w:pPr>
              <w:spacing w:before="20" w:after="20"/>
            </w:pPr>
            <w:r>
              <w:rPr>
                <w:sz w:val="19"/>
              </w:rPr>
              <w:t>« Oui » ou « Non ».</w:t>
            </w:r>
          </w:p>
        </w:tc>
        <w:tc>
          <w:tcPr>
            <w:tcW w:type="dxa" w:w="3213"/>
          </w:tcPr>
          <w:p>
            <w:pPr>
              <w:spacing w:before="20" w:after="20"/>
            </w:pPr>
            <w:r>
              <w:rPr>
                <w:sz w:val="19"/>
              </w:rPr>
              <w:t>Dit si cet index sera proposé comme critère de recherche.</w:t>
            </w:r>
          </w:p>
        </w:tc>
      </w:tr>
      <w:tr>
        <w:tc>
          <w:tcPr>
            <w:tcW w:type="dxa" w:w="3213"/>
          </w:tcPr>
          <w:p>
            <w:pPr>
              <w:spacing w:before="20" w:after="20"/>
            </w:pPr>
            <w:r>
              <w:rPr>
                <w:sz w:val="19"/>
              </w:rPr>
              <w:t>Index de groupage</w:t>
            </w:r>
          </w:p>
        </w:tc>
        <w:tc>
          <w:tcPr>
            <w:tcW w:type="dxa" w:w="3213"/>
          </w:tcPr>
          <w:p>
            <w:pPr>
              <w:spacing w:before="20" w:after="20"/>
            </w:pPr>
            <w:r>
              <w:rPr>
                <w:sz w:val="19"/>
              </w:rPr>
              <w:t>« Oui » ou « Non ».</w:t>
            </w:r>
          </w:p>
        </w:tc>
        <w:tc>
          <w:tcPr>
            <w:tcW w:type="dxa" w:w="3213"/>
          </w:tcPr>
          <w:p>
            <w:pPr>
              <w:spacing w:before="20" w:after="20"/>
            </w:pPr>
            <w:r>
              <w:rPr>
                <w:sz w:val="19"/>
              </w:rPr>
              <w:t>Dit si les résultats de recherche pourront être rassemblés par la valeur de cet index.</w:t>
            </w:r>
          </w:p>
        </w:tc>
      </w:tr>
      <w:tr>
        <w:tc>
          <w:tcPr>
            <w:tcW w:type="dxa" w:w="3213"/>
          </w:tcPr>
          <w:p>
            <w:pPr>
              <w:spacing w:before="20" w:after="20"/>
            </w:pPr>
            <w:r>
              <w:rPr>
                <w:sz w:val="19"/>
              </w:rPr>
              <w:t>Actions</w:t>
            </w:r>
          </w:p>
        </w:tc>
        <w:tc>
          <w:tcPr>
            <w:tcW w:type="dxa" w:w="3213"/>
          </w:tcPr>
          <w:p>
            <w:pPr>
              <w:spacing w:before="20" w:after="20"/>
            </w:pPr>
            <w:r>
              <w:rPr>
                <w:sz w:val="19"/>
              </w:rPr>
              <w:t>En vue Actifs : le crayon (Modifier) et la corbeille (Supprimer). En vue Archive : les flèches circulaires (Restaurer).</w:t>
            </w:r>
          </w:p>
        </w:tc>
        <w:tc>
          <w:tcPr>
            <w:tcW w:type="dxa" w:w="3213"/>
          </w:tcPr>
          <w:p>
            <w:pPr>
              <w:spacing w:before="20" w:after="20"/>
            </w:pPr>
            <w:r>
              <w:rPr>
                <w:sz w:val="19"/>
              </w:rPr>
              <w:t>Le jeu d'actions change avec la vue : on ne modifie pas un index archivé, on le restaure d'abord.</w:t>
            </w:r>
          </w:p>
        </w:tc>
      </w:tr>
    </w:tbl>
    <w:p>
      <w:pPr>
        <w:spacing w:after="40"/>
      </w:pPr>
    </w:p>
    <w:p>
      <w:pPr>
        <w:pStyle w:val="Heading2"/>
      </w:pPr>
      <w:r>
        <w:t>3.4 Les états vides</w:t>
      </w:r>
    </w:p>
    <w:p>
      <w:pPr/>
      <w:r>
        <w:t>L'application distingue deux situations, et il faut les lire différemment.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Titre affiché</w:t>
            </w:r>
          </w:p>
        </w:tc>
        <w:tc>
          <w:tcPr>
            <w:tcW w:type="dxa" w:w="3213"/>
          </w:tcPr>
          <w:p>
            <w:pPr>
              <w:spacing w:before="20" w:after="20"/>
            </w:pPr>
            <w:r>
              <w:rPr>
                <w:b/>
                <w:sz w:val="19"/>
              </w:rPr>
              <w:t>Texte d'accompagnement</w:t>
            </w:r>
          </w:p>
        </w:tc>
      </w:tr>
      <w:tr>
        <w:tc>
          <w:tcPr>
            <w:tcW w:type="dxa" w:w="3213"/>
          </w:tcPr>
          <w:p>
            <w:pPr>
              <w:spacing w:before="20" w:after="20"/>
            </w:pPr>
            <w:r>
              <w:rPr>
                <w:sz w:val="19"/>
              </w:rPr>
              <w:t>Vue Actifs, aucun index</w:t>
            </w:r>
          </w:p>
        </w:tc>
        <w:tc>
          <w:tcPr>
            <w:tcW w:type="dxa" w:w="3213"/>
          </w:tcPr>
          <w:p>
            <w:pPr>
              <w:spacing w:before="20" w:after="20"/>
            </w:pPr>
            <w:r>
              <w:rPr>
                <w:sz w:val="19"/>
              </w:rPr>
              <w:t>Aucun index</w:t>
            </w:r>
          </w:p>
        </w:tc>
        <w:tc>
          <w:tcPr>
            <w:tcW w:type="dxa" w:w="3213"/>
          </w:tcPr>
          <w:p>
            <w:pPr>
              <w:spacing w:before="20" w:after="20"/>
            </w:pPr>
            <w:r>
              <w:rPr>
                <w:sz w:val="19"/>
              </w:rPr>
              <w:t>Créez un index pour décrire et retrouver vos documents par ce champ.</w:t>
            </w:r>
          </w:p>
        </w:tc>
      </w:tr>
      <w:tr>
        <w:tc>
          <w:tcPr>
            <w:tcW w:type="dxa" w:w="3213"/>
          </w:tcPr>
          <w:p>
            <w:pPr>
              <w:spacing w:before="20" w:after="20"/>
            </w:pPr>
            <w:r>
              <w:rPr>
                <w:sz w:val="19"/>
              </w:rPr>
              <w:t>Vue Archive, aucun index supprimé</w:t>
            </w:r>
          </w:p>
        </w:tc>
        <w:tc>
          <w:tcPr>
            <w:tcW w:type="dxa" w:w="3213"/>
          </w:tcPr>
          <w:p>
            <w:pPr>
              <w:spacing w:before="20" w:after="20"/>
            </w:pPr>
            <w:r>
              <w:rPr>
                <w:sz w:val="19"/>
              </w:rPr>
              <w:t>L'archive est vide</w:t>
            </w:r>
          </w:p>
        </w:tc>
        <w:tc>
          <w:tcPr>
            <w:tcW w:type="dxa" w:w="3213"/>
          </w:tcPr>
          <w:p>
            <w:pPr>
              <w:spacing w:before="20" w:after="20"/>
            </w:pPr>
            <w:r>
              <w:rPr>
                <w:sz w:val="19"/>
              </w:rPr>
              <w:t>Aucun index supprimé n'attend d'être restauré.</w:t>
            </w:r>
          </w:p>
        </w:tc>
      </w:tr>
    </w:tbl>
    <w:p>
      <w:pPr>
        <w:spacing w:after="40"/>
      </w:pPr>
    </w:p>
    <w:p>
      <w:pPr/>
      <w:r>
        <w:t>Le premier état est une invitation à démarrer le paramétrage. Le second est une simple constatation : il n'y a rien à restaurer. Un point important est signalé au chapitre 10 : une recherche qui ne ramène rien affiche ce même état vierge, sans reprendre le terme saisi.</w:t>
      </w:r>
    </w:p>
    <w:p>
      <w:pPr>
        <w:pStyle w:val="Heading2"/>
      </w:pPr>
      <w:r>
        <w:t>3.5 Le pied de tableau</w:t>
      </w:r>
    </w:p>
    <w:p>
      <w:pPr/>
      <w:r>
        <w:t>La liste est paginée. Le pied de tableau affiche le nombre total d'index de la vue courante, les boutons de navigation entre pages, y compris première et dernière page, et un choix de taille de page entre 10, 25 et 50 lignes. La taille retenue est mémorisée pour cet écran et retrouvée à la visite suivante.</w:t>
      </w:r>
    </w:p>
    <w:p>
      <w:pPr/>
      <w:r>
        <w:t>Le tri s'obtient en cliquant sur l'en-tête d'une colonne. Il est accepté sur l'identifiant, le code, le nom de l'index, le type de champ, et sur les trois interrupteurs Obligatoire, Indexé pour recherche et Index de groupage. Il n'est pas proposé sur les colonnes Valeurs et Valeur par défaut. Tant qu'aucun tri n'a été demandé, la liste présente les index les plus récents en premier.</w:t>
      </w:r>
    </w:p>
    <w:p>
      <w:pPr>
        <w:pStyle w:val="Heading1"/>
      </w:pPr>
      <w:r>
        <w:t>4. Le processus, étape par étape</w:t>
      </w:r>
    </w:p>
    <w:p>
      <w:pPr/>
      <w:r>
        <w:t>Cinq parcours couvrent l'ensemble de ce que l'écran permet. Ils sont décrits ici dans l'ordre où un paramétreur les rencontre.</w:t>
      </w:r>
    </w:p>
    <w:p>
      <w:pPr>
        <w:pStyle w:val="Heading2"/>
      </w:pPr>
      <w:r>
        <w:t>4.1 Parcours A — créer un index simple (Texte, Nombre ou Date)</w:t>
      </w:r>
    </w:p>
    <w:p>
      <w:pPr>
        <w:pStyle w:val="ListNumber"/>
        <w:numPr>
          <w:ilvl w:val="0"/>
          <w:numId w:val="10"/>
        </w:numPr>
      </w:pPr>
      <w:r>
        <w:t>L'utilisateur clique sur « Créer un index ». L'application ouvre une fenêtre modale intitulée « Créer un index », avec un formulaire vide et le type de champ positionné sur « Texte ».</w:t>
      </w:r>
    </w:p>
    <w:p>
      <w:pPr>
        <w:pStyle w:val="ListNumber"/>
        <w:numPr>
          <w:ilvl w:val="0"/>
          <w:numId w:val="10"/>
        </w:numPr>
      </w:pPr>
      <w:r>
        <w:t>L'utilisateur saisit le nom de l'index, par exemple « Numéro de facture ». Le champ propose l'exemple « Ex. Numéro de facture ».</w:t>
      </w:r>
    </w:p>
    <w:p>
      <w:pPr>
        <w:pStyle w:val="ListNumber"/>
        <w:numPr>
          <w:ilvl w:val="0"/>
          <w:numId w:val="10"/>
        </w:numPr>
      </w:pPr>
      <w:r>
        <w:t>L'utilisateur saisit le code, par exemple « IDX-NUMFACT ». Le champ propose l'exemple « Ex. IDX-NUMFACT ».</w:t>
      </w:r>
    </w:p>
    <w:p>
      <w:pPr>
        <w:pStyle w:val="ListNumber"/>
        <w:numPr>
          <w:ilvl w:val="0"/>
          <w:numId w:val="10"/>
        </w:numPr>
      </w:pPr>
      <w:r>
        <w:t>L'utilisateur choisit le type de champ dans la liste déroulante : Texte, Nombre ou Date. L'écran ne change pas d'aspect pour ces trois types.</w:t>
      </w:r>
    </w:p>
    <w:p>
      <w:pPr>
        <w:pStyle w:val="ListNumber"/>
        <w:numPr>
          <w:ilvl w:val="0"/>
          <w:numId w:val="10"/>
        </w:numPr>
      </w:pPr>
      <w:r>
        <w:t>L'utilisateur peut renseigner une valeur par défaut, puis positionner les trois interrupteurs Obligatoire, Indexé pour recherche et Index de groupage, tous à l'arrêt au départ.</w:t>
      </w:r>
    </w:p>
    <w:p>
      <w:pPr>
        <w:pStyle w:val="ListNumber"/>
        <w:numPr>
          <w:ilvl w:val="0"/>
          <w:numId w:val="10"/>
        </w:numPr>
      </w:pPr>
      <w:r>
        <w:t>L'utilisateur clique sur « Ajouter ». Le bouton affiche « Enregistrement… » pendant le traitement.</w:t>
      </w:r>
    </w:p>
    <w:p>
      <w:pPr>
        <w:pStyle w:val="ListNumber"/>
        <w:numPr>
          <w:ilvl w:val="0"/>
          <w:numId w:val="10"/>
        </w:numPr>
      </w:pPr>
      <w:r>
        <w:t>L'application enregistre l'index, referme la fenêtre, recharge la liste et affiche le message de succès « Index créé. ».</w:t>
      </w:r>
    </w:p>
    <w:p>
      <w:pPr>
        <w:pStyle w:val="Heading2"/>
      </w:pPr>
      <w:r>
        <w:t>4.2 Parcours B — créer un index de type Liste</w:t>
      </w:r>
    </w:p>
    <w:p>
      <w:pPr>
        <w:pStyle w:val="ListNumber"/>
        <w:numPr>
          <w:ilvl w:val="0"/>
          <w:numId w:val="11"/>
        </w:numPr>
      </w:pPr>
      <w:r>
        <w:t>L'utilisateur ouvre le formulaire et renseigne le nom et le code comme au parcours A.</w:t>
      </w:r>
    </w:p>
    <w:p>
      <w:pPr>
        <w:pStyle w:val="ListNumber"/>
        <w:numPr>
          <w:ilvl w:val="0"/>
          <w:numId w:val="11"/>
        </w:numPr>
      </w:pPr>
      <w:r>
        <w:t>Il choisit le type de champ « Liste ». L'application fait immédiatement apparaître, sous le type, un champ supplémentaire intitulé « Valeurs (Options) ».</w:t>
      </w:r>
    </w:p>
    <w:p>
      <w:pPr>
        <w:pStyle w:val="ListNumber"/>
        <w:numPr>
          <w:ilvl w:val="0"/>
          <w:numId w:val="11"/>
        </w:numPr>
      </w:pPr>
      <w:r>
        <w:t>Ce champ n'est pas une zone de texte ordinaire : chaque option se saisit puis se valide par la touche Entrée ou par une virgule, et devient une puce que l'on peut retirer individuellement. Le champ affiche l'invite « Ajoutez une option puis Entrée » et l'aide « Entrée ou virgule pour valider chaque option ».</w:t>
      </w:r>
    </w:p>
    <w:p>
      <w:pPr>
        <w:pStyle w:val="ListNumber"/>
        <w:numPr>
          <w:ilvl w:val="0"/>
          <w:numId w:val="11"/>
        </w:numPr>
      </w:pPr>
      <w:r>
        <w:t>L'utilisateur saisit ses options une à une, par exemple Basse, Normale, Haute, Urgente. Une option déjà présente est ignorée sans message : la même valeur ne peut pas figurer deux fois dans une liste déroulante.</w:t>
      </w:r>
    </w:p>
    <w:p>
      <w:pPr>
        <w:pStyle w:val="ListNumber"/>
        <w:numPr>
          <w:ilvl w:val="0"/>
          <w:numId w:val="11"/>
        </w:numPr>
      </w:pPr>
      <w:r>
        <w:t>L'utilisateur peut indiquer une valeur par défaut, par exemple « Normale », et positionner les interrupteurs.</w:t>
      </w:r>
    </w:p>
    <w:p>
      <w:pPr>
        <w:pStyle w:val="ListNumber"/>
        <w:numPr>
          <w:ilvl w:val="0"/>
          <w:numId w:val="11"/>
        </w:numPr>
      </w:pPr>
      <w:r>
        <w:t>Il clique sur « Ajouter ». Si aucune option n'a été saisie, l'application refuse l'enregistrement, garde la fenêtre ouverte et affiche sous le champ le message « Indiquez au moins une valeur ».</w:t>
      </w:r>
    </w:p>
    <w:p>
      <w:pPr>
        <w:pStyle w:val="ListNumber"/>
        <w:numPr>
          <w:ilvl w:val="0"/>
          <w:numId w:val="11"/>
        </w:numPr>
      </w:pPr>
      <w:r>
        <w:t>Une fois au moins une option présente, l'index est enregistré et le message « Index créé. » s'affiche.</w:t>
      </w:r>
    </w:p>
    <w:p>
      <w:pPr>
        <w:spacing w:before="0" w:after="0"/>
        <w:ind w:left="113"/>
      </w:pPr>
      <w:r>
        <w:rPr>
          <w:rFonts w:ascii="Consolas" w:hAnsi="Consolas" w:cs="Consolas"/>
          <w:sz w:val="18"/>
        </w:rPr>
        <w:t xml:space="preserve">  PARCOURS B — création d'un index de type Liste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[Créer un index]</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Nom de l'index *   |  Code *                     |</w:t>
      </w:r>
    </w:p>
    <w:p>
      <w:pPr>
        <w:spacing w:before="0" w:after="0"/>
        <w:ind w:left="113"/>
      </w:pPr>
      <w:r>
        <w:rPr>
          <w:rFonts w:ascii="Consolas" w:hAnsi="Consolas" w:cs="Consolas"/>
          <w:sz w:val="18"/>
        </w:rPr>
        <w:t xml:space="preserve">   | Type de champ *  [ Texte  v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type &lt;- "Liste"</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Type de champ *  [ Liste  v ]                    |</w:t>
      </w:r>
    </w:p>
    <w:p>
      <w:pPr>
        <w:spacing w:before="0" w:after="0"/>
        <w:ind w:left="113"/>
      </w:pPr>
      <w:r>
        <w:rPr>
          <w:rFonts w:ascii="Consolas" w:hAnsi="Consolas" w:cs="Consolas"/>
          <w:sz w:val="18"/>
        </w:rPr>
        <w:t xml:space="preserve">   | Valeurs (Options)   (Basse)(Normale)(Haute)(...) |  &lt;-- APPARAÎT</w:t>
      </w:r>
    </w:p>
    <w:p>
      <w:pPr>
        <w:spacing w:before="0" w:after="0"/>
        <w:ind w:left="113"/>
      </w:pPr>
      <w:r>
        <w:rPr>
          <w:rFonts w:ascii="Consolas" w:hAnsi="Consolas" w:cs="Consolas"/>
          <w:sz w:val="18"/>
        </w:rPr>
        <w:t xml:space="preserve">   |   "Entrée ou virgule pour valider chaque option" |</w:t>
      </w:r>
    </w:p>
    <w:p>
      <w:pPr>
        <w:spacing w:before="0" w:after="0"/>
        <w:ind w:left="113"/>
      </w:pPr>
      <w:r>
        <w:rPr>
          <w:rFonts w:ascii="Consolas" w:hAnsi="Consolas" w:cs="Consolas"/>
          <w:sz w:val="18"/>
        </w:rPr>
        <w:t xml:space="preserve">   | Valeur par défaut  [ Normale               ]     |</w:t>
      </w:r>
    </w:p>
    <w:p>
      <w:pPr>
        <w:spacing w:before="0" w:after="0"/>
        <w:ind w:left="113"/>
      </w:pPr>
      <w:r>
        <w:rPr>
          <w:rFonts w:ascii="Consolas" w:hAnsi="Consolas" w:cs="Consolas"/>
          <w:sz w:val="18"/>
        </w:rPr>
        <w:t xml:space="preserve">   | (o) Obligatoire  (o) Recherche  (o) Groupage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[Ajouter]</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options vides ?  --oui--&gt;  "Indiquez au moins une valeur"</w:t>
      </w:r>
    </w:p>
    <w:p>
      <w:pPr>
        <w:spacing w:before="0" w:after="0"/>
        <w:ind w:left="113"/>
      </w:pPr>
      <w:r>
        <w:rPr>
          <w:rFonts w:ascii="Consolas" w:hAnsi="Consolas" w:cs="Consolas"/>
          <w:sz w:val="18"/>
        </w:rPr>
        <w:t xml:space="preserve">          |                     (la fenêtre RESTE ouverte)</w:t>
      </w:r>
    </w:p>
    <w:p>
      <w:pPr>
        <w:spacing w:before="0" w:after="0"/>
        <w:ind w:left="113"/>
      </w:pPr>
      <w:r>
        <w:rPr>
          <w:rFonts w:ascii="Consolas" w:hAnsi="Consolas" w:cs="Consolas"/>
          <w:sz w:val="18"/>
        </w:rPr>
        <w:t xml:space="preserve">         non</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enregistrement --&gt; fermeture --&gt; liste rechargée --&gt; "Index créé."</w:t>
      </w:r>
    </w:p>
    <w:p>
      <w:pPr>
        <w:spacing w:after="40"/>
      </w:pPr>
    </w:p>
    <w:p>
      <w:pPr>
        <w:pStyle w:val="Heading2"/>
      </w:pPr>
      <w:r>
        <w:t>4.3 Parcours C — modifier un index</w:t>
      </w:r>
    </w:p>
    <w:p>
      <w:pPr>
        <w:pStyle w:val="ListNumber"/>
        <w:numPr>
          <w:ilvl w:val="0"/>
          <w:numId w:val="12"/>
        </w:numPr>
      </w:pPr>
      <w:r>
        <w:t>L'utilisateur clique sur le crayon de la ligne concernée.</w:t>
      </w:r>
    </w:p>
    <w:p>
      <w:pPr>
        <w:pStyle w:val="ListNumber"/>
        <w:numPr>
          <w:ilvl w:val="0"/>
          <w:numId w:val="12"/>
        </w:numPr>
      </w:pPr>
      <w:r>
        <w:t>L'application relit la fiche complète de l'index, puis ouvre la fenêtre intitulée « Modifier l'index », pré-remplie avec toutes les valeurs enregistrées, options de liste comprises.</w:t>
      </w:r>
    </w:p>
    <w:p>
      <w:pPr>
        <w:pStyle w:val="ListNumber"/>
        <w:numPr>
          <w:ilvl w:val="0"/>
          <w:numId w:val="12"/>
        </w:numPr>
      </w:pPr>
      <w:r>
        <w:t>L'utilisateur modifie ce qu'il souhaite. Le bouton de validation s'intitule ici « Mettre à jour » et non « Ajouter ».</w:t>
      </w:r>
    </w:p>
    <w:p>
      <w:pPr>
        <w:pStyle w:val="ListNumber"/>
        <w:numPr>
          <w:ilvl w:val="0"/>
          <w:numId w:val="12"/>
        </w:numPr>
      </w:pPr>
      <w:r>
        <w:t>L'application enregistre, referme la fenêtre, recharge la liste et affiche « Index modifié. ».</w:t>
      </w:r>
    </w:p>
    <w:p>
      <w:pPr/>
      <w:r>
        <w:t>Un point mérite attention : la modification s'applique aux dépôts futurs. Les valeurs déjà saisies sur des documents existants ne sont pas retouchées. Changer le type d'un index de Texte vers Nombre ne convertit pas et ne contrôle pas les valeurs déjà enregistrées ; il rend seulement les prochaines saisies plus strictes.</w:t>
      </w:r>
    </w:p>
    <w:p>
      <w:pPr>
        <w:pStyle w:val="Heading2"/>
      </w:pPr>
      <w:r>
        <w:t>4.4 Parcours D — supprimer un index, à l'unité</w:t>
      </w:r>
    </w:p>
    <w:p>
      <w:pPr>
        <w:pStyle w:val="ListNumber"/>
        <w:numPr>
          <w:ilvl w:val="0"/>
          <w:numId w:val="13"/>
        </w:numPr>
      </w:pPr>
      <w:r>
        <w:t>L'utilisateur clique sur la corbeille de la ligne.</w:t>
      </w:r>
    </w:p>
    <w:p>
      <w:pPr>
        <w:pStyle w:val="ListNumber"/>
        <w:numPr>
          <w:ilvl w:val="0"/>
          <w:numId w:val="13"/>
        </w:numPr>
      </w:pPr>
      <w:r>
        <w:t>L'application ouvre une demande de confirmation intitulée « Supprimer cet index », dont le message nomme explicitement l'objet : « Numéro de facture » sera déplacé vers la corbeille. Les deux boutons proposés sont « Annuler » et « Supprimer », ce dernier présenté en action risquée.</w:t>
      </w:r>
    </w:p>
    <w:p>
      <w:pPr>
        <w:pStyle w:val="ListNumber"/>
        <w:numPr>
          <w:ilvl w:val="0"/>
          <w:numId w:val="13"/>
        </w:numPr>
      </w:pPr>
      <w:r>
        <w:t>L'utilisateur peut sortir par « Annuler », par la touche Échap ou en cliquant hors du cadre : rien n'est écrit tant qu'il n'a pas confirmé.</w:t>
      </w:r>
    </w:p>
    <w:p>
      <w:pPr>
        <w:pStyle w:val="ListNumber"/>
        <w:numPr>
          <w:ilvl w:val="0"/>
          <w:numId w:val="13"/>
        </w:numPr>
      </w:pPr>
      <w:r>
        <w:t>S'il confirme, l'index est déplacé vers l'archive, la liste est rechargée et le message « Index supprimé. » s'affiche.</w:t>
      </w:r>
    </w:p>
    <w:p>
      <w:pPr>
        <w:pStyle w:val="Heading2"/>
      </w:pPr>
      <w:r>
        <w:t>4.5 Parcours E — supprimer ou restaurer en lot</w:t>
      </w:r>
    </w:p>
    <w:p>
      <w:pPr>
        <w:pStyle w:val="ListNumber"/>
        <w:numPr>
          <w:ilvl w:val="0"/>
          <w:numId w:val="14"/>
        </w:numPr>
      </w:pPr>
      <w:r>
        <w:t>L'utilisateur clique sur « Sélectionner ». La colonne de cases à cocher apparaît en tête de chaque ligne, et le bouton devient « Annuler ».</w:t>
      </w:r>
    </w:p>
    <w:p>
      <w:pPr>
        <w:pStyle w:val="ListNumber"/>
        <w:numPr>
          <w:ilvl w:val="0"/>
          <w:numId w:val="14"/>
        </w:numPr>
      </w:pPr>
      <w:r>
        <w:t>Il coche les lignes voulues, ou coche la case de l'en-tête pour prendre toutes les lignes de la page affichée.</w:t>
      </w:r>
    </w:p>
    <w:p>
      <w:pPr>
        <w:pStyle w:val="ListNumber"/>
        <w:numPr>
          <w:ilvl w:val="0"/>
          <w:numId w:val="14"/>
        </w:numPr>
      </w:pPr>
      <w:r>
        <w:t>Dès la première ligne cochée, un bouton d'action groupée apparaît dans la barre d'outils. Son intitulé dépend de la vue : « Supprimer (2) » en vue Actifs, « Restaurer (2) » en vue Archive.</w:t>
      </w:r>
    </w:p>
    <w:p>
      <w:pPr>
        <w:pStyle w:val="ListNumber"/>
        <w:numPr>
          <w:ilvl w:val="0"/>
          <w:numId w:val="14"/>
        </w:numPr>
      </w:pPr>
      <w:r>
        <w:t>Au clic, l'application demande confirmation. Le titre est « Supprimer la sélection » ou « Restaurer la sélection », et le message annonce le nombre : « Voulez-vous supprimer 2 index ? ». Le mot index est invariable, il ne prend jamais de marque de pluriel.</w:t>
      </w:r>
    </w:p>
    <w:p>
      <w:pPr>
        <w:pStyle w:val="ListNumber"/>
        <w:numPr>
          <w:ilvl w:val="0"/>
          <w:numId w:val="14"/>
        </w:numPr>
      </w:pPr>
      <w:r>
        <w:t>Après confirmation, la liste est rechargée et le message de bilan s'affiche : « 2 index supprimé(s). » ou « 2 index restauré(s). ».</w:t>
      </w:r>
    </w:p>
    <w:p>
      <w:pPr>
        <w:pStyle w:val="ListNumber"/>
        <w:numPr>
          <w:ilvl w:val="0"/>
          <w:numId w:val="14"/>
        </w:numPr>
      </w:pPr>
      <w:r>
        <w:t>Quitter le mode sélection vide la sélection : des lignes cochées mais invisibles exposeraient à une action groupée non voulue.</w:t>
      </w:r>
    </w:p>
    <w:p>
      <w:pPr>
        <w:pStyle w:val="Heading2"/>
      </w:pPr>
      <w:r>
        <w:t>4.6 Parcours F — restaurer un index à l'unité</w:t>
      </w:r>
    </w:p>
    <w:p>
      <w:pPr>
        <w:pStyle w:val="ListNumber"/>
        <w:numPr>
          <w:ilvl w:val="0"/>
          <w:numId w:val="15"/>
        </w:numPr>
      </w:pPr>
      <w:r>
        <w:t>L'utilisateur bascule sur la vue Archive.</w:t>
      </w:r>
    </w:p>
    <w:p>
      <w:pPr>
        <w:pStyle w:val="ListNumber"/>
        <w:numPr>
          <w:ilvl w:val="0"/>
          <w:numId w:val="15"/>
        </w:numPr>
      </w:pPr>
      <w:r>
        <w:t>Il clique sur les flèches circulaires de la ligne concernée.</w:t>
      </w:r>
    </w:p>
    <w:p>
      <w:pPr>
        <w:pStyle w:val="ListNumber"/>
        <w:numPr>
          <w:ilvl w:val="0"/>
          <w:numId w:val="15"/>
        </w:numPr>
      </w:pPr>
      <w:r>
        <w:t>L'application restaure immédiatement, sans aucune demande de confirmation, recharge la liste et affiche « Index restauré. ». La restauration est un geste sans risque : le confirmer alourdirait l'écran sans rien protéger.</w:t>
      </w:r>
    </w:p>
    <w:p>
      <w:pPr>
        <w:spacing w:before="0" w:after="0"/>
        <w:ind w:left="113"/>
      </w:pPr>
      <w:r>
        <w:rPr>
          <w:rFonts w:ascii="Consolas" w:hAnsi="Consolas" w:cs="Consolas"/>
          <w:sz w:val="18"/>
        </w:rPr>
        <w:t xml:space="preserve">  VUES ET ACTIONS DISPONIBLES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[Archive]         +---------------------------+</w:t>
      </w:r>
    </w:p>
    <w:p>
      <w:pPr>
        <w:spacing w:before="0" w:after="0"/>
        <w:ind w:left="113"/>
      </w:pPr>
      <w:r>
        <w:rPr>
          <w:rFonts w:ascii="Consolas" w:hAnsi="Consolas" w:cs="Consolas"/>
          <w:sz w:val="18"/>
        </w:rPr>
        <w:t xml:space="preserve">   |        VUE ACTIFS         |  ---------------------&gt;  |        VUE ARCHIVE        |</w:t>
      </w:r>
    </w:p>
    <w:p>
      <w:pPr>
        <w:spacing w:before="0" w:after="0"/>
        <w:ind w:left="113"/>
      </w:pPr>
      <w:r>
        <w:rPr>
          <w:rFonts w:ascii="Consolas" w:hAnsi="Consolas" w:cs="Consolas"/>
          <w:sz w:val="18"/>
        </w:rPr>
        <w:t xml:space="preserve">   |                           |  &lt;---------------------  |                           |</w:t>
      </w:r>
    </w:p>
    <w:p>
      <w:pPr>
        <w:spacing w:before="0" w:after="0"/>
        <w:ind w:left="113"/>
      </w:pPr>
      <w:r>
        <w:rPr>
          <w:rFonts w:ascii="Consolas" w:hAnsi="Consolas" w:cs="Consolas"/>
          <w:sz w:val="18"/>
        </w:rPr>
        <w:t xml:space="preserve">   |  Créer un index           |         [Actifs]         |  (création impossible)    |</w:t>
      </w:r>
    </w:p>
    <w:p>
      <w:pPr>
        <w:spacing w:before="0" w:after="0"/>
        <w:ind w:left="113"/>
      </w:pPr>
      <w:r>
        <w:rPr>
          <w:rFonts w:ascii="Consolas" w:hAnsi="Consolas" w:cs="Consolas"/>
          <w:sz w:val="18"/>
        </w:rPr>
        <w:t xml:space="preserve">   |  Modifier      (crayon)   |                          |  Restaurer   (flèches)    |</w:t>
      </w:r>
    </w:p>
    <w:p>
      <w:pPr>
        <w:spacing w:before="0" w:after="0"/>
        <w:ind w:left="113"/>
      </w:pPr>
      <w:r>
        <w:rPr>
          <w:rFonts w:ascii="Consolas" w:hAnsi="Consolas" w:cs="Consolas"/>
          <w:sz w:val="18"/>
        </w:rPr>
        <w:t xml:space="preserve">   |  Supprimer     (corbeille)|                          |    -&gt; immédiat, sans      |</w:t>
      </w:r>
    </w:p>
    <w:p>
      <w:pPr>
        <w:spacing w:before="0" w:after="0"/>
        <w:ind w:left="113"/>
      </w:pPr>
      <w:r>
        <w:rPr>
          <w:rFonts w:ascii="Consolas" w:hAnsi="Consolas" w:cs="Consolas"/>
          <w:sz w:val="18"/>
        </w:rPr>
        <w:t xml:space="preserve">   |    -&gt; confirmation nommée |                          |       confirmation        |</w:t>
      </w:r>
    </w:p>
    <w:p>
      <w:pPr>
        <w:spacing w:before="0" w:after="0"/>
        <w:ind w:left="113"/>
      </w:pPr>
      <w:r>
        <w:rPr>
          <w:rFonts w:ascii="Consolas" w:hAnsi="Consolas" w:cs="Consolas"/>
          <w:sz w:val="18"/>
        </w:rPr>
        <w:t xml:space="preserve">   |  Supprimer (n)  en lot    |                          |  Restaurer (n) en lot     |</w:t>
      </w:r>
    </w:p>
    <w:p>
      <w:pPr>
        <w:spacing w:before="0" w:after="0"/>
        <w:ind w:left="113"/>
      </w:pPr>
      <w:r>
        <w:rPr>
          <w:rFonts w:ascii="Consolas" w:hAnsi="Consolas" w:cs="Consolas"/>
          <w:sz w:val="18"/>
        </w:rPr>
        <w:t xml:space="preserve">   |    -&gt; "Voulez-vous        |                          |    -&gt; "Voulez-vous        |</w:t>
      </w:r>
    </w:p>
    <w:p>
      <w:pPr>
        <w:spacing w:before="0" w:after="0"/>
        <w:ind w:left="113"/>
      </w:pPr>
      <w:r>
        <w:rPr>
          <w:rFonts w:ascii="Consolas" w:hAnsi="Consolas" w:cs="Consolas"/>
          <w:sz w:val="18"/>
        </w:rPr>
        <w:t xml:space="preserve">   |        supprimer 2 index ?"|                         |        restaurer 2 index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La vue courante est inscrite dans l'adresse de la page : rechargement,</w:t>
      </w:r>
    </w:p>
    <w:p>
      <w:pPr>
        <w:spacing w:before="0" w:after="0"/>
        <w:ind w:left="113"/>
      </w:pPr>
      <w:r>
        <w:rPr>
          <w:rFonts w:ascii="Consolas" w:hAnsi="Consolas" w:cs="Consolas"/>
          <w:sz w:val="18"/>
        </w:rPr>
        <w:t xml:space="preserve">   favori et bouton Précédent restent cohérents avec ce qui est affiché.</w:t>
      </w:r>
    </w:p>
    <w:p>
      <w:pPr>
        <w:spacing w:after="40"/>
      </w:pPr>
    </w:p>
    <w:p>
      <w:pPr>
        <w:pStyle w:val="Heading1"/>
      </w:pPr>
      <w:r>
        <w:t>5. Les données saisies</w:t>
      </w:r>
    </w:p>
    <w:p>
      <w:pPr/>
      <w:r>
        <w:t>Le formulaire présente ses champs dans l'ordre suivant. Les intitulés reproduits ici sont exactement ceux affichés à l'écran ; ils diffèrent volontairement de ceux des colonnes du tableau, où l'on lit « Nom index » et « Type champs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Nom de l'index</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Numéro de facture</w:t>
            </w:r>
          </w:p>
        </w:tc>
      </w:tr>
      <w:tr>
        <w:tc>
          <w:tcPr>
            <w:tcW w:type="dxa" w:w="1928"/>
          </w:tcPr>
          <w:p>
            <w:pPr>
              <w:spacing w:before="20" w:after="20"/>
            </w:pPr>
            <w:r>
              <w:rPr>
                <w:sz w:val="19"/>
              </w:rPr>
              <w:t>Code</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IDX-NUMFACT</w:t>
            </w:r>
          </w:p>
        </w:tc>
      </w:tr>
      <w:tr>
        <w:tc>
          <w:tcPr>
            <w:tcW w:type="dxa" w:w="1928"/>
          </w:tcPr>
          <w:p>
            <w:pPr>
              <w:spacing w:before="20" w:after="20"/>
            </w:pPr>
            <w:r>
              <w:rPr>
                <w:sz w:val="19"/>
              </w:rPr>
              <w:t>Type de champ</w:t>
            </w:r>
          </w:p>
        </w:tc>
        <w:tc>
          <w:tcPr>
            <w:tcW w:type="dxa" w:w="1928"/>
          </w:tcPr>
          <w:p>
            <w:pPr>
              <w:spacing w:before="20" w:after="20"/>
            </w:pPr>
            <w:r>
              <w:rPr>
                <w:sz w:val="19"/>
              </w:rPr>
              <w:t>Liste fermée : Texte, Nombre, Date, Liste</w:t>
            </w:r>
          </w:p>
        </w:tc>
        <w:tc>
          <w:tcPr>
            <w:tcW w:type="dxa" w:w="1928"/>
          </w:tcPr>
          <w:p>
            <w:pPr>
              <w:spacing w:before="20" w:after="20"/>
            </w:pPr>
            <w:r>
              <w:rPr>
                <w:sz w:val="19"/>
              </w:rPr>
              <w:t>Oui</w:t>
            </w:r>
          </w:p>
        </w:tc>
        <w:tc>
          <w:tcPr>
            <w:tcW w:type="dxa" w:w="1928"/>
          </w:tcPr>
          <w:p>
            <w:pPr>
              <w:spacing w:before="20" w:after="20"/>
            </w:pPr>
            <w:r>
              <w:rPr>
                <w:sz w:val="19"/>
              </w:rPr>
              <w:t>Texte</w:t>
            </w:r>
          </w:p>
        </w:tc>
        <w:tc>
          <w:tcPr>
            <w:tcW w:type="dxa" w:w="1928"/>
          </w:tcPr>
          <w:p>
            <w:pPr>
              <w:spacing w:before="20" w:after="20"/>
            </w:pPr>
            <w:r>
              <w:rPr>
                <w:sz w:val="19"/>
              </w:rPr>
              <w:t>Nombre</w:t>
            </w:r>
          </w:p>
        </w:tc>
      </w:tr>
      <w:tr>
        <w:tc>
          <w:tcPr>
            <w:tcW w:type="dxa" w:w="1928"/>
          </w:tcPr>
          <w:p>
            <w:pPr>
              <w:spacing w:before="20" w:after="20"/>
            </w:pPr>
            <w:r>
              <w:rPr>
                <w:sz w:val="19"/>
              </w:rPr>
              <w:t>Valeurs (Options)</w:t>
            </w:r>
          </w:p>
        </w:tc>
        <w:tc>
          <w:tcPr>
            <w:tcW w:type="dxa" w:w="1928"/>
          </w:tcPr>
          <w:p>
            <w:pPr>
              <w:spacing w:before="20" w:after="20"/>
            </w:pPr>
            <w:r>
              <w:rPr>
                <w:sz w:val="19"/>
              </w:rPr>
              <w:t>Suite d'options, saisies une à une</w:t>
            </w:r>
          </w:p>
        </w:tc>
        <w:tc>
          <w:tcPr>
            <w:tcW w:type="dxa" w:w="1928"/>
          </w:tcPr>
          <w:p>
            <w:pPr>
              <w:spacing w:before="20" w:after="20"/>
            </w:pPr>
            <w:r>
              <w:rPr>
                <w:sz w:val="19"/>
              </w:rPr>
              <w:t>Oui si le type est Liste, sans objet sinon</w:t>
            </w:r>
          </w:p>
        </w:tc>
        <w:tc>
          <w:tcPr>
            <w:tcW w:type="dxa" w:w="1928"/>
          </w:tcPr>
          <w:p>
            <w:pPr>
              <w:spacing w:before="20" w:after="20"/>
            </w:pPr>
            <w:r>
              <w:rPr>
                <w:sz w:val="19"/>
              </w:rPr>
              <w:t>Vide</w:t>
            </w:r>
          </w:p>
        </w:tc>
        <w:tc>
          <w:tcPr>
            <w:tcW w:type="dxa" w:w="1928"/>
          </w:tcPr>
          <w:p>
            <w:pPr>
              <w:spacing w:before="20" w:after="20"/>
            </w:pPr>
            <w:r>
              <w:rPr>
                <w:sz w:val="19"/>
              </w:rPr>
              <w:t>Basse, Normale, Haute, Urgente</w:t>
            </w:r>
          </w:p>
        </w:tc>
      </w:tr>
      <w:tr>
        <w:tc>
          <w:tcPr>
            <w:tcW w:type="dxa" w:w="1928"/>
          </w:tcPr>
          <w:p>
            <w:pPr>
              <w:spacing w:before="20" w:after="20"/>
            </w:pPr>
            <w:r>
              <w:rPr>
                <w:sz w:val="19"/>
              </w:rPr>
              <w:t>Valeur par défaut</w:t>
            </w:r>
          </w:p>
        </w:tc>
        <w:tc>
          <w:tcPr>
            <w:tcW w:type="dxa" w:w="1928"/>
          </w:tcPr>
          <w:p>
            <w:pPr>
              <w:spacing w:before="20" w:after="20"/>
            </w:pPr>
            <w:r>
              <w:rPr>
                <w:sz w:val="19"/>
              </w:rPr>
              <w:t>Texte libre</w:t>
            </w:r>
          </w:p>
        </w:tc>
        <w:tc>
          <w:tcPr>
            <w:tcW w:type="dxa" w:w="1928"/>
          </w:tcPr>
          <w:p>
            <w:pPr>
              <w:spacing w:before="20" w:after="20"/>
            </w:pPr>
            <w:r>
              <w:rPr>
                <w:sz w:val="19"/>
              </w:rPr>
              <w:t>Non</w:t>
            </w:r>
          </w:p>
        </w:tc>
        <w:tc>
          <w:tcPr>
            <w:tcW w:type="dxa" w:w="1928"/>
          </w:tcPr>
          <w:p>
            <w:pPr>
              <w:spacing w:before="20" w:after="20"/>
            </w:pPr>
            <w:r>
              <w:rPr>
                <w:sz w:val="19"/>
              </w:rPr>
              <w:t>Vide</w:t>
            </w:r>
          </w:p>
        </w:tc>
        <w:tc>
          <w:tcPr>
            <w:tcW w:type="dxa" w:w="1928"/>
          </w:tcPr>
          <w:p>
            <w:pPr>
              <w:spacing w:before="20" w:after="20"/>
            </w:pPr>
            <w:r>
              <w:rPr>
                <w:sz w:val="19"/>
              </w:rPr>
              <w:t>Normale</w:t>
            </w:r>
          </w:p>
        </w:tc>
      </w:tr>
      <w:tr>
        <w:tc>
          <w:tcPr>
            <w:tcW w:type="dxa" w:w="1928"/>
          </w:tcPr>
          <w:p>
            <w:pPr>
              <w:spacing w:before="20" w:after="20"/>
            </w:pPr>
            <w:r>
              <w:rPr>
                <w:sz w:val="19"/>
              </w:rPr>
              <w:t>Obligatoire</w:t>
            </w:r>
          </w:p>
        </w:tc>
        <w:tc>
          <w:tcPr>
            <w:tcW w:type="dxa" w:w="1928"/>
          </w:tcPr>
          <w:p>
            <w:pPr>
              <w:spacing w:before="20" w:after="20"/>
            </w:pPr>
            <w:r>
              <w:rPr>
                <w:sz w:val="19"/>
              </w:rPr>
              <w:t>Oui / non</w:t>
            </w:r>
          </w:p>
        </w:tc>
        <w:tc>
          <w:tcPr>
            <w:tcW w:type="dxa" w:w="1928"/>
          </w:tcPr>
          <w:p>
            <w:pPr>
              <w:spacing w:before="20" w:after="20"/>
            </w:pPr>
            <w:r>
              <w:rPr>
                <w:sz w:val="19"/>
              </w:rPr>
              <w:t>Non</w:t>
            </w:r>
          </w:p>
        </w:tc>
        <w:tc>
          <w:tcPr>
            <w:tcW w:type="dxa" w:w="1928"/>
          </w:tcPr>
          <w:p>
            <w:pPr>
              <w:spacing w:before="20" w:after="20"/>
            </w:pPr>
            <w:r>
              <w:rPr>
                <w:sz w:val="19"/>
              </w:rPr>
              <w:t>Non</w:t>
            </w:r>
          </w:p>
        </w:tc>
        <w:tc>
          <w:tcPr>
            <w:tcW w:type="dxa" w:w="1928"/>
          </w:tcPr>
          <w:p>
            <w:pPr>
              <w:spacing w:before="20" w:after="20"/>
            </w:pPr>
            <w:r>
              <w:rPr>
                <w:sz w:val="19"/>
              </w:rPr>
              <w:t>Oui</w:t>
            </w:r>
          </w:p>
        </w:tc>
      </w:tr>
      <w:tr>
        <w:tc>
          <w:tcPr>
            <w:tcW w:type="dxa" w:w="1928"/>
          </w:tcPr>
          <w:p>
            <w:pPr>
              <w:spacing w:before="20" w:after="20"/>
            </w:pPr>
            <w:r>
              <w:rPr>
                <w:sz w:val="19"/>
              </w:rPr>
              <w:t>Indexé pour recherche</w:t>
            </w:r>
          </w:p>
        </w:tc>
        <w:tc>
          <w:tcPr>
            <w:tcW w:type="dxa" w:w="1928"/>
          </w:tcPr>
          <w:p>
            <w:pPr>
              <w:spacing w:before="20" w:after="20"/>
            </w:pPr>
            <w:r>
              <w:rPr>
                <w:sz w:val="19"/>
              </w:rPr>
              <w:t>Oui / non</w:t>
            </w:r>
          </w:p>
        </w:tc>
        <w:tc>
          <w:tcPr>
            <w:tcW w:type="dxa" w:w="1928"/>
          </w:tcPr>
          <w:p>
            <w:pPr>
              <w:spacing w:before="20" w:after="20"/>
            </w:pPr>
            <w:r>
              <w:rPr>
                <w:sz w:val="19"/>
              </w:rPr>
              <w:t>Non</w:t>
            </w:r>
          </w:p>
        </w:tc>
        <w:tc>
          <w:tcPr>
            <w:tcW w:type="dxa" w:w="1928"/>
          </w:tcPr>
          <w:p>
            <w:pPr>
              <w:spacing w:before="20" w:after="20"/>
            </w:pPr>
            <w:r>
              <w:rPr>
                <w:sz w:val="19"/>
              </w:rPr>
              <w:t>Non</w:t>
            </w:r>
          </w:p>
        </w:tc>
        <w:tc>
          <w:tcPr>
            <w:tcW w:type="dxa" w:w="1928"/>
          </w:tcPr>
          <w:p>
            <w:pPr>
              <w:spacing w:before="20" w:after="20"/>
            </w:pPr>
            <w:r>
              <w:rPr>
                <w:sz w:val="19"/>
              </w:rPr>
              <w:t>Oui</w:t>
            </w:r>
          </w:p>
        </w:tc>
      </w:tr>
      <w:tr>
        <w:tc>
          <w:tcPr>
            <w:tcW w:type="dxa" w:w="1928"/>
          </w:tcPr>
          <w:p>
            <w:pPr>
              <w:spacing w:before="20" w:after="20"/>
            </w:pPr>
            <w:r>
              <w:rPr>
                <w:sz w:val="19"/>
              </w:rPr>
              <w:t>Index de groupage</w:t>
            </w:r>
          </w:p>
        </w:tc>
        <w:tc>
          <w:tcPr>
            <w:tcW w:type="dxa" w:w="1928"/>
          </w:tcPr>
          <w:p>
            <w:pPr>
              <w:spacing w:before="20" w:after="20"/>
            </w:pPr>
            <w:r>
              <w:rPr>
                <w:sz w:val="19"/>
              </w:rPr>
              <w:t>Oui / non</w:t>
            </w:r>
          </w:p>
        </w:tc>
        <w:tc>
          <w:tcPr>
            <w:tcW w:type="dxa" w:w="1928"/>
          </w:tcPr>
          <w:p>
            <w:pPr>
              <w:spacing w:before="20" w:after="20"/>
            </w:pPr>
            <w:r>
              <w:rPr>
                <w:sz w:val="19"/>
              </w:rPr>
              <w:t>Non</w:t>
            </w:r>
          </w:p>
        </w:tc>
        <w:tc>
          <w:tcPr>
            <w:tcW w:type="dxa" w:w="1928"/>
          </w:tcPr>
          <w:p>
            <w:pPr>
              <w:spacing w:before="20" w:after="20"/>
            </w:pPr>
            <w:r>
              <w:rPr>
                <w:sz w:val="19"/>
              </w:rPr>
              <w:t>Non</w:t>
            </w:r>
          </w:p>
        </w:tc>
        <w:tc>
          <w:tcPr>
            <w:tcW w:type="dxa" w:w="1928"/>
          </w:tcPr>
          <w:p>
            <w:pPr>
              <w:spacing w:before="20" w:after="20"/>
            </w:pPr>
            <w:r>
              <w:rPr>
                <w:sz w:val="19"/>
              </w:rPr>
              <w:t>Non</w:t>
            </w:r>
          </w:p>
        </w:tc>
      </w:tr>
    </w:tbl>
    <w:p>
      <w:pPr>
        <w:spacing w:after="40"/>
      </w:pPr>
    </w:p>
    <w:p>
      <w:pPr>
        <w:pStyle w:val="Heading2"/>
      </w:pPr>
      <w:r>
        <w:t>5.1 Les champs qui demandent une explication</w:t>
      </w:r>
    </w:p>
    <w:p>
      <w:pPr>
        <w:pStyle w:val="Heading3"/>
      </w:pPr>
      <w:r>
        <w:t>Nom de l'index</w:t>
      </w:r>
    </w:p>
    <w:p>
      <w:pPr/>
      <w:r>
        <w:t>Ce libellé apparaît à trois endroits : devant la case à remplir sur l'écran de dépôt, dans l'aperçu de la charte de nommage sur l'écran des plans d'indexation, et dans les messages de refus lorsque l'index est obligatoire et resté vide. Il doit donc être compréhensible par quelqu'un qui n'a pas participé au paramétrage. « Numéro » est un mauvais nom, « Numéro de facture » un bon.</w:t>
      </w:r>
    </w:p>
    <w:p>
      <w:pPr>
        <w:pStyle w:val="Heading3"/>
      </w:pPr>
      <w:r>
        <w:t>Code</w:t>
      </w:r>
    </w:p>
    <w:p>
      <w:pPr/>
      <w:r>
        <w:t>Le code doit être unique dans toute l'application. Un code déjà pris provoque un refus à l'enregistrement, avec un message qui reprend la valeur fautive. L'unicité ne tient pas compte de la casse : saisir idx-numfact alors que IDX-NUMFACT existe déjà sera refusé. Le code n'apparaît jamais devant l'opérateur qui dépose un document.</w:t>
      </w:r>
    </w:p>
    <w:p>
      <w:pPr>
        <w:pStyle w:val="Heading3"/>
      </w:pPr>
      <w:r>
        <w:t>Type de champ</w:t>
      </w:r>
    </w:p>
    <w:p>
      <w:pPr/>
      <w:r>
        <w:t>Ce choix est le plus lourd du formulaire, parce qu'il détermine la qualité de la donnée que l'on stockera pendant des années. Les quatre types se comportent ainsi au moment du dépôt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Type</w:t>
            </w:r>
          </w:p>
        </w:tc>
        <w:tc>
          <w:tcPr>
            <w:tcW w:type="dxa" w:w="3213"/>
          </w:tcPr>
          <w:p>
            <w:pPr>
              <w:spacing w:before="20" w:after="20"/>
            </w:pPr>
            <w:r>
              <w:rPr>
                <w:b/>
                <w:sz w:val="19"/>
              </w:rPr>
              <w:t>Ce que l'opérateur voit au dépôt</w:t>
            </w:r>
          </w:p>
        </w:tc>
        <w:tc>
          <w:tcPr>
            <w:tcW w:type="dxa" w:w="3213"/>
          </w:tcPr>
          <w:p>
            <w:pPr>
              <w:spacing w:before="20" w:after="20"/>
            </w:pPr>
            <w:r>
              <w:rPr>
                <w:b/>
                <w:sz w:val="19"/>
              </w:rPr>
              <w:t>Ce que l'application accepte</w:t>
            </w:r>
          </w:p>
        </w:tc>
      </w:tr>
      <w:tr>
        <w:tc>
          <w:tcPr>
            <w:tcW w:type="dxa" w:w="3213"/>
          </w:tcPr>
          <w:p>
            <w:pPr>
              <w:spacing w:before="20" w:after="20"/>
            </w:pPr>
            <w:r>
              <w:rPr>
                <w:sz w:val="19"/>
              </w:rPr>
              <w:t>Texte</w:t>
            </w:r>
          </w:p>
        </w:tc>
        <w:tc>
          <w:tcPr>
            <w:tcW w:type="dxa" w:w="3213"/>
          </w:tcPr>
          <w:p>
            <w:pPr>
              <w:spacing w:before="20" w:after="20"/>
            </w:pPr>
            <w:r>
              <w:rPr>
                <w:sz w:val="19"/>
              </w:rPr>
              <w:t>Une zone de saisie libre.</w:t>
            </w:r>
          </w:p>
        </w:tc>
        <w:tc>
          <w:tcPr>
            <w:tcW w:type="dxa" w:w="3213"/>
          </w:tcPr>
          <w:p>
            <w:pPr>
              <w:spacing w:before="20" w:after="20"/>
            </w:pPr>
            <w:r>
              <w:rPr>
                <w:sz w:val="19"/>
              </w:rPr>
              <w:t>Tout. Aucune contrainte n'est appliquée.</w:t>
            </w:r>
          </w:p>
        </w:tc>
      </w:tr>
      <w:tr>
        <w:tc>
          <w:tcPr>
            <w:tcW w:type="dxa" w:w="3213"/>
          </w:tcPr>
          <w:p>
            <w:pPr>
              <w:spacing w:before="20" w:after="20"/>
            </w:pPr>
            <w:r>
              <w:rPr>
                <w:sz w:val="19"/>
              </w:rPr>
              <w:t>Nombre</w:t>
            </w:r>
          </w:p>
        </w:tc>
        <w:tc>
          <w:tcPr>
            <w:tcW w:type="dxa" w:w="3213"/>
          </w:tcPr>
          <w:p>
            <w:pPr>
              <w:spacing w:before="20" w:after="20"/>
            </w:pPr>
            <w:r>
              <w:rPr>
                <w:sz w:val="19"/>
              </w:rPr>
              <w:t>Une zone de saisie numérique.</w:t>
            </w:r>
          </w:p>
        </w:tc>
        <w:tc>
          <w:tcPr>
            <w:tcW w:type="dxa" w:w="3213"/>
          </w:tcPr>
          <w:p>
            <w:pPr>
              <w:spacing w:before="20" w:after="20"/>
            </w:pPr>
            <w:r>
              <w:rPr>
                <w:sz w:val="19"/>
              </w:rPr>
              <w:t>Une valeur numérique seulement. Toute autre saisie est refusée avec un message qui nomme l'index.</w:t>
            </w:r>
          </w:p>
        </w:tc>
      </w:tr>
      <w:tr>
        <w:tc>
          <w:tcPr>
            <w:tcW w:type="dxa" w:w="3213"/>
          </w:tcPr>
          <w:p>
            <w:pPr>
              <w:spacing w:before="20" w:after="20"/>
            </w:pPr>
            <w:r>
              <w:rPr>
                <w:sz w:val="19"/>
              </w:rPr>
              <w:t>Date</w:t>
            </w:r>
          </w:p>
        </w:tc>
        <w:tc>
          <w:tcPr>
            <w:tcW w:type="dxa" w:w="3213"/>
          </w:tcPr>
          <w:p>
            <w:pPr>
              <w:spacing w:before="20" w:after="20"/>
            </w:pPr>
            <w:r>
              <w:rPr>
                <w:sz w:val="19"/>
              </w:rPr>
              <w:t>Un sélecteur de date.</w:t>
            </w:r>
          </w:p>
        </w:tc>
        <w:tc>
          <w:tcPr>
            <w:tcW w:type="dxa" w:w="3213"/>
          </w:tcPr>
          <w:p>
            <w:pPr>
              <w:spacing w:before="20" w:after="20"/>
            </w:pPr>
            <w:r>
              <w:rPr>
                <w:sz w:val="19"/>
              </w:rPr>
              <w:t>Une date exprimée au format année-mois-jour, par exemple 2026-02-02. Une date écrite autrement est refusée.</w:t>
            </w:r>
          </w:p>
        </w:tc>
      </w:tr>
      <w:tr>
        <w:tc>
          <w:tcPr>
            <w:tcW w:type="dxa" w:w="3213"/>
          </w:tcPr>
          <w:p>
            <w:pPr>
              <w:spacing w:before="20" w:after="20"/>
            </w:pPr>
            <w:r>
              <w:rPr>
                <w:sz w:val="19"/>
              </w:rPr>
              <w:t>Liste</w:t>
            </w:r>
          </w:p>
        </w:tc>
        <w:tc>
          <w:tcPr>
            <w:tcW w:type="dxa" w:w="3213"/>
          </w:tcPr>
          <w:p>
            <w:pPr>
              <w:spacing w:before="20" w:after="20"/>
            </w:pPr>
            <w:r>
              <w:rPr>
                <w:sz w:val="19"/>
              </w:rPr>
              <w:t>Une liste déroulante fermée, précédée d'une entrée vide.</w:t>
            </w:r>
          </w:p>
        </w:tc>
        <w:tc>
          <w:tcPr>
            <w:tcW w:type="dxa" w:w="3213"/>
          </w:tcPr>
          <w:p>
            <w:pPr>
              <w:spacing w:before="20" w:after="20"/>
            </w:pPr>
            <w:r>
              <w:rPr>
                <w:sz w:val="19"/>
              </w:rPr>
              <w:t>Uniquement l'une des options déclarées. Une valeur étrangère à la liste est refusée.</w:t>
            </w:r>
          </w:p>
        </w:tc>
      </w:tr>
    </w:tbl>
    <w:p>
      <w:pPr>
        <w:spacing w:after="40"/>
      </w:pPr>
    </w:p>
    <w:p>
      <w:pPr/>
      <w:r>
        <w:t>L'écart entre Texte et Liste est celui qui coûte le plus cher à long terme. Un « Fournisseur » déclaré en Texte acceptera « ACME », « Acme », « ACME SARL » et « acme » comme quatre fournisseurs différents ; la recherche par fournisseur cessera alors d'être fiable, et le groupage produira quatre groupes pour une seule entreprise. Le même index déclaré en Liste n'acceptera qu'une orthographe. Le prix à payer est la maintenance de la liste : tout nouveau fournisseur devra être ajouté au paramétrage avant de pouvoir être indexé.</w:t>
      </w:r>
    </w:p>
    <w:p>
      <w:pPr>
        <w:pStyle w:val="Heading3"/>
      </w:pPr>
      <w:r>
        <w:t>Valeurs (Options)</w:t>
      </w:r>
    </w:p>
    <w:p>
      <w:pPr/>
      <w:r>
        <w:t>Ce champ n'apparaît que lorsque le type retenu est Liste. Chaque option est saisie puis validée par Entrée ou par une virgule, et se transforme en puce retirable. Ce mode de saisie a été retenu plutôt qu'une simple zone de texte séparée par des virgules, parce que cette dernière laissait passer les doublons et les espaces parasites, qui produisent ensuite dans la liste déroulante deux entrées visuellement identiques.</w:t>
      </w:r>
    </w:p>
    <w:p>
      <w:pPr>
        <w:pStyle w:val="Heading3"/>
      </w:pPr>
      <w:r>
        <w:t>Valeur par défaut</w:t>
      </w:r>
    </w:p>
    <w:p>
      <w:pPr/>
      <w:r>
        <w:t>La valeur par défaut est ce que l'opérateur trouve déjà inscrit dans la case au moment du dépôt. Elle sert à réduire la saisie sur les champs dont la valeur est presque toujours la même : une priorité « Normale », une devise, une agence. Elle reste modifiable, ce n'est pas une contrainte. Le champ est proposé pour les quatre types, y compris Liste ; dans ce cas, il est de la responsabilité du paramétreur d'y inscrire une valeur qui figure effectivement parmi les options, l'application ne le vérifiant pas.</w:t>
      </w:r>
    </w:p>
    <w:p>
      <w:pPr>
        <w:pStyle w:val="Heading3"/>
      </w:pPr>
      <w:r>
        <w:t>Obligatoire</w:t>
      </w:r>
    </w:p>
    <w:p>
      <w:pPr/>
      <w:r>
        <w:t>Cet interrupteur a un effet lourd et différé. Il ne produit rien sur cet écran ; il se manifeste au moment où l'opérateur confirme l'indexation d'un document. À cet instant, l'application vérifie que tous les index obligatoires du plan portent une valeur, qu'ils aient été envoyés ou non par le formulaire, et refuse de valider tant que l'un d'eux est vide, en le nommant. Cinq champs obligatoires transforment chaque dépôt en formalité administrative ; à l'inverse, aucun champ obligatoire produit à terme un fonds documentaire dont la moitié des fiches est vide. L'arbitrage appartient au métier, et il se prend ici.</w:t>
      </w:r>
    </w:p>
    <w:p>
      <w:pPr>
        <w:pStyle w:val="Heading3"/>
      </w:pPr>
      <w:r>
        <w:t>Indexé pour recherche et Index de groupage</w:t>
      </w:r>
    </w:p>
    <w:p>
      <w:pPr/>
      <w:r>
        <w:t>Ces deux réglages n'ont aucun effet sur le dépôt : ils n'apparaissent qu'à la recherche. Cocher « Indexé pour recherche » suffit à faire apparaître un nouveau critère dans le formulaire de recherche, sans autre paramétrage. Cocher « Index de groupage » ajoute cet index aux axes de regroupement des résultats. Un index peut porter les deux, l'un des deux, ou aucun.</w:t>
      </w:r>
    </w:p>
    <w:p>
      <w:pPr>
        <w:pStyle w:val="Heading1"/>
      </w:pPr>
      <w:r>
        <w:t>6. Les règles de gestion</w:t>
      </w:r>
    </w:p>
    <w:p>
      <w:pPr>
        <w:pStyle w:val="ListNumber"/>
        <w:numPr>
          <w:ilvl w:val="0"/>
          <w:numId w:val="16"/>
        </w:numPr>
      </w:pPr>
      <w:r>
        <w:t>Le nom de l'index est obligatoire. Pourquoi : Sans libellé, l'opérateur ne saurait pas ce qu'on lui demande de saisir au dépôt, et l'aperçu de la charte de nommage afficherait un blanc.</w:t>
      </w:r>
    </w:p>
    <w:p>
      <w:pPr>
        <w:pStyle w:val="ListNumber"/>
        <w:numPr>
          <w:ilvl w:val="0"/>
          <w:numId w:val="16"/>
        </w:numPr>
      </w:pPr>
      <w:r>
        <w:t>Le code est obligatoire et unique dans toute l'application, sans distinction de casse. Pourquoi : Le code est le point d'ancrage stable d'un index : il permet de le reconnaître lors d'une reprise de données ou d'un échange entre environnements. Deux index partageant le même code rendraient cet ancrage inutilisable.</w:t>
      </w:r>
    </w:p>
    <w:p>
      <w:pPr>
        <w:pStyle w:val="ListNumber"/>
        <w:numPr>
          <w:ilvl w:val="0"/>
          <w:numId w:val="16"/>
        </w:numPr>
      </w:pPr>
      <w:r>
        <w:t>Le type de champ est obligatoire ; il vaut Texte tant que l'on n'en choisit pas d'autre. Pourquoi : Texte est le type qui n'oppose aucune contrainte : c'est le seul défaut qui ne refuse jamais une saisie légitime. Un paramétreur qui ne se prononce pas obtient donc un champ utilisable, quitte à le durcir plus tard.</w:t>
      </w:r>
    </w:p>
    <w:p>
      <w:pPr>
        <w:pStyle w:val="ListNumber"/>
        <w:numPr>
          <w:ilvl w:val="0"/>
          <w:numId w:val="16"/>
        </w:numPr>
      </w:pPr>
      <w:r>
        <w:t>Un index de type Liste doit porter au moins une option. Pourquoi : Une liste déroulante sans option ne propose rien : l'opérateur se trouverait devant un champ qu'il lui est impossible de renseigner, et qui bloquerait la validation s'il est obligatoire.</w:t>
      </w:r>
    </w:p>
    <w:p>
      <w:pPr>
        <w:pStyle w:val="ListNumber"/>
        <w:numPr>
          <w:ilvl w:val="0"/>
          <w:numId w:val="16"/>
        </w:numPr>
      </w:pPr>
      <w:r>
        <w:t>Deux options identiques ne peuvent pas coexister dans la même liste. Pourquoi : L'opérateur verrait deux entrées visuellement indiscernables dans la liste déroulante et ne saurait pas laquelle choisir. Le doublon est écarté silencieusement, sans message : il n'y a rien à corriger, la valeur est déjà présente.</w:t>
      </w:r>
    </w:p>
    <w:p>
      <w:pPr>
        <w:pStyle w:val="ListNumber"/>
        <w:numPr>
          <w:ilvl w:val="0"/>
          <w:numId w:val="16"/>
        </w:numPr>
      </w:pPr>
      <w:r>
        <w:t>Les options ne sont conservées que pour le type Liste. Pourquoi : Un index de type Nombre qui garderait en arrière-plan une liste d'options ferait réapparaître ces options à la première rebascule vers le type Liste, sans que l'utilisateur comprenne d'où elles sortent.</w:t>
      </w:r>
    </w:p>
    <w:p>
      <w:pPr>
        <w:pStyle w:val="ListNumber"/>
        <w:numPr>
          <w:ilvl w:val="0"/>
          <w:numId w:val="16"/>
        </w:numPr>
      </w:pPr>
      <w:r>
        <w:t>La valeur par défaut est facultative et n'est jamais contrôlée. Pourquoi : Elle est une proposition de confort, pas une contrainte. L'application ne vérifie ni qu'elle est cohérente avec le type retenu, ni, pour une liste, qu'elle figure parmi les options : la responsabilité est laissée au paramétreur.</w:t>
      </w:r>
    </w:p>
    <w:p>
      <w:pPr>
        <w:pStyle w:val="ListNumber"/>
        <w:numPr>
          <w:ilvl w:val="0"/>
          <w:numId w:val="16"/>
        </w:numPr>
      </w:pPr>
      <w:r>
        <w:t>Le caractère obligatoire est évalué au moment de confirmer l'indexation d'un document, et il porte sur le plan, pas sur ce que le formulaire a envoyé. Pourquoi : Un contrôle qui ne porterait que sur les champs transmis serait contournable : ne pas envoyer un champ suffirait à se dispenser de le remplir. L'application compare donc la liste attendue par le plan à ce qui est effectivement enregistré.</w:t>
      </w:r>
    </w:p>
    <w:p>
      <w:pPr>
        <w:pStyle w:val="ListNumber"/>
        <w:numPr>
          <w:ilvl w:val="0"/>
          <w:numId w:val="16"/>
        </w:numPr>
      </w:pPr>
      <w:r>
        <w:t>Un index mis à la corbeille disparaît des formulaires de dépôt sans être détruit. Pourquoi : La corbeille est un filet de sécurité : un index supprimé par erreur peut être restauré avec son code, son type et ses options intacts. En attendant, il cesse d'encombrer la saisie.</w:t>
      </w:r>
    </w:p>
    <w:p>
      <w:pPr>
        <w:pStyle w:val="ListNumber"/>
        <w:numPr>
          <w:ilvl w:val="0"/>
          <w:numId w:val="16"/>
        </w:numPr>
      </w:pPr>
      <w:r>
        <w:t>Supprimer un index utilisé par un plan d'indexation laisse ce plan incomplet. Pourquoi : Le plan continue d'exister et de fonctionner, mais le champ ne sera plus proposé au dépôt. Si ce champ participait à la charte de nommage, le nom composé perdra un morceau. L'application ne s'y oppose pas et n'avertit pas : cette vérification reste à la charge de celui qui paramètre.</w:t>
      </w:r>
    </w:p>
    <w:p>
      <w:pPr>
        <w:pStyle w:val="ListNumber"/>
        <w:numPr>
          <w:ilvl w:val="0"/>
          <w:numId w:val="16"/>
        </w:numPr>
      </w:pPr>
      <w:r>
        <w:t>La recherche de l'écran porte sur le nom de l'index seulement. Pourquoi : Elle est faite pour retrouver un index dont on se souvient du libellé. Chercher par code ou par valeur d'option ne donne aucun résultat, ce qui peut faire croire à tort que l'index n'existe pas.</w:t>
      </w:r>
    </w:p>
    <w:p>
      <w:pPr>
        <w:pStyle w:val="ListNumber"/>
        <w:numPr>
          <w:ilvl w:val="0"/>
          <w:numId w:val="16"/>
        </w:numPr>
      </w:pPr>
      <w:r>
        <w:t>Le tri, la recherche et la pagination sont établis sur l'ensemble du référentiel, pas sur la page affichée. Pourquoi : Trier la seule page visible produirait un classement faux dès que la liste dépasse dix lignes ; le lecteur croirait voir le premier index par ordre alphabétique alors qu'il verrait le premier de sa page.</w:t>
      </w:r>
    </w:p>
    <w:p>
      <w:pPr>
        <w:pStyle w:val="ListNumber"/>
        <w:numPr>
          <w:ilvl w:val="0"/>
          <w:numId w:val="16"/>
        </w:numPr>
      </w:pPr>
      <w:r>
        <w:t>Rien n'est écrit avant confirmation explicite de l'utilisateur. Pourquoi : Fermer une fenêtre par Échap, par « Annuler » ou en cliquant hors du cadre ne laisse aucune trace. La fenêtre n'est jamais verrouillée : on doit toujours pouvoir en sortir.</w:t>
      </w:r>
    </w:p>
    <w:p>
      <w:pPr>
        <w:pStyle w:val="Heading1"/>
      </w:pPr>
      <w:r>
        <w:t>7. Les contrôles et les refus</w:t>
      </w:r>
    </w:p>
    <w:p>
      <w:pPr/>
      <w:r>
        <w:t>Les messages reproduits ci-dessous sont ceux du produit, à la lettre. Les trois premiers s'affichent directement sous le champ concerné et n'apparaissent qu'après que l'utilisateur a touché ce champ ou tenté de valider.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 nom de l'index est laissé vide et l'utilisateur valide.</w:t>
            </w:r>
          </w:p>
        </w:tc>
        <w:tc>
          <w:tcPr>
            <w:tcW w:type="dxa" w:w="3213"/>
          </w:tcPr>
          <w:p>
            <w:pPr>
              <w:spacing w:before="20" w:after="20"/>
            </w:pPr>
            <w:r>
              <w:rPr>
                <w:sz w:val="19"/>
              </w:rPr>
              <w:t>Le nom est obligatoire</w:t>
            </w:r>
          </w:p>
        </w:tc>
        <w:tc>
          <w:tcPr>
            <w:tcW w:type="dxa" w:w="3213"/>
          </w:tcPr>
          <w:p>
            <w:pPr>
              <w:spacing w:before="20" w:after="20"/>
            </w:pPr>
            <w:r>
              <w:rPr>
                <w:sz w:val="19"/>
              </w:rPr>
              <w:t>La fenêtre reste ouverte, rien n'est enregistré. Le message disparaît dès que la saisie est corrigée.</w:t>
            </w:r>
          </w:p>
        </w:tc>
      </w:tr>
      <w:tr>
        <w:tc>
          <w:tcPr>
            <w:tcW w:type="dxa" w:w="3213"/>
          </w:tcPr>
          <w:p>
            <w:pPr>
              <w:spacing w:before="20" w:after="20"/>
            </w:pPr>
            <w:r>
              <w:rPr>
                <w:sz w:val="19"/>
              </w:rPr>
              <w:t>Le code est laissé vide et l'utilisateur valide.</w:t>
            </w:r>
          </w:p>
        </w:tc>
        <w:tc>
          <w:tcPr>
            <w:tcW w:type="dxa" w:w="3213"/>
          </w:tcPr>
          <w:p>
            <w:pPr>
              <w:spacing w:before="20" w:after="20"/>
            </w:pPr>
            <w:r>
              <w:rPr>
                <w:sz w:val="19"/>
              </w:rPr>
              <w:t>Le code est obligatoire</w:t>
            </w:r>
          </w:p>
        </w:tc>
        <w:tc>
          <w:tcPr>
            <w:tcW w:type="dxa" w:w="3213"/>
          </w:tcPr>
          <w:p>
            <w:pPr>
              <w:spacing w:before="20" w:after="20"/>
            </w:pPr>
            <w:r>
              <w:rPr>
                <w:sz w:val="19"/>
              </w:rPr>
              <w:t>Même comportement : la fenêtre reste ouverte et l'enregistrement est refusé.</w:t>
            </w:r>
          </w:p>
        </w:tc>
      </w:tr>
      <w:tr>
        <w:tc>
          <w:tcPr>
            <w:tcW w:type="dxa" w:w="3213"/>
          </w:tcPr>
          <w:p>
            <w:pPr>
              <w:spacing w:before="20" w:after="20"/>
            </w:pPr>
            <w:r>
              <w:rPr>
                <w:sz w:val="19"/>
              </w:rPr>
              <w:t>Le type retenu est Liste mais aucune option n'a été saisie.</w:t>
            </w:r>
          </w:p>
        </w:tc>
        <w:tc>
          <w:tcPr>
            <w:tcW w:type="dxa" w:w="3213"/>
          </w:tcPr>
          <w:p>
            <w:pPr>
              <w:spacing w:before="20" w:after="20"/>
            </w:pPr>
            <w:r>
              <w:rPr>
                <w:sz w:val="19"/>
              </w:rPr>
              <w:t>Indiquez au moins une valeur</w:t>
            </w:r>
          </w:p>
        </w:tc>
        <w:tc>
          <w:tcPr>
            <w:tcW w:type="dxa" w:w="3213"/>
          </w:tcPr>
          <w:p>
            <w:pPr>
              <w:spacing w:before="20" w:after="20"/>
            </w:pPr>
            <w:r>
              <w:rPr>
                <w:sz w:val="19"/>
              </w:rPr>
              <w:t>Le message s'affiche sous le champ des options. L'enregistrement est bloqué tant qu'aucune option n'est ajoutée ; il se lève dès la première option saisie.</w:t>
            </w:r>
          </w:p>
        </w:tc>
      </w:tr>
      <w:tr>
        <w:tc>
          <w:tcPr>
            <w:tcW w:type="dxa" w:w="3213"/>
          </w:tcPr>
          <w:p>
            <w:pPr>
              <w:spacing w:before="20" w:after="20"/>
            </w:pPr>
            <w:r>
              <w:rPr>
                <w:sz w:val="19"/>
              </w:rPr>
              <w:t>Le code saisi est déjà porté par un autre index.</w:t>
            </w:r>
          </w:p>
        </w:tc>
        <w:tc>
          <w:tcPr>
            <w:tcW w:type="dxa" w:w="3213"/>
          </w:tcPr>
          <w:p>
            <w:pPr>
              <w:spacing w:before="20" w:after="20"/>
            </w:pPr>
            <w:r>
              <w:rPr>
                <w:sz w:val="19"/>
              </w:rPr>
              <w:t>Le code « IDX-NUMFACT » est déjà utilisé</w:t>
            </w:r>
          </w:p>
        </w:tc>
        <w:tc>
          <w:tcPr>
            <w:tcW w:type="dxa" w:w="3213"/>
          </w:tcPr>
          <w:p>
            <w:pPr>
              <w:spacing w:before="20" w:after="20"/>
            </w:pPr>
            <w:r>
              <w:rPr>
                <w:sz w:val="19"/>
              </w:rPr>
              <w:t>Le refus est signalé dans un bandeau au bas du formulaire, la fenêtre restant ouverte avec la saisie intacte. Le message reprend le code fautif.</w:t>
            </w:r>
          </w:p>
        </w:tc>
      </w:tr>
      <w:tr>
        <w:tc>
          <w:tcPr>
            <w:tcW w:type="dxa" w:w="3213"/>
          </w:tcPr>
          <w:p>
            <w:pPr>
              <w:spacing w:before="20" w:after="20"/>
            </w:pPr>
            <w:r>
              <w:rPr>
                <w:sz w:val="19"/>
              </w:rPr>
              <w:t>L'enregistrement échoue pour une raison non interprétée.</w:t>
            </w:r>
          </w:p>
        </w:tc>
        <w:tc>
          <w:tcPr>
            <w:tcW w:type="dxa" w:w="3213"/>
          </w:tcPr>
          <w:p>
            <w:pPr>
              <w:spacing w:before="20" w:after="20"/>
            </w:pPr>
            <w:r>
              <w:rPr>
                <w:sz w:val="19"/>
              </w:rPr>
              <w:t>Une erreur est survenue.</w:t>
            </w:r>
          </w:p>
        </w:tc>
        <w:tc>
          <w:tcPr>
            <w:tcW w:type="dxa" w:w="3213"/>
          </w:tcPr>
          <w:p>
            <w:pPr>
              <w:spacing w:before="20" w:after="20"/>
            </w:pPr>
            <w:r>
              <w:rPr>
                <w:sz w:val="19"/>
              </w:rPr>
              <w:t>Message générique volontaire : aucun détail technique n'est présenté à l'utilisateur.</w:t>
            </w:r>
          </w:p>
        </w:tc>
      </w:tr>
      <w:tr>
        <w:tc>
          <w:tcPr>
            <w:tcW w:type="dxa" w:w="3213"/>
          </w:tcPr>
          <w:p>
            <w:pPr>
              <w:spacing w:before="20" w:after="20"/>
            </w:pPr>
            <w:r>
              <w:rPr>
                <w:sz w:val="19"/>
              </w:rPr>
              <w:t>La liste ne peut pas être chargée.</w:t>
            </w:r>
          </w:p>
        </w:tc>
        <w:tc>
          <w:tcPr>
            <w:tcW w:type="dxa" w:w="3213"/>
          </w:tcPr>
          <w:p>
            <w:pPr>
              <w:spacing w:before="20" w:after="20"/>
            </w:pPr>
            <w:r>
              <w:rPr>
                <w:sz w:val="19"/>
              </w:rPr>
              <w:t>Chargement impossible.</w:t>
            </w:r>
          </w:p>
        </w:tc>
        <w:tc>
          <w:tcPr>
            <w:tcW w:type="dxa" w:w="3213"/>
          </w:tcPr>
          <w:p>
            <w:pPr>
              <w:spacing w:before="20" w:after="20"/>
            </w:pPr>
            <w:r>
              <w:rPr>
                <w:sz w:val="19"/>
              </w:rPr>
              <w:t>Le tableau reste vide. Le bouton Rafraîchir permet de retenter.</w:t>
            </w:r>
          </w:p>
        </w:tc>
      </w:tr>
      <w:tr>
        <w:tc>
          <w:tcPr>
            <w:tcW w:type="dxa" w:w="3213"/>
          </w:tcPr>
          <w:p>
            <w:pPr>
              <w:spacing w:before="20" w:after="20"/>
            </w:pPr>
            <w:r>
              <w:rPr>
                <w:sz w:val="19"/>
              </w:rPr>
              <w:t>La suppression échoue.</w:t>
            </w:r>
          </w:p>
        </w:tc>
        <w:tc>
          <w:tcPr>
            <w:tcW w:type="dxa" w:w="3213"/>
          </w:tcPr>
          <w:p>
            <w:pPr>
              <w:spacing w:before="20" w:after="20"/>
            </w:pPr>
            <w:r>
              <w:rPr>
                <w:sz w:val="19"/>
              </w:rPr>
              <w:t>Suppression impossible.</w:t>
            </w:r>
          </w:p>
        </w:tc>
        <w:tc>
          <w:tcPr>
            <w:tcW w:type="dxa" w:w="3213"/>
          </w:tcPr>
          <w:p>
            <w:pPr>
              <w:spacing w:before="20" w:after="20"/>
            </w:pPr>
            <w:r>
              <w:rPr>
                <w:sz w:val="19"/>
              </w:rPr>
              <w:t>L'index reste dans la vue Actifs, rien n'a été déplacé.</w:t>
            </w:r>
          </w:p>
        </w:tc>
      </w:tr>
      <w:tr>
        <w:tc>
          <w:tcPr>
            <w:tcW w:type="dxa" w:w="3213"/>
          </w:tcPr>
          <w:p>
            <w:pPr>
              <w:spacing w:before="20" w:after="20"/>
            </w:pPr>
            <w:r>
              <w:rPr>
                <w:sz w:val="19"/>
              </w:rPr>
              <w:t>La restauration échoue.</w:t>
            </w:r>
          </w:p>
        </w:tc>
        <w:tc>
          <w:tcPr>
            <w:tcW w:type="dxa" w:w="3213"/>
          </w:tcPr>
          <w:p>
            <w:pPr>
              <w:spacing w:before="20" w:after="20"/>
            </w:pPr>
            <w:r>
              <w:rPr>
                <w:sz w:val="19"/>
              </w:rPr>
              <w:t>Restauration impossible.</w:t>
            </w:r>
          </w:p>
        </w:tc>
        <w:tc>
          <w:tcPr>
            <w:tcW w:type="dxa" w:w="3213"/>
          </w:tcPr>
          <w:p>
            <w:pPr>
              <w:spacing w:before="20" w:after="20"/>
            </w:pPr>
            <w:r>
              <w:rPr>
                <w:sz w:val="19"/>
              </w:rPr>
              <w:t>L'index reste dans l'archive.</w:t>
            </w:r>
          </w:p>
        </w:tc>
      </w:tr>
      <w:tr>
        <w:tc>
          <w:tcPr>
            <w:tcW w:type="dxa" w:w="3213"/>
          </w:tcPr>
          <w:p>
            <w:pPr>
              <w:spacing w:before="20" w:after="20"/>
            </w:pPr>
            <w:r>
              <w:rPr>
                <w:sz w:val="19"/>
              </w:rPr>
              <w:t>Une action groupée échoue.</w:t>
            </w:r>
          </w:p>
        </w:tc>
        <w:tc>
          <w:tcPr>
            <w:tcW w:type="dxa" w:w="3213"/>
          </w:tcPr>
          <w:p>
            <w:pPr>
              <w:spacing w:before="20" w:after="20"/>
            </w:pPr>
            <w:r>
              <w:rPr>
                <w:sz w:val="19"/>
              </w:rPr>
              <w:t>Opération impossible.</w:t>
            </w:r>
          </w:p>
        </w:tc>
        <w:tc>
          <w:tcPr>
            <w:tcW w:type="dxa" w:w="3213"/>
          </w:tcPr>
          <w:p>
            <w:pPr>
              <w:spacing w:before="20" w:after="20"/>
            </w:pPr>
            <w:r>
              <w:rPr>
                <w:sz w:val="19"/>
              </w:rPr>
              <w:t>Aucune ligne de la sélection n'est présumée traitée ; il convient de recharger et de recommencer.</w:t>
            </w:r>
          </w:p>
        </w:tc>
      </w:tr>
    </w:tbl>
    <w:p>
      <w:pPr>
        <w:spacing w:after="40"/>
      </w:pPr>
    </w:p>
    <w:p>
      <w:pPr>
        <w:pStyle w:val="Heading2"/>
      </w:pPr>
      <w:r>
        <w:t>7.1 Les demandes de confirmation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Geste</w:t>
            </w:r>
          </w:p>
        </w:tc>
        <w:tc>
          <w:tcPr>
            <w:tcW w:type="dxa" w:w="3213"/>
          </w:tcPr>
          <w:p>
            <w:pPr>
              <w:spacing w:before="20" w:after="20"/>
            </w:pPr>
            <w:r>
              <w:rPr>
                <w:b/>
                <w:sz w:val="19"/>
              </w:rPr>
              <w:t>Titre de la fenêtre</w:t>
            </w:r>
          </w:p>
        </w:tc>
        <w:tc>
          <w:tcPr>
            <w:tcW w:type="dxa" w:w="3213"/>
          </w:tcPr>
          <w:p>
            <w:pPr>
              <w:spacing w:before="20" w:after="20"/>
            </w:pPr>
            <w:r>
              <w:rPr>
                <w:b/>
                <w:sz w:val="19"/>
              </w:rPr>
              <w:t>Message exact</w:t>
            </w:r>
          </w:p>
        </w:tc>
      </w:tr>
      <w:tr>
        <w:tc>
          <w:tcPr>
            <w:tcW w:type="dxa" w:w="3213"/>
          </w:tcPr>
          <w:p>
            <w:pPr>
              <w:spacing w:before="20" w:after="20"/>
            </w:pPr>
            <w:r>
              <w:rPr>
                <w:sz w:val="19"/>
              </w:rPr>
              <w:t>Supprimer un index</w:t>
            </w:r>
          </w:p>
        </w:tc>
        <w:tc>
          <w:tcPr>
            <w:tcW w:type="dxa" w:w="3213"/>
          </w:tcPr>
          <w:p>
            <w:pPr>
              <w:spacing w:before="20" w:after="20"/>
            </w:pPr>
            <w:r>
              <w:rPr>
                <w:sz w:val="19"/>
              </w:rPr>
              <w:t>Supprimer cet index</w:t>
            </w:r>
          </w:p>
        </w:tc>
        <w:tc>
          <w:tcPr>
            <w:tcW w:type="dxa" w:w="3213"/>
          </w:tcPr>
          <w:p>
            <w:pPr>
              <w:spacing w:before="20" w:after="20"/>
            </w:pPr>
            <w:r>
              <w:rPr>
                <w:sz w:val="19"/>
              </w:rPr>
              <w:t>« Numéro de facture » sera déplacé vers la corbeille.</w:t>
            </w:r>
          </w:p>
        </w:tc>
      </w:tr>
      <w:tr>
        <w:tc>
          <w:tcPr>
            <w:tcW w:type="dxa" w:w="3213"/>
          </w:tcPr>
          <w:p>
            <w:pPr>
              <w:spacing w:before="20" w:after="20"/>
            </w:pPr>
            <w:r>
              <w:rPr>
                <w:sz w:val="19"/>
              </w:rPr>
              <w:t>Supprimer une sélection</w:t>
            </w:r>
          </w:p>
        </w:tc>
        <w:tc>
          <w:tcPr>
            <w:tcW w:type="dxa" w:w="3213"/>
          </w:tcPr>
          <w:p>
            <w:pPr>
              <w:spacing w:before="20" w:after="20"/>
            </w:pPr>
            <w:r>
              <w:rPr>
                <w:sz w:val="19"/>
              </w:rPr>
              <w:t>Supprimer la sélection</w:t>
            </w:r>
          </w:p>
        </w:tc>
        <w:tc>
          <w:tcPr>
            <w:tcW w:type="dxa" w:w="3213"/>
          </w:tcPr>
          <w:p>
            <w:pPr>
              <w:spacing w:before="20" w:after="20"/>
            </w:pPr>
            <w:r>
              <w:rPr>
                <w:sz w:val="19"/>
              </w:rPr>
              <w:t>Voulez-vous supprimer 2 index ?</w:t>
            </w:r>
          </w:p>
        </w:tc>
      </w:tr>
      <w:tr>
        <w:tc>
          <w:tcPr>
            <w:tcW w:type="dxa" w:w="3213"/>
          </w:tcPr>
          <w:p>
            <w:pPr>
              <w:spacing w:before="20" w:after="20"/>
            </w:pPr>
            <w:r>
              <w:rPr>
                <w:sz w:val="19"/>
              </w:rPr>
              <w:t>Restaurer une sélection</w:t>
            </w:r>
          </w:p>
        </w:tc>
        <w:tc>
          <w:tcPr>
            <w:tcW w:type="dxa" w:w="3213"/>
          </w:tcPr>
          <w:p>
            <w:pPr>
              <w:spacing w:before="20" w:after="20"/>
            </w:pPr>
            <w:r>
              <w:rPr>
                <w:sz w:val="19"/>
              </w:rPr>
              <w:t>Restaurer la sélection</w:t>
            </w:r>
          </w:p>
        </w:tc>
        <w:tc>
          <w:tcPr>
            <w:tcW w:type="dxa" w:w="3213"/>
          </w:tcPr>
          <w:p>
            <w:pPr>
              <w:spacing w:before="20" w:after="20"/>
            </w:pPr>
            <w:r>
              <w:rPr>
                <w:sz w:val="19"/>
              </w:rPr>
              <w:t>Voulez-vous restaurer 2 index ?</w:t>
            </w:r>
          </w:p>
        </w:tc>
      </w:tr>
      <w:tr>
        <w:tc>
          <w:tcPr>
            <w:tcW w:type="dxa" w:w="3213"/>
          </w:tcPr>
          <w:p>
            <w:pPr>
              <w:spacing w:before="20" w:after="20"/>
            </w:pPr>
            <w:r>
              <w:rPr>
                <w:sz w:val="19"/>
              </w:rPr>
              <w:t>Restaurer un index</w:t>
            </w:r>
          </w:p>
        </w:tc>
        <w:tc>
          <w:tcPr>
            <w:tcW w:type="dxa" w:w="3213"/>
          </w:tcPr>
          <w:p>
            <w:pPr>
              <w:spacing w:before="20" w:after="20"/>
            </w:pPr>
            <w:r>
              <w:rPr>
                <w:sz w:val="19"/>
              </w:rPr>
              <w:t>— aucune confirmation —</w:t>
            </w:r>
          </w:p>
        </w:tc>
        <w:tc>
          <w:tcPr>
            <w:tcW w:type="dxa" w:w="3213"/>
          </w:tcPr>
          <w:p>
            <w:pPr>
              <w:spacing w:before="20" w:after="20"/>
            </w:pPr>
            <w:r>
              <w:rPr>
                <w:sz w:val="19"/>
              </w:rPr>
              <w:t>L'action est immédiate.</w:t>
            </w:r>
          </w:p>
        </w:tc>
      </w:tr>
    </w:tbl>
    <w:p>
      <w:pPr>
        <w:spacing w:after="40"/>
      </w:pPr>
    </w:p>
    <w:p>
      <w:pPr>
        <w:pStyle w:val="Heading2"/>
      </w:pPr>
      <w:r>
        <w:t>7.2 Les messages de réussite</w:t>
      </w:r>
    </w:p>
    <w:p>
      <w:pPr/>
      <w:r>
        <w:t>Ces messages apparaissent brièvement en bas à droite de l'écran, puis s'effacent.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Action</w:t>
            </w:r>
          </w:p>
        </w:tc>
        <w:tc>
          <w:tcPr>
            <w:tcW w:type="dxa" w:w="4819"/>
          </w:tcPr>
          <w:p>
            <w:pPr>
              <w:spacing w:before="20" w:after="20"/>
            </w:pPr>
            <w:r>
              <w:rPr>
                <w:b/>
                <w:sz w:val="19"/>
              </w:rPr>
              <w:t>Message exact</w:t>
            </w:r>
          </w:p>
        </w:tc>
      </w:tr>
      <w:tr>
        <w:tc>
          <w:tcPr>
            <w:tcW w:type="dxa" w:w="4819"/>
          </w:tcPr>
          <w:p>
            <w:pPr>
              <w:spacing w:before="20" w:after="20"/>
            </w:pPr>
            <w:r>
              <w:rPr>
                <w:sz w:val="19"/>
              </w:rPr>
              <w:t>Création</w:t>
            </w:r>
          </w:p>
        </w:tc>
        <w:tc>
          <w:tcPr>
            <w:tcW w:type="dxa" w:w="4819"/>
          </w:tcPr>
          <w:p>
            <w:pPr>
              <w:spacing w:before="20" w:after="20"/>
            </w:pPr>
            <w:r>
              <w:rPr>
                <w:sz w:val="19"/>
              </w:rPr>
              <w:t>Index créé.</w:t>
            </w:r>
          </w:p>
        </w:tc>
      </w:tr>
      <w:tr>
        <w:tc>
          <w:tcPr>
            <w:tcW w:type="dxa" w:w="4819"/>
          </w:tcPr>
          <w:p>
            <w:pPr>
              <w:spacing w:before="20" w:after="20"/>
            </w:pPr>
            <w:r>
              <w:rPr>
                <w:sz w:val="19"/>
              </w:rPr>
              <w:t>Modification</w:t>
            </w:r>
          </w:p>
        </w:tc>
        <w:tc>
          <w:tcPr>
            <w:tcW w:type="dxa" w:w="4819"/>
          </w:tcPr>
          <w:p>
            <w:pPr>
              <w:spacing w:before="20" w:after="20"/>
            </w:pPr>
            <w:r>
              <w:rPr>
                <w:sz w:val="19"/>
              </w:rPr>
              <w:t>Index modifié.</w:t>
            </w:r>
          </w:p>
        </w:tc>
      </w:tr>
      <w:tr>
        <w:tc>
          <w:tcPr>
            <w:tcW w:type="dxa" w:w="4819"/>
          </w:tcPr>
          <w:p>
            <w:pPr>
              <w:spacing w:before="20" w:after="20"/>
            </w:pPr>
            <w:r>
              <w:rPr>
                <w:sz w:val="19"/>
              </w:rPr>
              <w:t>Suppression</w:t>
            </w:r>
          </w:p>
        </w:tc>
        <w:tc>
          <w:tcPr>
            <w:tcW w:type="dxa" w:w="4819"/>
          </w:tcPr>
          <w:p>
            <w:pPr>
              <w:spacing w:before="20" w:after="20"/>
            </w:pPr>
            <w:r>
              <w:rPr>
                <w:sz w:val="19"/>
              </w:rPr>
              <w:t>Index supprimé.</w:t>
            </w:r>
          </w:p>
        </w:tc>
      </w:tr>
      <w:tr>
        <w:tc>
          <w:tcPr>
            <w:tcW w:type="dxa" w:w="4819"/>
          </w:tcPr>
          <w:p>
            <w:pPr>
              <w:spacing w:before="20" w:after="20"/>
            </w:pPr>
            <w:r>
              <w:rPr>
                <w:sz w:val="19"/>
              </w:rPr>
              <w:t>Restauration</w:t>
            </w:r>
          </w:p>
        </w:tc>
        <w:tc>
          <w:tcPr>
            <w:tcW w:type="dxa" w:w="4819"/>
          </w:tcPr>
          <w:p>
            <w:pPr>
              <w:spacing w:before="20" w:after="20"/>
            </w:pPr>
            <w:r>
              <w:rPr>
                <w:sz w:val="19"/>
              </w:rPr>
              <w:t>Index restauré.</w:t>
            </w:r>
          </w:p>
        </w:tc>
      </w:tr>
      <w:tr>
        <w:tc>
          <w:tcPr>
            <w:tcW w:type="dxa" w:w="4819"/>
          </w:tcPr>
          <w:p>
            <w:pPr>
              <w:spacing w:before="20" w:after="20"/>
            </w:pPr>
            <w:r>
              <w:rPr>
                <w:sz w:val="19"/>
              </w:rPr>
              <w:t>Suppression en lot</w:t>
            </w:r>
          </w:p>
        </w:tc>
        <w:tc>
          <w:tcPr>
            <w:tcW w:type="dxa" w:w="4819"/>
          </w:tcPr>
          <w:p>
            <w:pPr>
              <w:spacing w:before="20" w:after="20"/>
            </w:pPr>
            <w:r>
              <w:rPr>
                <w:sz w:val="19"/>
              </w:rPr>
              <w:t>2 index supprimé(s).</w:t>
            </w:r>
          </w:p>
        </w:tc>
      </w:tr>
      <w:tr>
        <w:tc>
          <w:tcPr>
            <w:tcW w:type="dxa" w:w="4819"/>
          </w:tcPr>
          <w:p>
            <w:pPr>
              <w:spacing w:before="20" w:after="20"/>
            </w:pPr>
            <w:r>
              <w:rPr>
                <w:sz w:val="19"/>
              </w:rPr>
              <w:t>Restauration en lot</w:t>
            </w:r>
          </w:p>
        </w:tc>
        <w:tc>
          <w:tcPr>
            <w:tcW w:type="dxa" w:w="4819"/>
          </w:tcPr>
          <w:p>
            <w:pPr>
              <w:spacing w:before="20" w:after="20"/>
            </w:pPr>
            <w:r>
              <w:rPr>
                <w:sz w:val="19"/>
              </w:rPr>
              <w:t>2 index restauré(s).</w:t>
            </w:r>
          </w:p>
        </w:tc>
      </w:tr>
    </w:tbl>
    <w:p>
      <w:pPr>
        <w:spacing w:after="40"/>
      </w:pPr>
    </w:p>
    <w:p>
      <w:pPr>
        <w:pStyle w:val="Heading2"/>
      </w:pPr>
      <w:r>
        <w:t>7.3 Les refus rencontrés plus tard, au dépôt</w:t>
      </w:r>
    </w:p>
    <w:p>
      <w:pPr/>
      <w:r>
        <w:t>Les réglages décidés sur cet écran produisent des refus sur un autre écran, au moment où l'opérateur confirme l'indexation d'un document. Il est utile de les connaître ici, puisque c'est ici qu'on les provoque.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Réglage en cause</w:t>
            </w:r>
          </w:p>
        </w:tc>
        <w:tc>
          <w:tcPr>
            <w:tcW w:type="dxa" w:w="4819"/>
          </w:tcPr>
          <w:p>
            <w:pPr>
              <w:spacing w:before="20" w:after="20"/>
            </w:pPr>
            <w:r>
              <w:rPr>
                <w:b/>
                <w:sz w:val="19"/>
              </w:rPr>
              <w:t>Message exact affiché au dépôt</w:t>
            </w:r>
          </w:p>
        </w:tc>
      </w:tr>
      <w:tr>
        <w:tc>
          <w:tcPr>
            <w:tcW w:type="dxa" w:w="4819"/>
          </w:tcPr>
          <w:p>
            <w:pPr>
              <w:spacing w:before="20" w:after="20"/>
            </w:pPr>
            <w:r>
              <w:rPr>
                <w:sz w:val="19"/>
              </w:rPr>
              <w:t>Index déclaré obligatoire et laissé vide</w:t>
            </w:r>
          </w:p>
        </w:tc>
        <w:tc>
          <w:tcPr>
            <w:tcW w:type="dxa" w:w="4819"/>
          </w:tcPr>
          <w:p>
            <w:pPr>
              <w:spacing w:before="20" w:after="20"/>
            </w:pPr>
            <w:r>
              <w:rPr>
                <w:sz w:val="19"/>
              </w:rPr>
              <w:t>L'index « Numéro de facture » est obligatoire.</w:t>
            </w:r>
          </w:p>
        </w:tc>
      </w:tr>
      <w:tr>
        <w:tc>
          <w:tcPr>
            <w:tcW w:type="dxa" w:w="4819"/>
          </w:tcPr>
          <w:p>
            <w:pPr>
              <w:spacing w:before="20" w:after="20"/>
            </w:pPr>
            <w:r>
              <w:rPr>
                <w:sz w:val="19"/>
              </w:rPr>
              <w:t>Index de type Nombre, valeur non numérique</w:t>
            </w:r>
          </w:p>
        </w:tc>
        <w:tc>
          <w:tcPr>
            <w:tcW w:type="dxa" w:w="4819"/>
          </w:tcPr>
          <w:p>
            <w:pPr>
              <w:spacing w:before="20" w:after="20"/>
            </w:pPr>
            <w:r>
              <w:rPr>
                <w:sz w:val="19"/>
              </w:rPr>
              <w:t>« Numéro de facture » attend un nombre.</w:t>
            </w:r>
          </w:p>
        </w:tc>
      </w:tr>
      <w:tr>
        <w:tc>
          <w:tcPr>
            <w:tcW w:type="dxa" w:w="4819"/>
          </w:tcPr>
          <w:p>
            <w:pPr>
              <w:spacing w:before="20" w:after="20"/>
            </w:pPr>
            <w:r>
              <w:rPr>
                <w:sz w:val="19"/>
              </w:rPr>
              <w:t>Index de type Date, format non conforme</w:t>
            </w:r>
          </w:p>
        </w:tc>
        <w:tc>
          <w:tcPr>
            <w:tcW w:type="dxa" w:w="4819"/>
          </w:tcPr>
          <w:p>
            <w:pPr>
              <w:spacing w:before="20" w:after="20"/>
            </w:pPr>
            <w:r>
              <w:rPr>
                <w:sz w:val="19"/>
              </w:rPr>
              <w:t>« Date d'émission » attend une date (AAAA-MM-JJ).</w:t>
            </w:r>
          </w:p>
        </w:tc>
      </w:tr>
      <w:tr>
        <w:tc>
          <w:tcPr>
            <w:tcW w:type="dxa" w:w="4819"/>
          </w:tcPr>
          <w:p>
            <w:pPr>
              <w:spacing w:before="20" w:after="20"/>
            </w:pPr>
            <w:r>
              <w:rPr>
                <w:sz w:val="19"/>
              </w:rPr>
              <w:t>Index de type Liste, valeur hors options</w:t>
            </w:r>
          </w:p>
        </w:tc>
        <w:tc>
          <w:tcPr>
            <w:tcW w:type="dxa" w:w="4819"/>
          </w:tcPr>
          <w:p>
            <w:pPr>
              <w:spacing w:before="20" w:after="20"/>
            </w:pPr>
            <w:r>
              <w:rPr>
                <w:sz w:val="19"/>
              </w:rPr>
              <w:t>« Moyenne » ne fait pas partie des valeurs de « Priorité ».</w:t>
            </w:r>
          </w:p>
        </w:tc>
      </w:tr>
    </w:tbl>
    <w:p>
      <w:pPr>
        <w:spacing w:after="40"/>
      </w:pPr>
    </w:p>
    <w:p>
      <w:pPr>
        <w:pStyle w:val="Heading1"/>
      </w:pPr>
      <w:r>
        <w:t>8. Les cas particuliers</w:t>
      </w:r>
    </w:p>
    <w:p>
      <w:pPr>
        <w:pStyle w:val="Heading2"/>
      </w:pPr>
      <w:r>
        <w:t>8.1 Changer le type d'un index de Liste vers un autre type</w:t>
      </w:r>
    </w:p>
    <w:p>
      <w:pPr/>
      <w:r>
        <w:t>Lorsque le type quitte Liste, l'application cesse de conserver les options : elles ne sont pas enregistrées. En revanche, tant que la fenêtre reste ouverte, les options saisies demeurent affichées en mémoire si l'on revient au type Liste avant d'enregistrer. Ce comportement est sans danger — rien n'a été écrit — mais il peut surprendre : les puces que l'on croyait perdues réapparaissent. Une fois la fenêtre fermée et l'index enregistré sous un autre type, les options sont définitivement absentes.</w:t>
      </w:r>
    </w:p>
    <w:p>
      <w:pPr>
        <w:pStyle w:val="Heading2"/>
      </w:pPr>
      <w:r>
        <w:t>8.2 La valeur par défaut n'est pas effacée en changeant de type</w:t>
      </w:r>
    </w:p>
    <w:p>
      <w:pPr/>
      <w:r>
        <w:t>Contrairement aux options, la valeur par défaut est conservée quel que soit le type retenu. Un index passé de Liste à Nombre garde donc la valeur par défaut « Normale », qui sera proposée au dépôt dans un champ numérique. L'application ne le signale pas. Il revient au paramétreur de vider ce champ lorsqu'il change le type.</w:t>
      </w:r>
    </w:p>
    <w:p>
      <w:pPr>
        <w:pStyle w:val="Heading2"/>
      </w:pPr>
      <w:r>
        <w:t>8.3 Un index supprimé alors qu'il appartient à un plan</w:t>
      </w:r>
    </w:p>
    <w:p>
      <w:pPr/>
      <w:r>
        <w:t>La suppression est acceptée sans avertissement. Les conséquences sont les suivantes, et elles ne sont visibles nulle part sur cet écran :</w:t>
      </w:r>
    </w:p>
    <w:p>
      <w:pPr>
        <w:pStyle w:val="ListBullet"/>
      </w:pPr>
      <w:r>
        <w:t>Le champ cesse d'être proposé sur l'écran de dépôt pour les documents relevant de ce plan.</w:t>
      </w:r>
    </w:p>
    <w:p>
      <w:pPr>
        <w:pStyle w:val="ListBullet"/>
      </w:pPr>
      <w:r>
        <w:t>Si l'index participait à la charte de nommage, le nom composé perd le morceau correspondant : la charte n'échoue pas, elle omet simplement le jeton devenu sans valeur.</w:t>
      </w:r>
    </w:p>
    <w:p>
      <w:pPr>
        <w:pStyle w:val="ListBullet"/>
      </w:pPr>
      <w:r>
        <w:t>Sur l'écran des plans d'indexation, l'aperçu de la charte affiche alors le repère brut du jeton plutôt qu'un libellé : le trou est rendu visible plutôt que dissimulé.</w:t>
      </w:r>
    </w:p>
    <w:p>
      <w:pPr>
        <w:pStyle w:val="ListBullet"/>
      </w:pPr>
      <w:r>
        <w:t>Les valeurs déjà enregistrées sur des documents antérieurs subsistent en base et ne sont pas effacées.</w:t>
      </w:r>
    </w:p>
    <w:p>
      <w:pPr>
        <w:pStyle w:val="ListBullet"/>
      </w:pPr>
      <w:r>
        <w:t>Restaurer l'index rétablit intégralement la situation antérieure.</w:t>
      </w:r>
    </w:p>
    <w:p>
      <w:pPr>
        <w:pStyle w:val="Heading2"/>
      </w:pPr>
      <w:r>
        <w:t>8.4 Le tableau et le formulaire n'emploient pas les mêmes intitulés</w:t>
      </w:r>
    </w:p>
    <w:p>
      <w:pPr/>
      <w:r>
        <w:t>La colonne se nomme « Nom index » et le champ du formulaire « Nom de l'index » ; la colonne se nomme « Type champs » et le champ « Type de champ ». Cet écart est volontaire et conservé tel quel : il reproduit le vocabulaire de l'application d'origine, afin qu'un utilisateur passant de l'une à l'autre retrouve ses repères. Il ne recouvre aucune différence de sens.</w:t>
      </w:r>
    </w:p>
    <w:p>
      <w:pPr>
        <w:pStyle w:val="Heading2"/>
      </w:pPr>
      <w:r>
        <w:t>8.5 Une recherche sans résultat</w:t>
      </w:r>
    </w:p>
    <w:p>
      <w:pPr/>
      <w:r>
        <w:t>Lorsqu'un terme de recherche ne correspond à aucun index, le tableau affiche l'état vierge « Aucun index » accompagné de l'invitation à créer le premier. Le terme saisi n'est pas repris et la situation n'est pas distinguée de celle d'un référentiel réellement vide. Ce point est repris au chapitre 10.</w:t>
      </w:r>
    </w:p>
    <w:p>
      <w:pPr>
        <w:pStyle w:val="Heading2"/>
      </w:pPr>
      <w:r>
        <w:t>8.6 Les colonnes masquées</w:t>
      </w:r>
    </w:p>
    <w:p>
      <w:pPr/>
      <w:r>
        <w:t>Le sélecteur de colonnes mémorise, pour cet écran, les colonnes que l'utilisateur a masquées, et les retrouve à la visite suivante. Deux colonnes échappent au réglage et ne sont pas proposées : la colonne de sélection et la colonne Actions, dont le masquage priverait la liste de toute interaction. Le bouton « Réinitialiser » ne coche pas tout : il rétablit l'état d'origine de l'écran.</w:t>
      </w:r>
    </w:p>
    <w:p>
      <w:pPr>
        <w:pStyle w:val="Heading2"/>
      </w:pPr>
      <w:r>
        <w:t>8.7 Deux index peuvent porter le même nom</w:t>
      </w:r>
    </w:p>
    <w:p>
      <w:pPr/>
      <w:r>
        <w:t>Seul le code est contrôlé en unicité. Rien n'empêche de créer deux index nommés « Date » avec des codes différents. Ils apparaîtront tous deux dans le sélecteur des plans d'indexation, sans moyen visuel de les distinguer. Il est donc recommandé de qualifier les libellés : « Date d'émission », « Date d'échéance ».</w:t>
      </w:r>
    </w:p>
    <w:p>
      <w:pPr>
        <w:pStyle w:val="Heading1"/>
      </w:pPr>
      <w:r>
        <w:t>9. Enchaînement avec les autres interfaces</w:t>
      </w:r>
    </w:p>
    <w:p>
      <w:pPr>
        <w:pStyle w:val="Heading2"/>
      </w:pPr>
      <w:r>
        <w:t>9.1 En amont</w:t>
      </w:r>
    </w:p>
    <w:p>
      <w:pPr/>
      <w:r>
        <w:t>Aucun prérequis. C'est le point de départ de la chaîne de paramétrage : les index se créent sans qu'aucun autre écran n'ait été renseigné au préalable.</w:t>
      </w:r>
    </w:p>
    <w:p>
      <w:pPr>
        <w:pStyle w:val="Heading2"/>
      </w:pPr>
      <w:r>
        <w:t>9.2 En aval</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w:t>
            </w:r>
          </w:p>
        </w:tc>
        <w:tc>
          <w:tcPr>
            <w:tcW w:type="dxa" w:w="3213"/>
          </w:tcPr>
          <w:p>
            <w:pPr>
              <w:spacing w:before="20" w:after="20"/>
            </w:pPr>
            <w:r>
              <w:rPr>
                <w:b/>
                <w:sz w:val="19"/>
              </w:rPr>
              <w:t>Ce qu'elle attend de l'écran Index</w:t>
            </w:r>
          </w:p>
        </w:tc>
        <w:tc>
          <w:tcPr>
            <w:tcW w:type="dxa" w:w="3213"/>
          </w:tcPr>
          <w:p>
            <w:pPr>
              <w:spacing w:before="20" w:after="20"/>
            </w:pPr>
            <w:r>
              <w:rPr>
                <w:b/>
                <w:sz w:val="19"/>
              </w:rPr>
              <w:t>Ce qui se passe si l'index manque</w:t>
            </w:r>
          </w:p>
        </w:tc>
      </w:tr>
      <w:tr>
        <w:tc>
          <w:tcPr>
            <w:tcW w:type="dxa" w:w="3213"/>
          </w:tcPr>
          <w:p>
            <w:pPr>
              <w:spacing w:before="20" w:after="20"/>
            </w:pPr>
            <w:r>
              <w:rPr>
                <w:sz w:val="19"/>
              </w:rPr>
              <w:t>07 — Plans d'indexation</w:t>
            </w:r>
          </w:p>
        </w:tc>
        <w:tc>
          <w:tcPr>
            <w:tcW w:type="dxa" w:w="3213"/>
          </w:tcPr>
          <w:p>
            <w:pPr>
              <w:spacing w:before="20" w:after="20"/>
            </w:pPr>
            <w:r>
              <w:rPr>
                <w:sz w:val="19"/>
              </w:rPr>
              <w:t>Le référentiel d'index alimente la liste dans laquelle un plan choisit les champs qu'il regroupe, puis les jetons de sa charte de nommage.</w:t>
            </w:r>
          </w:p>
        </w:tc>
        <w:tc>
          <w:tcPr>
            <w:tcW w:type="dxa" w:w="3213"/>
          </w:tcPr>
          <w:p>
            <w:pPr>
              <w:spacing w:before="20" w:after="20"/>
            </w:pPr>
            <w:r>
              <w:rPr>
                <w:sz w:val="19"/>
              </w:rPr>
              <w:t>Le sélecteur est vide. Le plan reste créable — il sert alors de coquille — mais il ne compose aucun nom.</w:t>
            </w:r>
          </w:p>
        </w:tc>
      </w:tr>
      <w:tr>
        <w:tc>
          <w:tcPr>
            <w:tcW w:type="dxa" w:w="3213"/>
          </w:tcPr>
          <w:p>
            <w:pPr>
              <w:spacing w:before="20" w:after="20"/>
            </w:pPr>
            <w:r>
              <w:rPr>
                <w:sz w:val="19"/>
              </w:rPr>
              <w:t>08 — Types de document</w:t>
            </w:r>
          </w:p>
        </w:tc>
        <w:tc>
          <w:tcPr>
            <w:tcW w:type="dxa" w:w="3213"/>
          </w:tcPr>
          <w:p>
            <w:pPr>
              <w:spacing w:before="20" w:after="20"/>
            </w:pPr>
            <w:r>
              <w:rPr>
                <w:sz w:val="19"/>
              </w:rPr>
              <w:t>Rien directement : le type ne voit pas les index, il voit le plan qui les porte.</w:t>
            </w:r>
          </w:p>
        </w:tc>
        <w:tc>
          <w:tcPr>
            <w:tcW w:type="dxa" w:w="3213"/>
          </w:tcPr>
          <w:p>
            <w:pPr>
              <w:spacing w:before="20" w:after="20"/>
            </w:pPr>
            <w:r>
              <w:rPr>
                <w:sz w:val="19"/>
              </w:rPr>
              <w:t>Sans conséquence immédiate ; l'effet apparaît au dépôt.</w:t>
            </w:r>
          </w:p>
        </w:tc>
      </w:tr>
      <w:tr>
        <w:tc>
          <w:tcPr>
            <w:tcW w:type="dxa" w:w="3213"/>
          </w:tcPr>
          <w:p>
            <w:pPr>
              <w:spacing w:before="20" w:after="20"/>
            </w:pPr>
            <w:r>
              <w:rPr>
                <w:sz w:val="19"/>
              </w:rPr>
              <w:t>11 — Dépôt et indexation</w:t>
            </w:r>
          </w:p>
        </w:tc>
        <w:tc>
          <w:tcPr>
            <w:tcW w:type="dxa" w:w="3213"/>
          </w:tcPr>
          <w:p>
            <w:pPr>
              <w:spacing w:before="20" w:after="20"/>
            </w:pPr>
            <w:r>
              <w:rPr>
                <w:sz w:val="19"/>
              </w:rPr>
              <w:t>Les index du plan du type retenu deviennent les champs à renseigner. Leur type commande la nature du contrôle, leur caractère obligatoire commande le blocage de la validation, leurs options alimentent les listes déroulantes.</w:t>
            </w:r>
          </w:p>
        </w:tc>
        <w:tc>
          <w:tcPr>
            <w:tcW w:type="dxa" w:w="3213"/>
          </w:tcPr>
          <w:p>
            <w:pPr>
              <w:spacing w:before="20" w:after="20"/>
            </w:pPr>
            <w:r>
              <w:rPr>
                <w:sz w:val="19"/>
              </w:rPr>
              <w:t>Aucun champ n'est proposé : le document est déposé sans description.</w:t>
            </w:r>
          </w:p>
        </w:tc>
      </w:tr>
      <w:tr>
        <w:tc>
          <w:tcPr>
            <w:tcW w:type="dxa" w:w="3213"/>
          </w:tcPr>
          <w:p>
            <w:pPr>
              <w:spacing w:before="20" w:after="20"/>
            </w:pPr>
            <w:r>
              <w:rPr>
                <w:sz w:val="19"/>
              </w:rPr>
              <w:t>10 — Documents (recherche)</w:t>
            </w:r>
          </w:p>
        </w:tc>
        <w:tc>
          <w:tcPr>
            <w:tcW w:type="dxa" w:w="3213"/>
          </w:tcPr>
          <w:p>
            <w:pPr>
              <w:spacing w:before="20" w:after="20"/>
            </w:pPr>
            <w:r>
              <w:rPr>
                <w:sz w:val="19"/>
              </w:rPr>
              <w:t>Les index cochés « Indexé pour recherche » deviennent des critères ; ceux cochés « Index de groupage » deviennent des axes de regroupement des résultats.</w:t>
            </w:r>
          </w:p>
        </w:tc>
        <w:tc>
          <w:tcPr>
            <w:tcW w:type="dxa" w:w="3213"/>
          </w:tcPr>
          <w:p>
            <w:pPr>
              <w:spacing w:before="20" w:after="20"/>
            </w:pPr>
            <w:r>
              <w:rPr>
                <w:sz w:val="19"/>
              </w:rPr>
              <w:t>La recherche se limite aux informations générales du document.</w:t>
            </w:r>
          </w:p>
        </w:tc>
      </w:tr>
    </w:tbl>
    <w:p>
      <w:pPr>
        <w:spacing w:after="40"/>
      </w:pPr>
    </w:p>
    <w:p>
      <w:pPr>
        <w:pStyle w:val="Heading2"/>
      </w:pPr>
      <w:r>
        <w:t>9.3 Ordre de construction recommandé</w:t>
      </w:r>
    </w:p>
    <w:p>
      <w:pPr/>
      <w:r>
        <w:t>Les index doivent être créés en premier, avant les plans d'indexation et avant les types de document. Il est possible de revenir en arrière — ajouter un index et l'intégrer ensuite à un plan existant — mais l'ordre inverse fait perdre du temps : un plan créé avant ses index ne peut ni les regrouper ni composer de charte.</w:t>
      </w:r>
    </w:p>
    <w:p>
      <w:pPr>
        <w:pStyle w:val="Heading1"/>
      </w:pPr>
      <w:r>
        <w:t>10. Points de vigilance</w:t>
      </w:r>
    </w:p>
    <w:p>
      <w:pPr>
        <w:pStyle w:val="Heading2"/>
      </w:pPr>
      <w:r>
        <w:t>10.1 Ce qui est régulièrement mal compris</w:t>
      </w:r>
    </w:p>
    <w:p>
      <w:pPr>
        <w:pStyle w:val="ListBullet"/>
      </w:pPr>
      <w:r>
        <w:t>On crée un index par renseignement, pas par document. Le référentiel d'une entreprise compte typiquement quelques dizaines d'index, pas quelques milliers.</w:t>
      </w:r>
    </w:p>
    <w:p>
      <w:pPr>
        <w:pStyle w:val="ListBullet"/>
      </w:pPr>
      <w:r>
        <w:t>Le caractère obligatoire ne se manifeste pas sur cet écran. Son effet se découvre au dépôt, souvent par un opérateur qui n'a pas participé au paramétrage et qui subit un blocage sans en comprendre l'origine.</w:t>
      </w:r>
    </w:p>
    <w:p>
      <w:pPr>
        <w:pStyle w:val="ListBullet"/>
      </w:pPr>
      <w:r>
        <w:t>« Indexé pour recherche » n'a rien à voir avec le fait de renseigner le champ : un index non coché sera bien saisi et bien stocké, il ne servira simplement pas de critère de recherche.</w:t>
      </w:r>
    </w:p>
    <w:p>
      <w:pPr>
        <w:pStyle w:val="ListBullet"/>
      </w:pPr>
      <w:r>
        <w:t>Un index de groupage doit avoir peu de valeurs distinctes. Cocher cet interrupteur sur un numéro de facture produit autant de groupes que de documents et rend l'affichage des résultats illisible.</w:t>
      </w:r>
    </w:p>
    <w:p>
      <w:pPr>
        <w:pStyle w:val="ListBullet"/>
      </w:pPr>
      <w:r>
        <w:t>Le code n'est pas vu par l'opérateur qui dépose. Soigner le code au détriment du libellé revient à soigner ce que personne ne lit.</w:t>
      </w:r>
    </w:p>
    <w:p>
      <w:pPr>
        <w:pStyle w:val="Heading2"/>
      </w:pPr>
      <w:r>
        <w:t>10.2 Ce qui a déjà causé des erreurs</w:t>
      </w:r>
    </w:p>
    <w:p>
      <w:pPr>
        <w:pStyle w:val="ListBullet"/>
      </w:pPr>
      <w:r>
        <w:t>Déclarer un fournisseur, un service ou une agence en type Texte plutôt qu'en Liste. Les variantes d'orthographe s'accumulent silencieusement et ruinent la recherche comme le groupage. Le défaut ne se voit qu'après plusieurs centaines de dépôts, quand il est coûteux à corriger.</w:t>
      </w:r>
    </w:p>
    <w:p>
      <w:pPr>
        <w:pStyle w:val="ListBullet"/>
      </w:pPr>
      <w:r>
        <w:t>Supprimer un index encore utilisé par un plan. La suppression est acceptée sans avertissement, et le manque n'apparaît qu'au dépôt suivant, sous la forme d'un champ disparu ou d'un nom composé amputé.</w:t>
      </w:r>
    </w:p>
    <w:p>
      <w:pPr>
        <w:pStyle w:val="ListBullet"/>
      </w:pPr>
      <w:r>
        <w:t>Laisser une valeur par défaut héritée d'un type Liste après avoir basculé l'index en Nombre ou en Date : la case arrive pré-remplie au dépôt avec une valeur que le contrôle de type refusera.</w:t>
      </w:r>
    </w:p>
    <w:p>
      <w:pPr>
        <w:pStyle w:val="ListBullet"/>
      </w:pPr>
      <w:r>
        <w:t>Multiplier les index obligatoires. Chaque interrupteur ajouté allonge le dépôt et augmente le taux de contournement : les opérateurs finissent par saisir n'importe quoi pour débloquer la validation, ce qui dégrade la donnée plus sûrement que l'absence de contrainte.</w:t>
      </w:r>
    </w:p>
    <w:p>
      <w:pPr>
        <w:pStyle w:val="Heading2"/>
      </w:pPr>
      <w:r>
        <w:t>10.3 Ce que l'application ne fait pas</w:t>
      </w:r>
    </w:p>
    <w:p>
      <w:pPr/>
      <w:r>
        <w:t>Les limites suivantes sont énoncées explicitement, pour qu'elles ne soient pas découvertes en exploitation.</w:t>
      </w:r>
    </w:p>
    <w:p>
      <w:pPr>
        <w:pStyle w:val="ListBullet"/>
      </w:pPr>
      <w:r>
        <w:t>L'application ne vérifie pas, avant de supprimer un index, s'il est utilisé par un plan d'indexation ou par des documents déjà déposés. La confirmation nomme l'index mais n'annonce aucune dépendance.</w:t>
      </w:r>
    </w:p>
    <w:p>
      <w:pPr>
        <w:pStyle w:val="ListBullet"/>
      </w:pPr>
      <w:r>
        <w:t>Elle ne contrôle pas la cohérence entre la valeur par défaut et le type retenu, ni, pour une liste, l'appartenance de la valeur par défaut aux options.</w:t>
      </w:r>
    </w:p>
    <w:p>
      <w:pPr>
        <w:pStyle w:val="ListBullet"/>
      </w:pPr>
      <w:r>
        <w:t>Elle n'empêche pas deux index de porter le même libellé.</w:t>
      </w:r>
    </w:p>
    <w:p>
      <w:pPr>
        <w:pStyle w:val="ListBullet"/>
      </w:pPr>
      <w:r>
        <w:t>Elle ne distingue pas, dans l'affichage du tableau, une recherche sans résultat d'un référentiel vide : les deux situations montrent le même état vierge, et le terme cherché n'est pas repris à l'écran.</w:t>
      </w:r>
    </w:p>
    <w:p>
      <w:pPr>
        <w:pStyle w:val="ListBullet"/>
      </w:pPr>
      <w:r>
        <w:t>Elle ne convertit ni ne revalide les valeurs déjà saisies sur des documents lorsqu'on change le type d'un index après coup.</w:t>
      </w:r>
    </w:p>
    <w:p>
      <w:pPr>
        <w:pStyle w:val="ListBullet"/>
      </w:pPr>
      <w:r>
        <w:t>Elle ne propose pas de purge définitive de l'archive : un index supprimé y demeure indéfiniment.</w:t>
      </w:r>
    </w:p>
    <w:p>
      <w:pPr>
        <w:pStyle w:val="ListBullet"/>
      </w:pPr>
      <w:r>
        <w:t>Elle ne permet pas de dupliquer un index existant pour en créer une variante ; chaque index se saisit intégralement.</w:t>
      </w:r>
    </w:p>
    <w:p>
      <w:pPr>
        <w:pStyle w:val="Heading2"/>
      </w:pPr>
      <w:r>
        <w:t>10.4 Recommandations de paramétrage</w:t>
      </w:r>
    </w:p>
    <w:p>
      <w:pPr>
        <w:pStyle w:val="ListNumber"/>
        <w:numPr>
          <w:ilvl w:val="0"/>
          <w:numId w:val="17"/>
        </w:numPr>
      </w:pPr>
      <w:r>
        <w:t>Arrêter la liste des renseignements réellement utiles avant de créer le premier index. Un index ajouté après coup se rattache à un plan sans difficulté, mais les documents déjà déposés ne le porteront jamais.</w:t>
      </w:r>
    </w:p>
    <w:p>
      <w:pPr>
        <w:pStyle w:val="ListNumber"/>
        <w:numPr>
          <w:ilvl w:val="0"/>
          <w:numId w:val="17"/>
        </w:numPr>
      </w:pPr>
      <w:r>
        <w:t>Réserver le type Texte aux informations véritablement libres, et employer le type Liste dès que l'ensemble des valeurs possibles est connu et fermé.</w:t>
      </w:r>
    </w:p>
    <w:p>
      <w:pPr>
        <w:pStyle w:val="ListNumber"/>
        <w:numPr>
          <w:ilvl w:val="0"/>
          <w:numId w:val="17"/>
        </w:numPr>
      </w:pPr>
      <w:r>
        <w:t>Employer le type Date plutôt que le type Texte pour toute date : c'est ce qui garantit un format unique et donc des tris et des filtres de période exploitables.</w:t>
      </w:r>
    </w:p>
    <w:p>
      <w:pPr>
        <w:pStyle w:val="ListNumber"/>
        <w:numPr>
          <w:ilvl w:val="0"/>
          <w:numId w:val="17"/>
        </w:numPr>
      </w:pPr>
      <w:r>
        <w:t>Limiter le nombre d'index obligatoires à ceux sans lesquels le document serait réellement introuvable.</w:t>
      </w:r>
    </w:p>
    <w:p>
      <w:pPr>
        <w:pStyle w:val="ListNumber"/>
        <w:numPr>
          <w:ilvl w:val="0"/>
          <w:numId w:val="17"/>
        </w:numPr>
      </w:pPr>
      <w:r>
        <w:t>Adopter une convention de code stable et la documenter, par exemple un préfixe commun suivi d'une abréviation du libellé.</w:t>
      </w:r>
    </w:p>
    <w:p>
      <w:pPr>
        <w:pStyle w:val="ListNumber"/>
        <w:numPr>
          <w:ilvl w:val="0"/>
          <w:numId w:val="17"/>
        </w:numPr>
      </w:pPr>
      <w:r>
        <w:t>Avant toute suppression, vérifier manuellement sur l'écran des plans d'indexation qu'aucun plan ne regroupe l'index concerné.</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06 Index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