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i w:val="0"/>
          <w:color w:val="1F355E"/>
          <w:sz w:val="26"/>
        </w:rPr>
        <w:t>GED Marchica Med</w:t>
      </w:r>
    </w:p>
    <w:p>
      <w:r>
        <w:rPr>
          <w:b w:val="0"/>
          <w:i w:val="0"/>
          <w:color w:val="606060"/>
          <w:sz w:val="20"/>
        </w:rPr>
        <w:t>Gestion électronique de documents</w:t>
      </w:r>
    </w:p>
    <w:p/>
    <w:p>
      <w:r>
        <w:rPr>
          <w:b/>
          <w:i w:val="0"/>
          <w:color w:val="1F355E"/>
          <w:sz w:val="52"/>
        </w:rPr>
        <w:t>Rapport fonctionnel</w:t>
      </w:r>
    </w:p>
    <w:p>
      <w:r>
        <w:rPr>
          <w:b w:val="0"/>
          <w:i w:val="0"/>
          <w:color w:val="334466"/>
          <w:sz w:val="28"/>
        </w:rPr>
        <w:t>Interface 08 — Types de document</w:t>
      </w:r>
    </w:p>
    <w:p/>
    <w:p/>
    <w:p/>
    <w:p/>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Application</w:t>
            </w:r>
          </w:p>
        </w:tc>
        <w:tc>
          <w:tcPr>
            <w:tcW w:type="dxa" w:w="4819"/>
          </w:tcPr>
          <w:p>
            <w:pPr>
              <w:spacing w:before="20" w:after="20"/>
            </w:pPr>
            <w:r>
              <w:rPr>
                <w:sz w:val="19"/>
              </w:rPr>
              <w:t>GED Marchica Med</w:t>
            </w:r>
          </w:p>
        </w:tc>
      </w:tr>
      <w:tr>
        <w:tc>
          <w:tcPr>
            <w:tcW w:type="dxa" w:w="4819"/>
          </w:tcPr>
          <w:p>
            <w:pPr>
              <w:spacing w:before="20" w:after="20"/>
            </w:pPr>
            <w:r>
              <w:rPr>
                <w:b/>
                <w:sz w:val="19"/>
              </w:rPr>
              <w:t>Interface décrite</w:t>
            </w:r>
          </w:p>
        </w:tc>
        <w:tc>
          <w:tcPr>
            <w:tcW w:type="dxa" w:w="4819"/>
          </w:tcPr>
          <w:p>
            <w:pPr>
              <w:spacing w:before="20" w:after="20"/>
            </w:pPr>
            <w:r>
              <w:rPr>
                <w:sz w:val="19"/>
              </w:rPr>
              <w:t>08 — Types de document</w:t>
            </w:r>
          </w:p>
        </w:tc>
      </w:tr>
      <w:tr>
        <w:tc>
          <w:tcPr>
            <w:tcW w:type="dxa" w:w="4819"/>
          </w:tcPr>
          <w:p>
            <w:pPr>
              <w:spacing w:before="20" w:after="20"/>
            </w:pPr>
            <w:r>
              <w:rPr>
                <w:b/>
                <w:sz w:val="19"/>
              </w:rPr>
              <w:t>Volet</w:t>
            </w:r>
          </w:p>
        </w:tc>
        <w:tc>
          <w:tcPr>
            <w:tcW w:type="dxa" w:w="4819"/>
          </w:tcPr>
          <w:p>
            <w:pPr>
              <w:spacing w:before="20" w:after="20"/>
            </w:pPr>
            <w:r>
              <w:rPr>
                <w:sz w:val="19"/>
              </w:rPr>
              <w:t>Volet fonctionnel</w:t>
            </w:r>
          </w:p>
        </w:tc>
      </w:tr>
      <w:tr>
        <w:tc>
          <w:tcPr>
            <w:tcW w:type="dxa" w:w="4819"/>
          </w:tcPr>
          <w:p>
            <w:pPr>
              <w:spacing w:before="20" w:after="20"/>
            </w:pPr>
            <w:r>
              <w:rPr>
                <w:b/>
                <w:sz w:val="19"/>
              </w:rPr>
              <w:t>Date du document</w:t>
            </w:r>
          </w:p>
        </w:tc>
        <w:tc>
          <w:tcPr>
            <w:tcW w:type="dxa" w:w="4819"/>
          </w:tcPr>
          <w:p>
            <w:pPr>
              <w:spacing w:before="20" w:after="20"/>
            </w:pPr>
            <w:r>
              <w:rPr>
                <w:sz w:val="19"/>
              </w:rPr>
              <w:t>13 août 2026</w:t>
            </w:r>
          </w:p>
        </w:tc>
      </w:tr>
    </w:tbl>
    <w:p/>
    <w:p/>
    <w:p/>
    <w:p/>
    <w:p>
      <w:r>
        <w:rPr>
          <w:b w:val="0"/>
          <w:i/>
          <w:color w:val="606060"/>
          <w:sz w:val="18"/>
        </w:rPr>
        <w:t>Document fonctionnel. Il décrit la logique et le processus de l'interface à l'intention des responsables métier, chefs de projet et consultants fonctionnels. Il ne contient aucun élément technique.</w:t>
      </w:r>
    </w:p>
    <w:p/>
    <w:p>
      <w:pPr>
        <w:pStyle w:val="Heading1"/>
      </w:pPr>
      <w:r>
        <w:t>Sommaire</w:t>
      </w:r>
    </w:p>
    <w:p>
      <w:r>
        <w:rPr>
          <w:b w:val="0"/>
          <w:i/>
          <w:color w:val="606060"/>
          <w:sz w:val="19"/>
        </w:rPr>
        <w:t>Les sections ci-dessous se suivent dans l'ordre du document.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Section</w:t>
            </w:r>
          </w:p>
        </w:tc>
        <w:tc>
          <w:tcPr>
            <w:tcW w:type="dxa" w:w="4819"/>
          </w:tcPr>
          <w:p>
            <w:pPr>
              <w:spacing w:before="20" w:after="20"/>
            </w:pPr>
            <w:r>
              <w:rPr>
                <w:b/>
                <w:sz w:val="19"/>
              </w:rPr>
              <w:t>Objet</w:t>
            </w:r>
          </w:p>
        </w:tc>
      </w:tr>
      <w:tr>
        <w:tc>
          <w:tcPr>
            <w:tcW w:type="dxa" w:w="4819"/>
          </w:tcPr>
          <w:p>
            <w:pPr>
              <w:spacing w:before="20" w:after="20"/>
            </w:pPr>
            <w:r>
              <w:rPr>
                <w:sz w:val="19"/>
              </w:rPr>
              <w:t>1. Objet de l'interface</w:t>
            </w:r>
          </w:p>
        </w:tc>
        <w:tc>
          <w:tcPr>
            <w:tcW w:type="dxa" w:w="4819"/>
          </w:tcPr>
          <w:p>
            <w:pPr>
              <w:spacing w:before="20" w:after="20"/>
            </w:pPr>
            <w:r>
              <w:rPr>
                <w:sz w:val="19"/>
              </w:rPr>
              <w:t>Ce qu'un type décide au moment du dépôt, et pourquoi il est le premier geste de l'opérateur.</w:t>
            </w:r>
          </w:p>
        </w:tc>
      </w:tr>
      <w:tr>
        <w:tc>
          <w:tcPr>
            <w:tcW w:type="dxa" w:w="4819"/>
          </w:tcPr>
          <w:p>
            <w:pPr>
              <w:spacing w:before="20" w:after="20"/>
            </w:pPr>
            <w:r>
              <w:rPr>
                <w:sz w:val="19"/>
              </w:rPr>
              <w:t>2. Les notions manipulées</w:t>
            </w:r>
          </w:p>
        </w:tc>
        <w:tc>
          <w:tcPr>
            <w:tcW w:type="dxa" w:w="4819"/>
          </w:tcPr>
          <w:p>
            <w:pPr>
              <w:spacing w:before="20" w:after="20"/>
            </w:pPr>
            <w:r>
              <w:rPr>
                <w:sz w:val="19"/>
              </w:rPr>
              <w:t>Type, espace de travail, plan d'indexation, formats acceptés, taille maximale : les distinctions.</w:t>
            </w:r>
          </w:p>
        </w:tc>
      </w:tr>
      <w:tr>
        <w:tc>
          <w:tcPr>
            <w:tcW w:type="dxa" w:w="4819"/>
          </w:tcPr>
          <w:p>
            <w:pPr>
              <w:spacing w:before="20" w:after="20"/>
            </w:pPr>
            <w:r>
              <w:rPr>
                <w:sz w:val="19"/>
              </w:rPr>
              <w:t>3. Ce que l'utilisateur voit</w:t>
            </w:r>
          </w:p>
        </w:tc>
        <w:tc>
          <w:tcPr>
            <w:tcW w:type="dxa" w:w="4819"/>
          </w:tcPr>
          <w:p>
            <w:pPr>
              <w:spacing w:before="20" w:after="20"/>
            </w:pPr>
            <w:r>
              <w:rPr>
                <w:sz w:val="19"/>
              </w:rPr>
              <w:t>La liste et ses colonnes, la fiche d'un type, le formulaire de création.</w:t>
            </w:r>
          </w:p>
        </w:tc>
      </w:tr>
      <w:tr>
        <w:tc>
          <w:tcPr>
            <w:tcW w:type="dxa" w:w="4819"/>
          </w:tcPr>
          <w:p>
            <w:pPr>
              <w:spacing w:before="20" w:after="20"/>
            </w:pPr>
            <w:r>
              <w:rPr>
                <w:sz w:val="19"/>
              </w:rPr>
              <w:t>4. Le processus, étape par étape</w:t>
            </w:r>
          </w:p>
        </w:tc>
        <w:tc>
          <w:tcPr>
            <w:tcW w:type="dxa" w:w="4819"/>
          </w:tcPr>
          <w:p>
            <w:pPr>
              <w:spacing w:before="20" w:after="20"/>
            </w:pPr>
            <w:r>
              <w:rPr>
                <w:sz w:val="19"/>
              </w:rPr>
              <w:t>La création, la modification, la suppression et la restauration, en suites numérotées et en schémas.</w:t>
            </w:r>
          </w:p>
        </w:tc>
      </w:tr>
      <w:tr>
        <w:tc>
          <w:tcPr>
            <w:tcW w:type="dxa" w:w="4819"/>
          </w:tcPr>
          <w:p>
            <w:pPr>
              <w:spacing w:before="20" w:after="20"/>
            </w:pPr>
            <w:r>
              <w:rPr>
                <w:sz w:val="19"/>
              </w:rPr>
              <w:t>5. Les données saisies</w:t>
            </w:r>
          </w:p>
        </w:tc>
        <w:tc>
          <w:tcPr>
            <w:tcW w:type="dxa" w:w="4819"/>
          </w:tcPr>
          <w:p>
            <w:pPr>
              <w:spacing w:before="20" w:after="20"/>
            </w:pPr>
            <w:r>
              <w:rPr>
                <w:sz w:val="19"/>
              </w:rPr>
              <w:t>Les sept champs du formulaire : nature, caractère obligatoire, valeur par défaut, exemple et explication.</w:t>
            </w:r>
          </w:p>
        </w:tc>
      </w:tr>
      <w:tr>
        <w:tc>
          <w:tcPr>
            <w:tcW w:type="dxa" w:w="4819"/>
          </w:tcPr>
          <w:p>
            <w:pPr>
              <w:spacing w:before="20" w:after="20"/>
            </w:pPr>
            <w:r>
              <w:rPr>
                <w:sz w:val="19"/>
              </w:rPr>
              <w:t>6. Les règles de gestion</w:t>
            </w:r>
          </w:p>
        </w:tc>
        <w:tc>
          <w:tcPr>
            <w:tcW w:type="dxa" w:w="4819"/>
          </w:tcPr>
          <w:p>
            <w:pPr>
              <w:spacing w:before="20" w:after="20"/>
            </w:pPr>
            <w:r>
              <w:rPr>
                <w:sz w:val="19"/>
              </w:rPr>
              <w:t>Douze règles numérotées, chacune assortie de sa justification métier.</w:t>
            </w:r>
          </w:p>
        </w:tc>
      </w:tr>
      <w:tr>
        <w:tc>
          <w:tcPr>
            <w:tcW w:type="dxa" w:w="4819"/>
          </w:tcPr>
          <w:p>
            <w:pPr>
              <w:spacing w:before="20" w:after="20"/>
            </w:pPr>
            <w:r>
              <w:rPr>
                <w:sz w:val="19"/>
              </w:rPr>
              <w:t>7. Les contrôles et les refus</w:t>
            </w:r>
          </w:p>
        </w:tc>
        <w:tc>
          <w:tcPr>
            <w:tcW w:type="dxa" w:w="4819"/>
          </w:tcPr>
          <w:p>
            <w:pPr>
              <w:spacing w:before="20" w:after="20"/>
            </w:pPr>
            <w:r>
              <w:rPr>
                <w:sz w:val="19"/>
              </w:rPr>
              <w:t>Chaque situation de refus, le message exact affiché et sa conséquence pour l'utilisateur.</w:t>
            </w:r>
          </w:p>
        </w:tc>
      </w:tr>
      <w:tr>
        <w:tc>
          <w:tcPr>
            <w:tcW w:type="dxa" w:w="4819"/>
          </w:tcPr>
          <w:p>
            <w:pPr>
              <w:spacing w:before="20" w:after="20"/>
            </w:pPr>
            <w:r>
              <w:rPr>
                <w:sz w:val="19"/>
              </w:rPr>
              <w:t>8. Les cas particuliers</w:t>
            </w:r>
          </w:p>
        </w:tc>
        <w:tc>
          <w:tcPr>
            <w:tcW w:type="dxa" w:w="4819"/>
          </w:tcPr>
          <w:p>
            <w:pPr>
              <w:spacing w:before="20" w:after="20"/>
            </w:pPr>
            <w:r>
              <w:rPr>
                <w:sz w:val="19"/>
              </w:rPr>
              <w:t>Le type sans plan, le changement de type, les formats retirés après coup.</w:t>
            </w:r>
          </w:p>
        </w:tc>
      </w:tr>
      <w:tr>
        <w:tc>
          <w:tcPr>
            <w:tcW w:type="dxa" w:w="4819"/>
          </w:tcPr>
          <w:p>
            <w:pPr>
              <w:spacing w:before="20" w:after="20"/>
            </w:pPr>
            <w:r>
              <w:rPr>
                <w:sz w:val="19"/>
              </w:rPr>
              <w:t>9. Enchaînement avec les autres interfaces</w:t>
            </w:r>
          </w:p>
        </w:tc>
        <w:tc>
          <w:tcPr>
            <w:tcW w:type="dxa" w:w="4819"/>
          </w:tcPr>
          <w:p>
            <w:pPr>
              <w:spacing w:before="20" w:after="20"/>
            </w:pPr>
            <w:r>
              <w:rPr>
                <w:sz w:val="19"/>
              </w:rPr>
              <w:t>Le plan d'indexation et l'espace de travail en amont, le dépôt et le fonds documentaire en aval.</w:t>
            </w:r>
          </w:p>
        </w:tc>
      </w:tr>
      <w:tr>
        <w:tc>
          <w:tcPr>
            <w:tcW w:type="dxa" w:w="4819"/>
          </w:tcPr>
          <w:p>
            <w:pPr>
              <w:spacing w:before="20" w:after="20"/>
            </w:pPr>
            <w:r>
              <w:rPr>
                <w:sz w:val="19"/>
              </w:rPr>
              <w:t>10. Points de vigilance</w:t>
            </w:r>
          </w:p>
        </w:tc>
        <w:tc>
          <w:tcPr>
            <w:tcW w:type="dxa" w:w="4819"/>
          </w:tcPr>
          <w:p>
            <w:pPr>
              <w:spacing w:before="20" w:after="20"/>
            </w:pPr>
            <w:r>
              <w:rPr>
                <w:sz w:val="19"/>
              </w:rPr>
              <w:t>Ce qui est mal compris, ce qui a déjà causé des erreurs, ce que l'application ne fait pas.</w:t>
            </w:r>
          </w:p>
        </w:tc>
      </w:tr>
    </w:tbl>
    <w:p/>
    <w:p>
      <w:pPr>
        <w:pStyle w:val="Heading1"/>
      </w:pPr>
      <w:r>
        <w:t>1. Objet de l'interface</w:t>
      </w:r>
    </w:p>
    <w:p>
      <w:pPr/>
      <w:r>
        <w:t>L'interface Types de document sert à décrire les genres de documents que l'entreprise manipule — une facture, un contrat, un compte rendu de réunion — et à rattacher à chacun tout ce qui doit être décidé une fois pour toutes : où le ranger, quelles informations en attendre, quels formats de fichier accepter, et quelle taille maximale tolérer.</w:t>
      </w:r>
    </w:p>
    <w:p>
      <w:pPr/>
      <w:r>
        <w:t>C'est la pièce qui relie tout le paramétrage. Son rôle se comprend par son effet à l'autre bout de la chaîne : au moment de déposer un document, l'opérateur n'a qu'un seul choix à faire, celui du type. Ce choix unique décide, sans qu'il en ait conscience, du dossier de rangement, du circuit de validation, des champs à renseigner, du nom que portera le document, des formats acceptés et du poids maximal. Tout le reste découle.</w:t>
      </w:r>
    </w:p>
    <w:p>
      <w:pPr>
        <w:spacing w:before="0" w:after="0"/>
        <w:ind w:left="113"/>
      </w:pPr>
      <w:r>
        <w:rPr>
          <w:rFonts w:ascii="Consolas" w:hAnsi="Consolas" w:cs="Consolas"/>
          <w:sz w:val="18"/>
        </w:rPr>
        <w:t xml:space="preserve">  CE QU'UN TYPE DE DOCUMENT APPORTE AU DÉPÔT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TYPE DE DOCUMENT « Facture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              v                 v                v</w:t>
      </w:r>
    </w:p>
    <w:p>
      <w:pPr>
        <w:spacing w:before="0" w:after="0"/>
        <w:ind w:left="113"/>
      </w:pPr>
      <w:r>
        <w:rPr>
          <w:rFonts w:ascii="Consolas" w:hAnsi="Consolas" w:cs="Consolas"/>
          <w:sz w:val="18"/>
        </w:rPr>
        <w:t xml:space="preserve">   Espace de       Plan            Formats de         Taille</w:t>
      </w:r>
    </w:p>
    <w:p>
      <w:pPr>
        <w:spacing w:before="0" w:after="0"/>
        <w:ind w:left="113"/>
      </w:pPr>
      <w:r>
        <w:rPr>
          <w:rFonts w:ascii="Consolas" w:hAnsi="Consolas" w:cs="Consolas"/>
          <w:sz w:val="18"/>
        </w:rPr>
        <w:t xml:space="preserve">   travail         d'indexation    fichier            maximale</w:t>
      </w:r>
    </w:p>
    <w:p>
      <w:pPr>
        <w:spacing w:before="0" w:after="0"/>
        <w:ind w:left="113"/>
      </w:pPr>
      <w:r>
        <w:rPr>
          <w:rFonts w:ascii="Consolas" w:hAnsi="Consolas" w:cs="Consolas"/>
          <w:sz w:val="18"/>
        </w:rPr>
        <w:t xml:space="preserve">        |              |                 |                |</w:t>
      </w:r>
    </w:p>
    <w:p>
      <w:pPr>
        <w:spacing w:before="0" w:after="0"/>
        <w:ind w:left="113"/>
      </w:pPr>
      <w:r>
        <w:rPr>
          <w:rFonts w:ascii="Consolas" w:hAnsi="Consolas" w:cs="Consolas"/>
          <w:sz w:val="18"/>
        </w:rPr>
        <w:t xml:space="preserve">   où ranger      quelles infos     ce qui est       ce qui est</w:t>
      </w:r>
    </w:p>
    <w:p>
      <w:pPr>
        <w:spacing w:before="0" w:after="0"/>
        <w:ind w:left="113"/>
      </w:pPr>
      <w:r>
        <w:rPr>
          <w:rFonts w:ascii="Consolas" w:hAnsi="Consolas" w:cs="Consolas"/>
          <w:sz w:val="18"/>
        </w:rPr>
        <w:t xml:space="preserve">   + quel         + quel nom        accepté          refusé</w:t>
      </w:r>
    </w:p>
    <w:p>
      <w:pPr>
        <w:spacing w:before="0" w:after="0"/>
        <w:ind w:left="113"/>
      </w:pPr>
      <w:r>
        <w:rPr>
          <w:rFonts w:ascii="Consolas" w:hAnsi="Consolas" w:cs="Consolas"/>
          <w:sz w:val="18"/>
        </w:rPr>
        <w:t xml:space="preserve">   circuit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L'opérateur choisit « Facture ». Il a choisi les quatre à la fois.</w:t>
      </w:r>
    </w:p>
    <w:p>
      <w:pPr>
        <w:spacing w:after="40"/>
      </w:pPr>
    </w:p>
    <w:p>
      <w:pPr/>
      <w:r>
        <w:t>Le type occupe la troisième place dans la chaîne de paramétrage. Il consomme un espace de travail et, facultativement, un plan d'indexation. Il est le premier choix de l'écran de dépôt, et une colonne de la liste des documents.</w:t>
      </w:r>
    </w:p>
    <w:p>
      <w:pPr>
        <w:spacing w:before="0" w:after="0"/>
        <w:ind w:left="113"/>
      </w:pPr>
      <w:r>
        <w:rPr>
          <w:rFonts w:ascii="Consolas" w:hAnsi="Consolas" w:cs="Consolas"/>
          <w:sz w:val="18"/>
        </w:rPr>
        <w:t xml:space="preserve">   [06] INDEX --&gt; [07] PLAN D'INDEXATION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[04] RÈGLE DE WORKFLOW --+              +--&gt; [08] TYPE DE DOCUMENT --&gt; [11] DÉPÔT</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+--&gt; [03] ESPACE DE TRAVAIL</w:t>
      </w:r>
    </w:p>
    <w:p>
      <w:pPr>
        <w:spacing w:after="40"/>
      </w:pPr>
    </w:p>
    <w:p>
      <w:pPr>
        <w:pStyle w:val="Heading1"/>
      </w:pPr>
      <w:r>
        <w:t>2. Les notions manipulées</w:t>
      </w:r>
    </w:p>
    <w:p>
      <w:pPr>
        <w:pStyle w:val="Heading2"/>
      </w:pPr>
      <w:r>
        <w:t>2.1 Le type de document et l'espace de travail</w:t>
      </w:r>
    </w:p>
    <w:p>
      <w:pPr/>
      <w:r>
        <w:t>L'espace de travail est le dossier où les documents sont physiquement rangés. Le type de document est le genre de document que ce dossier reçoit. Un type appartient à un seul espace de travail, et cette appartenance est obligatoire : c'est elle qui répond à la question « où va ce document ». Un même espace de travail peut en revanche recevoir plusieurs types : le dossier « Comptabilité » accueillera aussi bien des factures que des relevés.</w:t>
      </w:r>
    </w:p>
    <w:p>
      <w:pPr>
        <w:pStyle w:val="Heading2"/>
      </w:pPr>
      <w:r>
        <w:t>2.2 Le type de document et le plan d'indexation</w:t>
      </w:r>
    </w:p>
    <w:p>
      <w:pPr/>
      <w:r>
        <w:t>Le plan décrit les informations attendues et la façon de composer le nom. Le type le désigne, mais ne le contient pas : le même plan peut servir plusieurs types. Cette désignation est facultative, et son absence est un cas valide et fréquent, développé au chapitre 8.</w:t>
      </w:r>
    </w:p>
    <w:p>
      <w:pPr>
        <w:pStyle w:val="Heading2"/>
      </w:pPr>
      <w:r>
        <w:t>2.3 Le libellé du type et sa description</w:t>
      </w:r>
    </w:p>
    <w:p>
      <w:pPr/>
      <w:r>
        <w:t>Le libellé est le mot que l'opérateur lira dans la liste déroulante du dépôt. La description est la phrase qui explique ce que ce mot recouvre. C'est le seul écran de paramétrage où la description est obligatoire, et la raison est fonctionnelle : le type est la seule chose que l'opérateur décide au dépôt. Un intitulé ambigu — « Divers », « Document 2 », « Autres » — produit un classement faux à chaque dépôt, et l'erreur se répète indéfiniment sans que personne ne la remarque.</w:t>
      </w:r>
    </w:p>
    <w:p>
      <w:pPr>
        <w:pStyle w:val="Heading2"/>
      </w:pPr>
      <w:r>
        <w:t>2.4 Les formats autorisés et la taille maximale</w:t>
      </w:r>
    </w:p>
    <w:p>
      <w:pPr/>
      <w:r>
        <w:t>Ces deux réglages forment le filtre d'entrée du type. Les formats autorisés énumèrent les extensions de fichier acceptées ; la taille maximale plafonne le poids en mégaoctets. Ils ne décrivent pas le document, ils protègent le fonds documentaire : des formats laissés ouverts font entrer des fichiers qu'aucun outil de l'entreprise ne sait relire dix ans plus tard, et une taille laissée haute fait entrer des scans bruts qui saturent le stockage.</w:t>
      </w:r>
    </w:p>
    <w:p>
      <w:pPr>
        <w:pStyle w:val="Heading2"/>
      </w:pPr>
      <w:r>
        <w:t>2.5 La fiche du type et le formulaire du type</w:t>
      </w:r>
    </w:p>
    <w:p>
      <w:pPr/>
      <w:r>
        <w:t>Deux vues coexistent et se confondent facilement. La fiche est une page de consultation, en lecture seule, qui présente le paramétrage sous forme de cartouches. Le formulaire est une fenêtre de saisie, ouverte depuis la liste ou depuis la fiche, qui permet de modifier. La fiche n'est pas modifiable directement : elle porte un bouton « Modifier » qui ouvre le formulaire par-dessus.</w:t>
      </w:r>
    </w:p>
    <w:p>
      <w:pPr>
        <w:pStyle w:val="Heading2"/>
      </w:pPr>
      <w:r>
        <w:t>2.6 Le type et le document</w:t>
      </w:r>
    </w:p>
    <w:p>
      <w:pPr/>
      <w:r>
        <w:t>Le type est un modèle ; le document est une occurrence. Créer un type de document ne crée aucun document. À l'inverse, supprimer un type ne supprime aucun document : les documents déjà déposés conservent leur rattachement, ils cessent simplement d'être rejoints par de nouveaux.</w:t>
      </w:r>
    </w:p>
    <w:p>
      <w:pPr>
        <w:pStyle w:val="Heading1"/>
      </w:pPr>
      <w:r>
        <w:t>3. Ce que l'utilisateur voit</w:t>
      </w:r>
    </w:p>
    <w:p>
      <w:pPr>
        <w:pStyle w:val="Heading2"/>
      </w:pPr>
      <w:r>
        <w:t>3.1 L'écran de liste</w:t>
      </w:r>
    </w:p>
    <w:p>
      <w:pPr/>
      <w:r>
        <w:t>En haut à gauche, le titre « Type de document » et le fil d'ariane « Accueil - Listes des Types de document ». En haut à droite, le bouton « Créer un type ». La barre d'outils reprend le dispositif commun : recherche, bouton « Sélectionner », sélecteur de colonnes, bouton « Rafraîchir », bascule « Archive » / « Actifs », et bouton d'action groupée conditionné à la présence d'une ligne cochée.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Colonne</w:t>
            </w:r>
          </w:p>
        </w:tc>
        <w:tc>
          <w:tcPr>
            <w:tcW w:type="dxa" w:w="3213"/>
          </w:tcPr>
          <w:p>
            <w:pPr>
              <w:spacing w:before="20" w:after="20"/>
            </w:pPr>
            <w:r>
              <w:rPr>
                <w:b/>
                <w:sz w:val="19"/>
              </w:rPr>
              <w:t>Contenu affiché</w:t>
            </w:r>
          </w:p>
        </w:tc>
        <w:tc>
          <w:tcPr>
            <w:tcW w:type="dxa" w:w="3213"/>
          </w:tcPr>
          <w:p>
            <w:pPr>
              <w:spacing w:before="20" w:after="20"/>
            </w:pPr>
            <w:r>
              <w:rPr>
                <w:b/>
                <w:sz w:val="19"/>
              </w:rPr>
              <w:t>Ce qu'elle apprend</w:t>
            </w:r>
          </w:p>
        </w:tc>
      </w:tr>
      <w:tr>
        <w:tc>
          <w:tcPr>
            <w:tcW w:type="dxa" w:w="3213"/>
          </w:tcPr>
          <w:p>
            <w:pPr>
              <w:spacing w:before="20" w:after="20"/>
            </w:pPr>
            <w:r>
              <w:rPr>
                <w:sz w:val="19"/>
              </w:rPr>
              <w:t>ID</w:t>
            </w:r>
          </w:p>
        </w:tc>
        <w:tc>
          <w:tcPr>
            <w:tcW w:type="dxa" w:w="3213"/>
          </w:tcPr>
          <w:p>
            <w:pPr>
              <w:spacing w:before="20" w:after="20"/>
            </w:pPr>
            <w:r>
              <w:rPr>
                <w:sz w:val="19"/>
              </w:rPr>
              <w:t>Le numéro interne du type.</w:t>
            </w:r>
          </w:p>
        </w:tc>
        <w:tc>
          <w:tcPr>
            <w:tcW w:type="dxa" w:w="3213"/>
          </w:tcPr>
          <w:p>
            <w:pPr>
              <w:spacing w:before="20" w:after="20"/>
            </w:pPr>
            <w:r>
              <w:rPr>
                <w:sz w:val="19"/>
              </w:rPr>
              <w:t>Repère de contrôle, sans portée métier.</w:t>
            </w:r>
          </w:p>
        </w:tc>
      </w:tr>
      <w:tr>
        <w:tc>
          <w:tcPr>
            <w:tcW w:type="dxa" w:w="3213"/>
          </w:tcPr>
          <w:p>
            <w:pPr>
              <w:spacing w:before="20" w:after="20"/>
            </w:pPr>
            <w:r>
              <w:rPr>
                <w:sz w:val="19"/>
              </w:rPr>
              <w:t>Code</w:t>
            </w:r>
          </w:p>
        </w:tc>
        <w:tc>
          <w:tcPr>
            <w:tcW w:type="dxa" w:w="3213"/>
          </w:tcPr>
          <w:p>
            <w:pPr>
              <w:spacing w:before="20" w:after="20"/>
            </w:pPr>
            <w:r>
              <w:rPr>
                <w:sz w:val="19"/>
              </w:rPr>
              <w:t>Le code du type.</w:t>
            </w:r>
          </w:p>
        </w:tc>
        <w:tc>
          <w:tcPr>
            <w:tcW w:type="dxa" w:w="3213"/>
          </w:tcPr>
          <w:p>
            <w:pPr>
              <w:spacing w:before="20" w:after="20"/>
            </w:pPr>
            <w:r>
              <w:rPr>
                <w:sz w:val="19"/>
              </w:rPr>
              <w:t>Identifiant stable, unique dans l'application.</w:t>
            </w:r>
          </w:p>
        </w:tc>
      </w:tr>
      <w:tr>
        <w:tc>
          <w:tcPr>
            <w:tcW w:type="dxa" w:w="3213"/>
          </w:tcPr>
          <w:p>
            <w:pPr>
              <w:spacing w:before="20" w:after="20"/>
            </w:pPr>
            <w:r>
              <w:rPr>
                <w:sz w:val="19"/>
              </w:rPr>
              <w:t>Type de document</w:t>
            </w:r>
          </w:p>
        </w:tc>
        <w:tc>
          <w:tcPr>
            <w:tcW w:type="dxa" w:w="3213"/>
          </w:tcPr>
          <w:p>
            <w:pPr>
              <w:spacing w:before="20" w:after="20"/>
            </w:pPr>
            <w:r>
              <w:rPr>
                <w:sz w:val="19"/>
              </w:rPr>
              <w:t>Le libellé, précédé du glyphe des types, présenté comme un lien.</w:t>
            </w:r>
          </w:p>
        </w:tc>
        <w:tc>
          <w:tcPr>
            <w:tcW w:type="dxa" w:w="3213"/>
          </w:tcPr>
          <w:p>
            <w:pPr>
              <w:spacing w:before="20" w:after="20"/>
            </w:pPr>
            <w:r>
              <w:rPr>
                <w:sz w:val="19"/>
              </w:rPr>
              <w:t>C'est le mot que l'opérateur verra au dépôt. Le lien conduit à la fiche du type. C'est la seule colonne sur laquelle la recherche opère.</w:t>
            </w:r>
          </w:p>
        </w:tc>
      </w:tr>
      <w:tr>
        <w:tc>
          <w:tcPr>
            <w:tcW w:type="dxa" w:w="3213"/>
          </w:tcPr>
          <w:p>
            <w:pPr>
              <w:spacing w:before="20" w:after="20"/>
            </w:pPr>
            <w:r>
              <w:rPr>
                <w:sz w:val="19"/>
              </w:rPr>
              <w:t>Plan d'indexation</w:t>
            </w:r>
          </w:p>
        </w:tc>
        <w:tc>
          <w:tcPr>
            <w:tcW w:type="dxa" w:w="3213"/>
          </w:tcPr>
          <w:p>
            <w:pPr>
              <w:spacing w:before="20" w:after="20"/>
            </w:pPr>
            <w:r>
              <w:rPr>
                <w:sz w:val="19"/>
              </w:rPr>
              <w:t>Le nom du plan rattaché, ou un tiret long si aucun.</w:t>
            </w:r>
          </w:p>
        </w:tc>
        <w:tc>
          <w:tcPr>
            <w:tcW w:type="dxa" w:w="3213"/>
          </w:tcPr>
          <w:p>
            <w:pPr>
              <w:spacing w:before="20" w:after="20"/>
            </w:pPr>
            <w:r>
              <w:rPr>
                <w:sz w:val="19"/>
              </w:rPr>
              <w:t>Annonce si le dépôt demandera des informations structurées. Un tiret long signifie que le document sera déposé sans aucun index.</w:t>
            </w:r>
          </w:p>
        </w:tc>
      </w:tr>
      <w:tr>
        <w:tc>
          <w:tcPr>
            <w:tcW w:type="dxa" w:w="3213"/>
          </w:tcPr>
          <w:p>
            <w:pPr>
              <w:spacing w:before="20" w:after="20"/>
            </w:pPr>
            <w:r>
              <w:rPr>
                <w:sz w:val="19"/>
              </w:rPr>
              <w:t>Description</w:t>
            </w:r>
          </w:p>
        </w:tc>
        <w:tc>
          <w:tcPr>
            <w:tcW w:type="dxa" w:w="3213"/>
          </w:tcPr>
          <w:p>
            <w:pPr>
              <w:spacing w:before="20" w:after="20"/>
            </w:pPr>
            <w:r>
              <w:rPr>
                <w:sz w:val="19"/>
              </w:rPr>
              <w:t>Le texte de description, ou un tiret long.</w:t>
            </w:r>
          </w:p>
        </w:tc>
        <w:tc>
          <w:tcPr>
            <w:tcW w:type="dxa" w:w="3213"/>
          </w:tcPr>
          <w:p>
            <w:pPr>
              <w:spacing w:before="20" w:after="20"/>
            </w:pPr>
            <w:r>
              <w:rPr>
                <w:sz w:val="19"/>
              </w:rPr>
              <w:t>C'est ce qui permet de distinguer deux types dont les libellés se ressemblent.</w:t>
            </w:r>
          </w:p>
        </w:tc>
      </w:tr>
      <w:tr>
        <w:tc>
          <w:tcPr>
            <w:tcW w:type="dxa" w:w="3213"/>
          </w:tcPr>
          <w:p>
            <w:pPr>
              <w:spacing w:before="20" w:after="20"/>
            </w:pPr>
            <w:r>
              <w:rPr>
                <w:sz w:val="19"/>
              </w:rPr>
              <w:t>Espace de travail</w:t>
            </w:r>
          </w:p>
        </w:tc>
        <w:tc>
          <w:tcPr>
            <w:tcW w:type="dxa" w:w="3213"/>
          </w:tcPr>
          <w:p>
            <w:pPr>
              <w:spacing w:before="20" w:after="20"/>
            </w:pPr>
            <w:r>
              <w:rPr>
                <w:sz w:val="19"/>
              </w:rPr>
              <w:t>Le nom du dossier de rattachement.</w:t>
            </w:r>
          </w:p>
        </w:tc>
        <w:tc>
          <w:tcPr>
            <w:tcW w:type="dxa" w:w="3213"/>
          </w:tcPr>
          <w:p>
            <w:pPr>
              <w:spacing w:before="20" w:after="20"/>
            </w:pPr>
            <w:r>
              <w:rPr>
                <w:sz w:val="19"/>
              </w:rPr>
              <w:t>Dit où iront les documents de ce type. Détermine aussi le circuit de validation, puisque celui-ci est porté par l'espace.</w:t>
            </w:r>
          </w:p>
        </w:tc>
      </w:tr>
      <w:tr>
        <w:tc>
          <w:tcPr>
            <w:tcW w:type="dxa" w:w="3213"/>
          </w:tcPr>
          <w:p>
            <w:pPr>
              <w:spacing w:before="20" w:after="20"/>
            </w:pPr>
            <w:r>
              <w:rPr>
                <w:sz w:val="19"/>
              </w:rPr>
              <w:t>Types autorisés</w:t>
            </w:r>
          </w:p>
        </w:tc>
        <w:tc>
          <w:tcPr>
            <w:tcW w:type="dxa" w:w="3213"/>
          </w:tcPr>
          <w:p>
            <w:pPr>
              <w:spacing w:before="20" w:after="20"/>
            </w:pPr>
            <w:r>
              <w:rPr>
                <w:sz w:val="19"/>
              </w:rPr>
              <w:t>Un glyphe par format accepté ; l'extension apparaît en infobulle et comme libellé accessible.</w:t>
            </w:r>
          </w:p>
        </w:tc>
        <w:tc>
          <w:tcPr>
            <w:tcW w:type="dxa" w:w="3213"/>
          </w:tcPr>
          <w:p>
            <w:pPr>
              <w:spacing w:before="20" w:after="20"/>
            </w:pPr>
            <w:r>
              <w:rPr>
                <w:sz w:val="19"/>
              </w:rPr>
              <w:t>Se lit d'un coup d'œil à la forme des glyphes : les tableurs se distinguent des documents texte et des PDF. Un tiret long signale un type sans format déclaré.</w:t>
            </w:r>
          </w:p>
        </w:tc>
      </w:tr>
      <w:tr>
        <w:tc>
          <w:tcPr>
            <w:tcW w:type="dxa" w:w="3213"/>
          </w:tcPr>
          <w:p>
            <w:pPr>
              <w:spacing w:before="20" w:after="20"/>
            </w:pPr>
            <w:r>
              <w:rPr>
                <w:sz w:val="19"/>
              </w:rPr>
              <w:t>Taille max</w:t>
            </w:r>
          </w:p>
        </w:tc>
        <w:tc>
          <w:tcPr>
            <w:tcW w:type="dxa" w:w="3213"/>
          </w:tcPr>
          <w:p>
            <w:pPr>
              <w:spacing w:before="20" w:after="20"/>
            </w:pPr>
            <w:r>
              <w:rPr>
                <w:sz w:val="19"/>
              </w:rPr>
              <w:t>Le plafond exprimé en mégaoctets, par exemple « 10 Mo ».</w:t>
            </w:r>
          </w:p>
        </w:tc>
        <w:tc>
          <w:tcPr>
            <w:tcW w:type="dxa" w:w="3213"/>
          </w:tcPr>
          <w:p>
            <w:pPr>
              <w:spacing w:before="20" w:after="20"/>
            </w:pPr>
            <w:r>
              <w:rPr>
                <w:sz w:val="19"/>
              </w:rPr>
              <w:t>Annonce à partir de quel poids un fichier sera refusé.</w:t>
            </w:r>
          </w:p>
        </w:tc>
      </w:tr>
      <w:tr>
        <w:tc>
          <w:tcPr>
            <w:tcW w:type="dxa" w:w="3213"/>
          </w:tcPr>
          <w:p>
            <w:pPr>
              <w:spacing w:before="20" w:after="20"/>
            </w:pPr>
            <w:r>
              <w:rPr>
                <w:sz w:val="19"/>
              </w:rPr>
              <w:t>Actions</w:t>
            </w:r>
          </w:p>
        </w:tc>
        <w:tc>
          <w:tcPr>
            <w:tcW w:type="dxa" w:w="3213"/>
          </w:tcPr>
          <w:p>
            <w:pPr>
              <w:spacing w:before="20" w:after="20"/>
            </w:pPr>
            <w:r>
              <w:rPr>
                <w:sz w:val="19"/>
              </w:rPr>
              <w:t>En vue Actifs : ouvrir la fiche, modifier (crayon), supprimer (corbeille). En vue Archive : restaurer (flèches circulaires).</w:t>
            </w:r>
          </w:p>
        </w:tc>
        <w:tc>
          <w:tcPr>
            <w:tcW w:type="dxa" w:w="3213"/>
          </w:tcPr>
          <w:p>
            <w:pPr>
              <w:spacing w:before="20" w:after="20"/>
            </w:pPr>
            <w:r>
              <w:rPr>
                <w:sz w:val="19"/>
              </w:rPr>
              <w:t>Trois actions au lieu de deux : le type est le seul objet de ce lot à disposer d'une fiche de consultation.</w:t>
            </w:r>
          </w:p>
        </w:tc>
      </w:tr>
    </w:tbl>
    <w:p>
      <w:pPr>
        <w:spacing w:after="40"/>
      </w:pPr>
    </w:p>
    <w:p>
      <w:pPr/>
      <w:r>
        <w:t>Le choix d'afficher les formats sous forme de glyphes plutôt que d'étiquettes de texte répond à une contrainte de place : cinq étiquettes occupaient plus de largeur que le nom du type lui-même, pour une information que l'on saisit d'un regard à la forme du symbole. L'extension exacte reste accessible par l'infobulle.</w:t>
      </w:r>
    </w:p>
    <w:p>
      <w:pPr/>
      <w:r>
        <w:t>États vides : en vue Actifs, « Aucun type de document » suivi de « Créez un type pour définir ce qu'un dossier peut recevoir. » ; en vue Archive, « L'archive est vide » suivi de « Aucun type supprimé n'attend d'être restauré. ».</w:t>
      </w:r>
    </w:p>
    <w:p>
      <w:pPr/>
      <w:r>
        <w:t>Le pied de tableau est celui des autres listes. Le tri est accepté sur l'identifiant, le code, le libellé du type, l'espace de travail et la taille maximale ; il n'est pas proposé sur le plan d'indexation, la description ni les formats. Par défaut, les types les plus récents apparaissent en premier.</w:t>
      </w:r>
    </w:p>
    <w:p>
      <w:pPr>
        <w:pStyle w:val="Heading2"/>
      </w:pPr>
      <w:r>
        <w:t>3.2 La fiche d'un type</w:t>
      </w:r>
    </w:p>
    <w:p>
      <w:pPr/>
      <w:r>
        <w:t>Elle s'ouvre par le lien porté par le libellé du type, ou par l'action « Ouvrir la fiche » de la colonne Actions. L'en-tête affiche le nom du type comme titre de page, un fil d'ariane cliquable « Types de document » suivi du nom du type, et un bouton « Modifier ».</w:t>
      </w:r>
    </w:p>
    <w:p>
      <w:pPr/>
      <w:r>
        <w:t>Le corps de la fiche présente six cartouches, dans cet ordre imposé :</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Ordre</w:t>
            </w:r>
          </w:p>
        </w:tc>
        <w:tc>
          <w:tcPr>
            <w:tcW w:type="dxa" w:w="3213"/>
          </w:tcPr>
          <w:p>
            <w:pPr>
              <w:spacing w:before="20" w:after="20"/>
            </w:pPr>
            <w:r>
              <w:rPr>
                <w:b/>
                <w:sz w:val="19"/>
              </w:rPr>
              <w:t>Cartouche</w:t>
            </w:r>
          </w:p>
        </w:tc>
        <w:tc>
          <w:tcPr>
            <w:tcW w:type="dxa" w:w="3213"/>
          </w:tcPr>
          <w:p>
            <w:pPr>
              <w:spacing w:before="20" w:after="20"/>
            </w:pPr>
            <w:r>
              <w:rPr>
                <w:b/>
                <w:sz w:val="19"/>
              </w:rPr>
              <w:t>Contenu</w:t>
            </w:r>
          </w:p>
        </w:tc>
      </w:tr>
      <w:tr>
        <w:tc>
          <w:tcPr>
            <w:tcW w:type="dxa" w:w="3213"/>
          </w:tcPr>
          <w:p>
            <w:pPr>
              <w:spacing w:before="20" w:after="20"/>
            </w:pPr>
            <w:r>
              <w:rPr>
                <w:sz w:val="19"/>
              </w:rPr>
              <w:t>1</w:t>
            </w:r>
          </w:p>
        </w:tc>
        <w:tc>
          <w:tcPr>
            <w:tcW w:type="dxa" w:w="3213"/>
          </w:tcPr>
          <w:p>
            <w:pPr>
              <w:spacing w:before="20" w:after="20"/>
            </w:pPr>
            <w:r>
              <w:rPr>
                <w:sz w:val="19"/>
              </w:rPr>
              <w:t>Code</w:t>
            </w:r>
          </w:p>
        </w:tc>
        <w:tc>
          <w:tcPr>
            <w:tcW w:type="dxa" w:w="3213"/>
          </w:tcPr>
          <w:p>
            <w:pPr>
              <w:spacing w:before="20" w:after="20"/>
            </w:pPr>
            <w:r>
              <w:rPr>
                <w:sz w:val="19"/>
              </w:rPr>
              <w:t>Le code du type, en caractères à chasse fixe.</w:t>
            </w:r>
          </w:p>
        </w:tc>
      </w:tr>
      <w:tr>
        <w:tc>
          <w:tcPr>
            <w:tcW w:type="dxa" w:w="3213"/>
          </w:tcPr>
          <w:p>
            <w:pPr>
              <w:spacing w:before="20" w:after="20"/>
            </w:pPr>
            <w:r>
              <w:rPr>
                <w:sz w:val="19"/>
              </w:rPr>
              <w:t>2</w:t>
            </w:r>
          </w:p>
        </w:tc>
        <w:tc>
          <w:tcPr>
            <w:tcW w:type="dxa" w:w="3213"/>
          </w:tcPr>
          <w:p>
            <w:pPr>
              <w:spacing w:before="20" w:after="20"/>
            </w:pPr>
            <w:r>
              <w:rPr>
                <w:sz w:val="19"/>
              </w:rPr>
              <w:t>Espace de travail</w:t>
            </w:r>
          </w:p>
        </w:tc>
        <w:tc>
          <w:tcPr>
            <w:tcW w:type="dxa" w:w="3213"/>
          </w:tcPr>
          <w:p>
            <w:pPr>
              <w:spacing w:before="20" w:after="20"/>
            </w:pPr>
            <w:r>
              <w:rPr>
                <w:sz w:val="19"/>
              </w:rPr>
              <w:t>Le nom du dossier, présenté comme un lien conduisant à la fiche de ce dossier ; un tiret long si aucun.</w:t>
            </w:r>
          </w:p>
        </w:tc>
      </w:tr>
      <w:tr>
        <w:tc>
          <w:tcPr>
            <w:tcW w:type="dxa" w:w="3213"/>
          </w:tcPr>
          <w:p>
            <w:pPr>
              <w:spacing w:before="20" w:after="20"/>
            </w:pPr>
            <w:r>
              <w:rPr>
                <w:sz w:val="19"/>
              </w:rPr>
              <w:t>3</w:t>
            </w:r>
          </w:p>
        </w:tc>
        <w:tc>
          <w:tcPr>
            <w:tcW w:type="dxa" w:w="3213"/>
          </w:tcPr>
          <w:p>
            <w:pPr>
              <w:spacing w:before="20" w:after="20"/>
            </w:pPr>
            <w:r>
              <w:rPr>
                <w:sz w:val="19"/>
              </w:rPr>
              <w:t>Types autorisés</w:t>
            </w:r>
          </w:p>
        </w:tc>
        <w:tc>
          <w:tcPr>
            <w:tcW w:type="dxa" w:w="3213"/>
          </w:tcPr>
          <w:p>
            <w:pPr>
              <w:spacing w:before="20" w:after="20"/>
            </w:pPr>
            <w:r>
              <w:rPr>
                <w:sz w:val="19"/>
              </w:rPr>
              <w:t>Les extensions en clair, séparées par une barre oblique, par exemple « pdf / docx » ; un tiret long si aucune.</w:t>
            </w:r>
          </w:p>
        </w:tc>
      </w:tr>
      <w:tr>
        <w:tc>
          <w:tcPr>
            <w:tcW w:type="dxa" w:w="3213"/>
          </w:tcPr>
          <w:p>
            <w:pPr>
              <w:spacing w:before="20" w:after="20"/>
            </w:pPr>
            <w:r>
              <w:rPr>
                <w:sz w:val="19"/>
              </w:rPr>
              <w:t>4</w:t>
            </w:r>
          </w:p>
        </w:tc>
        <w:tc>
          <w:tcPr>
            <w:tcW w:type="dxa" w:w="3213"/>
          </w:tcPr>
          <w:p>
            <w:pPr>
              <w:spacing w:before="20" w:after="20"/>
            </w:pPr>
            <w:r>
              <w:rPr>
                <w:sz w:val="19"/>
              </w:rPr>
              <w:t>Taille maximale</w:t>
            </w:r>
          </w:p>
        </w:tc>
        <w:tc>
          <w:tcPr>
            <w:tcW w:type="dxa" w:w="3213"/>
          </w:tcPr>
          <w:p>
            <w:pPr>
              <w:spacing w:before="20" w:after="20"/>
            </w:pPr>
            <w:r>
              <w:rPr>
                <w:sz w:val="19"/>
              </w:rPr>
              <w:t>Le plafond suivi de l'unité, par exemple « 10 Mo ».</w:t>
            </w:r>
          </w:p>
        </w:tc>
      </w:tr>
      <w:tr>
        <w:tc>
          <w:tcPr>
            <w:tcW w:type="dxa" w:w="3213"/>
          </w:tcPr>
          <w:p>
            <w:pPr>
              <w:spacing w:before="20" w:after="20"/>
            </w:pPr>
            <w:r>
              <w:rPr>
                <w:sz w:val="19"/>
              </w:rPr>
              <w:t>5</w:t>
            </w:r>
          </w:p>
        </w:tc>
        <w:tc>
          <w:tcPr>
            <w:tcW w:type="dxa" w:w="3213"/>
          </w:tcPr>
          <w:p>
            <w:pPr>
              <w:spacing w:before="20" w:after="20"/>
            </w:pPr>
            <w:r>
              <w:rPr>
                <w:sz w:val="19"/>
              </w:rPr>
              <w:t>Plan d'indexation</w:t>
            </w:r>
          </w:p>
        </w:tc>
        <w:tc>
          <w:tcPr>
            <w:tcW w:type="dxa" w:w="3213"/>
          </w:tcPr>
          <w:p>
            <w:pPr>
              <w:spacing w:before="20" w:after="20"/>
            </w:pPr>
            <w:r>
              <w:rPr>
                <w:sz w:val="19"/>
              </w:rPr>
              <w:t>Le nom du plan, ou la mention « Aucun ».</w:t>
            </w:r>
          </w:p>
        </w:tc>
      </w:tr>
      <w:tr>
        <w:tc>
          <w:tcPr>
            <w:tcW w:type="dxa" w:w="3213"/>
          </w:tcPr>
          <w:p>
            <w:pPr>
              <w:spacing w:before="20" w:after="20"/>
            </w:pPr>
            <w:r>
              <w:rPr>
                <w:sz w:val="19"/>
              </w:rPr>
              <w:t>6</w:t>
            </w:r>
          </w:p>
        </w:tc>
        <w:tc>
          <w:tcPr>
            <w:tcW w:type="dxa" w:w="3213"/>
          </w:tcPr>
          <w:p>
            <w:pPr>
              <w:spacing w:before="20" w:after="20"/>
            </w:pPr>
            <w:r>
              <w:rPr>
                <w:sz w:val="19"/>
              </w:rPr>
              <w:t>Description</w:t>
            </w:r>
          </w:p>
        </w:tc>
        <w:tc>
          <w:tcPr>
            <w:tcW w:type="dxa" w:w="3213"/>
          </w:tcPr>
          <w:p>
            <w:pPr>
              <w:spacing w:before="20" w:after="20"/>
            </w:pPr>
            <w:r>
              <w:rPr>
                <w:sz w:val="19"/>
              </w:rPr>
              <w:t>Le texte de description, occupant toute la largeur.</w:t>
            </w:r>
          </w:p>
        </w:tc>
      </w:tr>
    </w:tbl>
    <w:p>
      <w:pPr>
        <w:spacing w:after="40"/>
      </w:pPr>
    </w:p>
    <w:p>
      <w:pPr/>
      <w:r>
        <w:t>Une distinction d'affichage est à retenir : un type sans plan affiche le mot « Aucun » dans la fiche, et un tiret long dans la colonne du tableau. Les deux disent la même chose ; la fiche l'énonce, la liste le signale.</w:t>
      </w:r>
    </w:p>
    <w:p>
      <w:pPr/>
      <w:r>
        <w:t>Pendant le chargement, la fiche affiche « Chargement… ». Si le type n'existe pas ou a été supprimé, elle affiche « Type de document introuvable » suivi de « Il a peut-être été supprimé. » et d'un lien « Revenir à la liste ».</w:t>
      </w:r>
    </w:p>
    <w:p>
      <w:pPr>
        <w:spacing w:before="0" w:after="0"/>
        <w:ind w:left="113"/>
      </w:pPr>
      <w:r>
        <w:rPr>
          <w:rFonts w:ascii="Consolas" w:hAnsi="Consolas" w:cs="Consolas"/>
          <w:sz w:val="18"/>
        </w:rPr>
        <w:t xml:space="preserve">  FICHE D'UN TYPE DE DOCUMENT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Facture                                                   [ Modifier ]  |</w:t>
      </w:r>
    </w:p>
    <w:p>
      <w:pPr>
        <w:spacing w:before="0" w:after="0"/>
        <w:ind w:left="113"/>
      </w:pPr>
      <w:r>
        <w:rPr>
          <w:rFonts w:ascii="Consolas" w:hAnsi="Consolas" w:cs="Consolas"/>
          <w:sz w:val="18"/>
        </w:rPr>
        <w:t xml:space="preserve">  |  Types de document · Facture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  +-------------------+  +--------------------+          |</w:t>
      </w:r>
    </w:p>
    <w:p>
      <w:pPr>
        <w:spacing w:before="0" w:after="0"/>
        <w:ind w:left="113"/>
      </w:pPr>
      <w:r>
        <w:rPr>
          <w:rFonts w:ascii="Consolas" w:hAnsi="Consolas" w:cs="Consolas"/>
          <w:sz w:val="18"/>
        </w:rPr>
        <w:t xml:space="preserve">  |  |  TD-FACT    |  |  Comptabilité     |  |  pdf / docx        |          |</w:t>
      </w:r>
    </w:p>
    <w:p>
      <w:pPr>
        <w:spacing w:before="0" w:after="0"/>
        <w:ind w:left="113"/>
      </w:pPr>
      <w:r>
        <w:rPr>
          <w:rFonts w:ascii="Consolas" w:hAnsi="Consolas" w:cs="Consolas"/>
          <w:sz w:val="18"/>
        </w:rPr>
        <w:t xml:space="preserve">  |  |  Code       |  |  Espace de travail|  |  Types autorisés   |          |</w:t>
      </w:r>
    </w:p>
    <w:p>
      <w:pPr>
        <w:spacing w:before="0" w:after="0"/>
        <w:ind w:left="113"/>
      </w:pPr>
      <w:r>
        <w:rPr>
          <w:rFonts w:ascii="Consolas" w:hAnsi="Consolas" w:cs="Consolas"/>
          <w:sz w:val="18"/>
        </w:rPr>
        <w:t xml:space="preserve">  |  +-------------+  +-------------------+  +--------------------+          |</w:t>
      </w:r>
    </w:p>
    <w:p>
      <w:pPr>
        <w:spacing w:before="0" w:after="0"/>
        <w:ind w:left="113"/>
      </w:pPr>
      <w:r>
        <w:rPr>
          <w:rFonts w:ascii="Consolas" w:hAnsi="Consolas" w:cs="Consolas"/>
          <w:sz w:val="18"/>
        </w:rPr>
        <w:t xml:space="preserve">  |  +-------------+  +-------------------+                                  |</w:t>
      </w:r>
    </w:p>
    <w:p>
      <w:pPr>
        <w:spacing w:before="0" w:after="0"/>
        <w:ind w:left="113"/>
      </w:pPr>
      <w:r>
        <w:rPr>
          <w:rFonts w:ascii="Consolas" w:hAnsi="Consolas" w:cs="Consolas"/>
          <w:sz w:val="18"/>
        </w:rPr>
        <w:t xml:space="preserve">  |  |  10 Mo      |  |  Fiche Facture    |                                  |</w:t>
      </w:r>
    </w:p>
    <w:p>
      <w:pPr>
        <w:spacing w:before="0" w:after="0"/>
        <w:ind w:left="113"/>
      </w:pPr>
      <w:r>
        <w:rPr>
          <w:rFonts w:ascii="Consolas" w:hAnsi="Consolas" w:cs="Consolas"/>
          <w:sz w:val="18"/>
        </w:rPr>
        <w:t xml:space="preserve">  |  |  Taille max.|  |  Plan d'indexation|                                  |</w:t>
      </w:r>
    </w:p>
    <w:p>
      <w:pPr>
        <w:spacing w:before="0" w:after="0"/>
        <w:ind w:left="113"/>
      </w:pPr>
      <w:r>
        <w:rPr>
          <w:rFonts w:ascii="Consolas" w:hAnsi="Consolas" w:cs="Consolas"/>
          <w:sz w:val="18"/>
        </w:rPr>
        <w:t xml:space="preserve">  |  +-------------+  +-------------------+                                  |</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  |  Factures fournisseurs et clients                                  |  |</w:t>
      </w:r>
    </w:p>
    <w:p>
      <w:pPr>
        <w:spacing w:before="0" w:after="0"/>
        <w:ind w:left="113"/>
      </w:pPr>
      <w:r>
        <w:rPr>
          <w:rFonts w:ascii="Consolas" w:hAnsi="Consolas" w:cs="Consolas"/>
          <w:sz w:val="18"/>
        </w:rPr>
        <w:t xml:space="preserve">  |  |  Description                                                       |  |</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w:t>
      </w:r>
    </w:p>
    <w:p>
      <w:pPr>
        <w:spacing w:after="40"/>
      </w:pPr>
    </w:p>
    <w:p>
      <w:pPr>
        <w:pStyle w:val="Heading2"/>
      </w:pPr>
      <w:r>
        <w:t>3.3 Le formulaire</w:t>
      </w:r>
    </w:p>
    <w:p>
      <w:pPr/>
      <w:r>
        <w:t>Le formulaire s'ouvre en fenêtre modale, intitulée « Créer un type de document » ou « Modifier le type de document ». Il présente sept champs répartis sur quatre lignes : le code et le libellé côte à côte, la description sur toute la largeur, l'espace de travail et le plan d'indexation côte à côte, les formats et la taille maximale côte à côte. Les boutons sont « Annuler » et, selon le cas, « Ajouter » ou « Mettre à jour ».</w:t>
      </w:r>
    </w:p>
    <w:p>
      <w:pPr>
        <w:pStyle w:val="Heading1"/>
      </w:pPr>
      <w:r>
        <w:t>4. Le processus, étape par étape</w:t>
      </w:r>
    </w:p>
    <w:p>
      <w:pPr>
        <w:pStyle w:val="Heading2"/>
      </w:pPr>
      <w:r>
        <w:t>4.1 Parcours A — créer un type de document</w:t>
      </w:r>
    </w:p>
    <w:p>
      <w:pPr>
        <w:pStyle w:val="ListNumber"/>
        <w:numPr>
          <w:ilvl w:val="0"/>
          <w:numId w:val="10"/>
        </w:numPr>
      </w:pPr>
      <w:r>
        <w:t>L'utilisateur clique sur « Créer un type ». L'application ouvre la fenêtre de saisie, vide, avec un seul champ pré-rempli : la taille maximale, positionnée à 10.</w:t>
      </w:r>
    </w:p>
    <w:p>
      <w:pPr>
        <w:pStyle w:val="ListNumber"/>
        <w:numPr>
          <w:ilvl w:val="0"/>
          <w:numId w:val="10"/>
        </w:numPr>
      </w:pPr>
      <w:r>
        <w:t>En arrière-plan, l'application charge la liste des espaces de travail et celle des plans d'indexation, afin d'alimenter les deux sélecteurs.</w:t>
      </w:r>
    </w:p>
    <w:p>
      <w:pPr>
        <w:pStyle w:val="ListNumber"/>
        <w:numPr>
          <w:ilvl w:val="0"/>
          <w:numId w:val="10"/>
        </w:numPr>
      </w:pPr>
      <w:r>
        <w:t>L'utilisateur saisit le code, par exemple TD-FACT, puis le libellé du type, par exemple Facture.</w:t>
      </w:r>
    </w:p>
    <w:p>
      <w:pPr>
        <w:pStyle w:val="ListNumber"/>
        <w:numPr>
          <w:ilvl w:val="0"/>
          <w:numId w:val="10"/>
        </w:numPr>
      </w:pPr>
      <w:r>
        <w:t>Il rédige la description. Ce champ est une zone de texte sur deux lignes, portant l'invite « Entrez une description ». Il est obligatoire.</w:t>
      </w:r>
    </w:p>
    <w:p>
      <w:pPr>
        <w:pStyle w:val="ListNumber"/>
        <w:numPr>
          <w:ilvl w:val="0"/>
          <w:numId w:val="10"/>
        </w:numPr>
      </w:pPr>
      <w:r>
        <w:t>Il choisit l'espace de travail dans la liste déroulante. Ce choix est obligatoire : il détermine le rangement et, par voie de conséquence, le circuit de validation.</w:t>
      </w:r>
    </w:p>
    <w:p>
      <w:pPr>
        <w:pStyle w:val="ListNumber"/>
        <w:numPr>
          <w:ilvl w:val="0"/>
          <w:numId w:val="10"/>
        </w:numPr>
      </w:pPr>
      <w:r>
        <w:t>Il choisit éventuellement un plan d'indexation. La liste propose en première position l'entrée « — Aucun — », qui constitue un choix valide.</w:t>
      </w:r>
    </w:p>
    <w:p>
      <w:pPr>
        <w:pStyle w:val="ListNumber"/>
        <w:numPr>
          <w:ilvl w:val="0"/>
          <w:numId w:val="10"/>
        </w:numPr>
      </w:pPr>
      <w:r>
        <w:t>Il coche les formats de fichier acceptés parmi PDF, DOCX, DOC, XLSX et XLS. Au moins un format est requis.</w:t>
      </w:r>
    </w:p>
    <w:p>
      <w:pPr>
        <w:pStyle w:val="ListNumber"/>
        <w:numPr>
          <w:ilvl w:val="0"/>
          <w:numId w:val="10"/>
        </w:numPr>
      </w:pPr>
      <w:r>
        <w:t>Il ajuste éventuellement la taille maximale. La valeur ne peut pas descendre en dessous de 5.</w:t>
      </w:r>
    </w:p>
    <w:p>
      <w:pPr>
        <w:pStyle w:val="ListNumber"/>
        <w:numPr>
          <w:ilvl w:val="0"/>
          <w:numId w:val="10"/>
        </w:numPr>
      </w:pPr>
      <w:r>
        <w:t>Il clique sur « Ajouter ». Le bouton affiche « Enregistrement… » pendant le traitement.</w:t>
      </w:r>
    </w:p>
    <w:p>
      <w:pPr>
        <w:pStyle w:val="ListNumber"/>
        <w:numPr>
          <w:ilvl w:val="0"/>
          <w:numId w:val="10"/>
        </w:numPr>
      </w:pPr>
      <w:r>
        <w:t>L'application enregistre, referme la fenêtre, recharge la liste et affiche « Type de document créé. ».</w:t>
      </w:r>
    </w:p>
    <w:p>
      <w:pPr>
        <w:spacing w:before="0" w:after="0"/>
        <w:ind w:left="113"/>
      </w:pPr>
      <w:r>
        <w:rPr>
          <w:rFonts w:ascii="Consolas" w:hAnsi="Consolas" w:cs="Consolas"/>
          <w:sz w:val="18"/>
        </w:rPr>
        <w:t xml:space="preserve">  PARCOURS A — création d'un type de document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[Créer un type]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Créer un type de document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 Code *          ]      [ Type de document *            ]   |</w:t>
      </w:r>
    </w:p>
    <w:p>
      <w:pPr>
        <w:spacing w:before="0" w:after="0"/>
        <w:ind w:left="113"/>
      </w:pPr>
      <w:r>
        <w:rPr>
          <w:rFonts w:ascii="Consolas" w:hAnsi="Consolas" w:cs="Consolas"/>
          <w:sz w:val="18"/>
        </w:rPr>
        <w:t xml:space="preserve">   | [ Description *                                          ]   |</w:t>
      </w:r>
    </w:p>
    <w:p>
      <w:pPr>
        <w:spacing w:before="0" w:after="0"/>
        <w:ind w:left="113"/>
      </w:pPr>
      <w:r>
        <w:rPr>
          <w:rFonts w:ascii="Consolas" w:hAnsi="Consolas" w:cs="Consolas"/>
          <w:sz w:val="18"/>
        </w:rPr>
        <w:t xml:space="preserve">   | [ Espace de travail * v] [ Plan d'indexation           v ]   |</w:t>
      </w:r>
    </w:p>
    <w:p>
      <w:pPr>
        <w:spacing w:before="0" w:after="0"/>
        <w:ind w:left="113"/>
      </w:pPr>
      <w:r>
        <w:rPr>
          <w:rFonts w:ascii="Consolas" w:hAnsi="Consolas" w:cs="Consolas"/>
          <w:sz w:val="18"/>
        </w:rPr>
        <w:t xml:space="preserve">   |                          -&gt; 1re entrée : « — Aucun — »       |</w:t>
      </w:r>
    </w:p>
    <w:p>
      <w:pPr>
        <w:spacing w:before="0" w:after="0"/>
        <w:ind w:left="113"/>
      </w:pPr>
      <w:r>
        <w:rPr>
          <w:rFonts w:ascii="Consolas" w:hAnsi="Consolas" w:cs="Consolas"/>
          <w:sz w:val="18"/>
        </w:rPr>
        <w:t xml:space="preserve">   | [ Type de fichier *  v]  [ Taille max (Mo) *   10        ]   |</w:t>
      </w:r>
    </w:p>
    <w:p>
      <w:pPr>
        <w:spacing w:before="0" w:after="0"/>
        <w:ind w:left="113"/>
      </w:pPr>
      <w:r>
        <w:rPr>
          <w:rFonts w:ascii="Consolas" w:hAnsi="Consolas" w:cs="Consolas"/>
          <w:sz w:val="18"/>
        </w:rPr>
        <w:t xml:space="preserve">   |   PDF DOCX DOC XLSX XLS    minimum 5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 Annuler ]  [ Ajouter ]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contrôles :  code vide ?         -&gt; « Le code est obligatoire »</w:t>
      </w:r>
    </w:p>
    <w:p>
      <w:pPr>
        <w:spacing w:before="0" w:after="0"/>
        <w:ind w:left="113"/>
      </w:pPr>
      <w:r>
        <w:rPr>
          <w:rFonts w:ascii="Consolas" w:hAnsi="Consolas" w:cs="Consolas"/>
          <w:sz w:val="18"/>
        </w:rPr>
        <w:t xml:space="preserve">                libellé vide ?      -&gt; « Le type est obligatoire »</w:t>
      </w:r>
    </w:p>
    <w:p>
      <w:pPr>
        <w:spacing w:before="0" w:after="0"/>
        <w:ind w:left="113"/>
      </w:pPr>
      <w:r>
        <w:rPr>
          <w:rFonts w:ascii="Consolas" w:hAnsi="Consolas" w:cs="Consolas"/>
          <w:sz w:val="18"/>
        </w:rPr>
        <w:t xml:space="preserve">                description vide ?  -&gt; « La description est obligatoire »</w:t>
      </w:r>
    </w:p>
    <w:p>
      <w:pPr>
        <w:spacing w:before="0" w:after="0"/>
        <w:ind w:left="113"/>
      </w:pPr>
      <w:r>
        <w:rPr>
          <w:rFonts w:ascii="Consolas" w:hAnsi="Consolas" w:cs="Consolas"/>
          <w:sz w:val="18"/>
        </w:rPr>
        <w:t xml:space="preserve">                espace non choisi ? -&gt; « L'espace de travail est obligatoire »</w:t>
      </w:r>
    </w:p>
    <w:p>
      <w:pPr>
        <w:spacing w:before="0" w:after="0"/>
        <w:ind w:left="113"/>
      </w:pPr>
      <w:r>
        <w:rPr>
          <w:rFonts w:ascii="Consolas" w:hAnsi="Consolas" w:cs="Consolas"/>
          <w:sz w:val="18"/>
        </w:rPr>
        <w:t xml:space="preserve">                aucun format ?      -&gt; « Au moins un format est requis »</w:t>
      </w:r>
    </w:p>
    <w:p>
      <w:pPr>
        <w:spacing w:before="0" w:after="0"/>
        <w:ind w:left="113"/>
      </w:pPr>
      <w:r>
        <w:rPr>
          <w:rFonts w:ascii="Consolas" w:hAnsi="Consolas" w:cs="Consolas"/>
          <w:sz w:val="18"/>
        </w:rPr>
        <w:t xml:space="preserve">                taille &lt; 5 ?        -&gt; « 5 Mo minimum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tout est bon</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enregistrement -&gt; fermeture -&gt; liste rechargée -&gt; « Type de document créé. »</w:t>
      </w:r>
    </w:p>
    <w:p>
      <w:pPr>
        <w:spacing w:after="40"/>
      </w:pPr>
    </w:p>
    <w:p>
      <w:pPr>
        <w:pStyle w:val="Heading2"/>
      </w:pPr>
      <w:r>
        <w:t>4.2 Parcours B — consulter la fiche d'un type</w:t>
      </w:r>
    </w:p>
    <w:p>
      <w:pPr>
        <w:pStyle w:val="ListNumber"/>
        <w:numPr>
          <w:ilvl w:val="0"/>
          <w:numId w:val="11"/>
        </w:numPr>
      </w:pPr>
      <w:r>
        <w:t>L'utilisateur clique sur le libellé du type dans la liste, ou sur l'action d'ouverture de fiche.</w:t>
      </w:r>
    </w:p>
    <w:p>
      <w:pPr>
        <w:pStyle w:val="ListNumber"/>
        <w:numPr>
          <w:ilvl w:val="0"/>
          <w:numId w:val="11"/>
        </w:numPr>
      </w:pPr>
      <w:r>
        <w:t>L'application quitte la liste, ouvre la page de fiche et affiche « Chargement… » le temps de relire le paramétrage.</w:t>
      </w:r>
    </w:p>
    <w:p>
      <w:pPr>
        <w:pStyle w:val="ListNumber"/>
        <w:numPr>
          <w:ilvl w:val="0"/>
          <w:numId w:val="11"/>
        </w:numPr>
      </w:pPr>
      <w:r>
        <w:t>La fiche présente les six cartouches. Le cartouche de l'espace de travail est cliquable et conduit à la fiche de ce dossier.</w:t>
      </w:r>
    </w:p>
    <w:p>
      <w:pPr>
        <w:pStyle w:val="ListNumber"/>
        <w:numPr>
          <w:ilvl w:val="0"/>
          <w:numId w:val="11"/>
        </w:numPr>
      </w:pPr>
      <w:r>
        <w:t>Le bouton « Modifier » de l'en-tête ouvre le formulaire par-dessus la fiche.</w:t>
      </w:r>
    </w:p>
    <w:p>
      <w:pPr>
        <w:pStyle w:val="ListNumber"/>
        <w:numPr>
          <w:ilvl w:val="0"/>
          <w:numId w:val="11"/>
        </w:numPr>
      </w:pPr>
      <w:r>
        <w:t>Après enregistrement, la fiche est relue et actualisée, et le message « Type de document modifié. » s'affiche. L'utilisateur reste sur la fiche.</w:t>
      </w:r>
    </w:p>
    <w:p>
      <w:pPr>
        <w:pStyle w:val="Heading2"/>
      </w:pPr>
      <w:r>
        <w:t>4.3 Parcours C — modifier un type depuis la liste</w:t>
      </w:r>
    </w:p>
    <w:p>
      <w:pPr>
        <w:pStyle w:val="ListNumber"/>
        <w:numPr>
          <w:ilvl w:val="0"/>
          <w:numId w:val="12"/>
        </w:numPr>
      </w:pPr>
      <w:r>
        <w:t>L'utilisateur clique sur le crayon de la ligne.</w:t>
      </w:r>
    </w:p>
    <w:p>
      <w:pPr>
        <w:pStyle w:val="ListNumber"/>
        <w:numPr>
          <w:ilvl w:val="0"/>
          <w:numId w:val="12"/>
        </w:numPr>
      </w:pPr>
      <w:r>
        <w:t>L'application relit la fiche complète, puis ouvre la fenêtre « Modifier le type de document », pré-remplie avec toutes les valeurs enregistrées : code, libellé, description, espace de travail, plan, formats cochés et taille maximale.</w:t>
      </w:r>
    </w:p>
    <w:p>
      <w:pPr>
        <w:pStyle w:val="ListNumber"/>
        <w:numPr>
          <w:ilvl w:val="0"/>
          <w:numId w:val="12"/>
        </w:numPr>
      </w:pPr>
      <w:r>
        <w:t>Le bouton de validation s'intitule « Mettre à jour ».</w:t>
      </w:r>
    </w:p>
    <w:p>
      <w:pPr>
        <w:pStyle w:val="ListNumber"/>
        <w:numPr>
          <w:ilvl w:val="0"/>
          <w:numId w:val="12"/>
        </w:numPr>
      </w:pPr>
      <w:r>
        <w:t>Après enregistrement, la liste est rechargée et le message « Type de document modifié. » s'affiche.</w:t>
      </w:r>
    </w:p>
    <w:p>
      <w:pPr/>
      <w:r>
        <w:t>Un point mérite attention : modifier un type ne modifie pas les documents déjà déposés sous ce type. Changer l'espace de travail ne déplace pas les documents existants ; changer le plan d'indexation ne réindexe rien ; réduire la taille maximale ne fait pas ressortir les fichiers déjà stockés. Le paramétrage vaut pour l'avenir.</w:t>
      </w:r>
    </w:p>
    <w:p>
      <w:pPr>
        <w:pStyle w:val="Heading2"/>
      </w:pPr>
      <w:r>
        <w:t>4.4 Parcours D — supprimer, restaurer</w:t>
      </w:r>
    </w:p>
    <w:p>
      <w:pPr>
        <w:pStyle w:val="ListNumber"/>
        <w:numPr>
          <w:ilvl w:val="0"/>
          <w:numId w:val="13"/>
        </w:numPr>
      </w:pPr>
      <w:r>
        <w:t>La suppression à l'unité passe par la corbeille de la ligne. L'application demande confirmation sous le titre « Supprimer ce type », avec le message « Facture » sera déplacé vers la corbeille.</w:t>
      </w:r>
    </w:p>
    <w:p>
      <w:pPr>
        <w:pStyle w:val="ListNumber"/>
        <w:numPr>
          <w:ilvl w:val="0"/>
          <w:numId w:val="13"/>
        </w:numPr>
      </w:pPr>
      <w:r>
        <w:t>Après confirmation, le type rejoint l'archive et « Type de document supprimé. » s'affiche.</w:t>
      </w:r>
    </w:p>
    <w:p>
      <w:pPr>
        <w:pStyle w:val="ListNumber"/>
        <w:numPr>
          <w:ilvl w:val="0"/>
          <w:numId w:val="13"/>
        </w:numPr>
      </w:pPr>
      <w:r>
        <w:t>La suppression en lot suit le schéma commun : la confirmation annonce « Voulez-vous supprimer 2 type(s) ? » et le bilan « 2 type(s) supprimé(s). ».</w:t>
      </w:r>
    </w:p>
    <w:p>
      <w:pPr>
        <w:pStyle w:val="ListNumber"/>
        <w:numPr>
          <w:ilvl w:val="0"/>
          <w:numId w:val="13"/>
        </w:numPr>
      </w:pPr>
      <w:r>
        <w:t>En vue Archive, les flèches circulaires restaurent immédiatement, sans confirmation, et affichent « Type de document restauré. ». La restauration en lot demande, elle, confirmation : « Voulez-vous restaurer 2 type(s) ? ».</w:t>
      </w:r>
    </w:p>
    <w:p>
      <w:pPr>
        <w:pStyle w:val="Heading2"/>
      </w:pPr>
      <w:r>
        <w:t>4.5 Ce que le type déclenche au moment du dépôt</w:t>
      </w:r>
    </w:p>
    <w:p>
      <w:pPr/>
      <w:r>
        <w:t>Le paramétrage se juge à cet endroit. Le déroulé est le suivant.</w:t>
      </w:r>
    </w:p>
    <w:p>
      <w:pPr>
        <w:pStyle w:val="ListNumber"/>
        <w:numPr>
          <w:ilvl w:val="0"/>
          <w:numId w:val="14"/>
        </w:numPr>
      </w:pPr>
      <w:r>
        <w:t>L'opérateur ouvre l'écran de dépôt. Le premier champ est « Type de document », accompagné de l'aide « Il commande le dossier, les formats acceptés et les index à renseigner ».</w:t>
      </w:r>
    </w:p>
    <w:p>
      <w:pPr>
        <w:pStyle w:val="ListNumber"/>
        <w:numPr>
          <w:ilvl w:val="0"/>
          <w:numId w:val="14"/>
        </w:numPr>
      </w:pPr>
      <w:r>
        <w:t>Dès qu'un type est retenu, l'application dispose déjà, sans autre échange, du nom du plan rattaché, du caractère automatique ou manuel de sa charte, de la liste des formats acceptés et de la taille maximale. Ce point est délibéré : le contrôle du fichier doit se faire localement, avant tout envoi.</w:t>
      </w:r>
    </w:p>
    <w:p>
      <w:pPr>
        <w:pStyle w:val="ListNumber"/>
        <w:numPr>
          <w:ilvl w:val="0"/>
          <w:numId w:val="14"/>
        </w:numPr>
      </w:pPr>
      <w:r>
        <w:t>Si le type ne porte aucun plan, un avertissement s'affiche immédiatement : le type nommé n'a pas de plan d'indexation, le document sera déposé sans aucun index.</w:t>
      </w:r>
    </w:p>
    <w:p>
      <w:pPr>
        <w:pStyle w:val="ListNumber"/>
        <w:numPr>
          <w:ilvl w:val="0"/>
          <w:numId w:val="14"/>
        </w:numPr>
      </w:pPr>
      <w:r>
        <w:t>L'opérateur choisit son fichier. Si le format ou le poids ne conviennent pas, le refus est immédiat, à l'écran, sans que le fichier ne soit envoyé. Le message nomme la contrainte et la valeur constatée.</w:t>
      </w:r>
    </w:p>
    <w:p>
      <w:pPr>
        <w:pStyle w:val="ListNumber"/>
        <w:numPr>
          <w:ilvl w:val="0"/>
          <w:numId w:val="14"/>
        </w:numPr>
      </w:pPr>
      <w:r>
        <w:t>Si le type porte un plan à charte automatique, le champ « Nom du document » est neutralisé et porte l'explication que le nom sera composé d'après la charte du plan nommé.</w:t>
      </w:r>
    </w:p>
    <w:p>
      <w:pPr>
        <w:pStyle w:val="ListNumber"/>
        <w:numPr>
          <w:ilvl w:val="0"/>
          <w:numId w:val="14"/>
        </w:numPr>
      </w:pPr>
      <w:r>
        <w:t>Le document est déposé dans l'espace de travail du type, et suit le circuit de validation porté par cet espace.</w:t>
      </w:r>
    </w:p>
    <w:p>
      <w:pPr/>
      <w:r>
        <w:t>Le contrôle local du fichier mérite d'être souligné. Sans lui, un fichier de plusieurs gigaoctets partait sur le réseau pour n'être rejeté qu'à l'arrivée ; la connexion étant coupée en cours d'envoi, le navigateur n'affichait même pas le motif du refus. C'est la raison pour laquelle le type transmet ses contraintes en même temps que son nom.</w:t>
      </w:r>
    </w:p>
    <w:p>
      <w:pPr>
        <w:pStyle w:val="Heading1"/>
      </w:pPr>
      <w:r>
        <w:t>5. Les données saisies</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Pr>
          <w:p>
            <w:pPr>
              <w:spacing w:before="20" w:after="20"/>
            </w:pPr>
            <w:r>
              <w:rPr>
                <w:b/>
                <w:sz w:val="19"/>
              </w:rPr>
              <w:t>Intitulé affiché</w:t>
            </w:r>
          </w:p>
        </w:tc>
        <w:tc>
          <w:tcPr>
            <w:tcW w:type="dxa" w:w="1928"/>
          </w:tcPr>
          <w:p>
            <w:pPr>
              <w:spacing w:before="20" w:after="20"/>
            </w:pPr>
            <w:r>
              <w:rPr>
                <w:b/>
                <w:sz w:val="19"/>
              </w:rPr>
              <w:t>Nature</w:t>
            </w:r>
          </w:p>
        </w:tc>
        <w:tc>
          <w:tcPr>
            <w:tcW w:type="dxa" w:w="1928"/>
          </w:tcPr>
          <w:p>
            <w:pPr>
              <w:spacing w:before="20" w:after="20"/>
            </w:pPr>
            <w:r>
              <w:rPr>
                <w:b/>
                <w:sz w:val="19"/>
              </w:rPr>
              <w:t>Obligatoire</w:t>
            </w:r>
          </w:p>
        </w:tc>
        <w:tc>
          <w:tcPr>
            <w:tcW w:type="dxa" w:w="1928"/>
          </w:tcPr>
          <w:p>
            <w:pPr>
              <w:spacing w:before="20" w:after="20"/>
            </w:pPr>
            <w:r>
              <w:rPr>
                <w:b/>
                <w:sz w:val="19"/>
              </w:rPr>
              <w:t>Valeur par défaut</w:t>
            </w:r>
          </w:p>
        </w:tc>
        <w:tc>
          <w:tcPr>
            <w:tcW w:type="dxa" w:w="1928"/>
          </w:tcPr>
          <w:p>
            <w:pPr>
              <w:spacing w:before="20" w:after="20"/>
            </w:pPr>
            <w:r>
              <w:rPr>
                <w:b/>
                <w:sz w:val="19"/>
              </w:rPr>
              <w:t>Exemple</w:t>
            </w:r>
          </w:p>
        </w:tc>
      </w:tr>
      <w:tr>
        <w:tc>
          <w:tcPr>
            <w:tcW w:type="dxa" w:w="1928"/>
          </w:tcPr>
          <w:p>
            <w:pPr>
              <w:spacing w:before="20" w:after="20"/>
            </w:pPr>
            <w:r>
              <w:rPr>
                <w:sz w:val="19"/>
              </w:rPr>
              <w:t>Code</w:t>
            </w:r>
          </w:p>
        </w:tc>
        <w:tc>
          <w:tcPr>
            <w:tcW w:type="dxa" w:w="1928"/>
          </w:tcPr>
          <w:p>
            <w:pPr>
              <w:spacing w:before="20" w:after="20"/>
            </w:pPr>
            <w:r>
              <w:rPr>
                <w:sz w:val="19"/>
              </w:rPr>
              <w:t>Texte libre</w:t>
            </w:r>
          </w:p>
        </w:tc>
        <w:tc>
          <w:tcPr>
            <w:tcW w:type="dxa" w:w="1928"/>
          </w:tcPr>
          <w:p>
            <w:pPr>
              <w:spacing w:before="20" w:after="20"/>
            </w:pPr>
            <w:r>
              <w:rPr>
                <w:sz w:val="19"/>
              </w:rPr>
              <w:t>Oui</w:t>
            </w:r>
          </w:p>
        </w:tc>
        <w:tc>
          <w:tcPr>
            <w:tcW w:type="dxa" w:w="1928"/>
          </w:tcPr>
          <w:p>
            <w:pPr>
              <w:spacing w:before="20" w:after="20"/>
            </w:pPr>
            <w:r>
              <w:rPr>
                <w:sz w:val="19"/>
              </w:rPr>
              <w:t>Vide</w:t>
            </w:r>
          </w:p>
        </w:tc>
        <w:tc>
          <w:tcPr>
            <w:tcW w:type="dxa" w:w="1928"/>
          </w:tcPr>
          <w:p>
            <w:pPr>
              <w:spacing w:before="20" w:after="20"/>
            </w:pPr>
            <w:r>
              <w:rPr>
                <w:sz w:val="19"/>
              </w:rPr>
              <w:t>TD-FACT</w:t>
            </w:r>
          </w:p>
        </w:tc>
      </w:tr>
      <w:tr>
        <w:tc>
          <w:tcPr>
            <w:tcW w:type="dxa" w:w="1928"/>
          </w:tcPr>
          <w:p>
            <w:pPr>
              <w:spacing w:before="20" w:after="20"/>
            </w:pPr>
            <w:r>
              <w:rPr>
                <w:sz w:val="19"/>
              </w:rPr>
              <w:t>Type de document</w:t>
            </w:r>
          </w:p>
        </w:tc>
        <w:tc>
          <w:tcPr>
            <w:tcW w:type="dxa" w:w="1928"/>
          </w:tcPr>
          <w:p>
            <w:pPr>
              <w:spacing w:before="20" w:after="20"/>
            </w:pPr>
            <w:r>
              <w:rPr>
                <w:sz w:val="19"/>
              </w:rPr>
              <w:t>Texte libre</w:t>
            </w:r>
          </w:p>
        </w:tc>
        <w:tc>
          <w:tcPr>
            <w:tcW w:type="dxa" w:w="1928"/>
          </w:tcPr>
          <w:p>
            <w:pPr>
              <w:spacing w:before="20" w:after="20"/>
            </w:pPr>
            <w:r>
              <w:rPr>
                <w:sz w:val="19"/>
              </w:rPr>
              <w:t>Oui</w:t>
            </w:r>
          </w:p>
        </w:tc>
        <w:tc>
          <w:tcPr>
            <w:tcW w:type="dxa" w:w="1928"/>
          </w:tcPr>
          <w:p>
            <w:pPr>
              <w:spacing w:before="20" w:after="20"/>
            </w:pPr>
            <w:r>
              <w:rPr>
                <w:sz w:val="19"/>
              </w:rPr>
              <w:t>Vide</w:t>
            </w:r>
          </w:p>
        </w:tc>
        <w:tc>
          <w:tcPr>
            <w:tcW w:type="dxa" w:w="1928"/>
          </w:tcPr>
          <w:p>
            <w:pPr>
              <w:spacing w:before="20" w:after="20"/>
            </w:pPr>
            <w:r>
              <w:rPr>
                <w:sz w:val="19"/>
              </w:rPr>
              <w:t>Facture</w:t>
            </w:r>
          </w:p>
        </w:tc>
      </w:tr>
      <w:tr>
        <w:tc>
          <w:tcPr>
            <w:tcW w:type="dxa" w:w="1928"/>
          </w:tcPr>
          <w:p>
            <w:pPr>
              <w:spacing w:before="20" w:after="20"/>
            </w:pPr>
            <w:r>
              <w:rPr>
                <w:sz w:val="19"/>
              </w:rPr>
              <w:t>Description</w:t>
            </w:r>
          </w:p>
        </w:tc>
        <w:tc>
          <w:tcPr>
            <w:tcW w:type="dxa" w:w="1928"/>
          </w:tcPr>
          <w:p>
            <w:pPr>
              <w:spacing w:before="20" w:after="20"/>
            </w:pPr>
            <w:r>
              <w:rPr>
                <w:sz w:val="19"/>
              </w:rPr>
              <w:t>Texte long, deux lignes</w:t>
            </w:r>
          </w:p>
        </w:tc>
        <w:tc>
          <w:tcPr>
            <w:tcW w:type="dxa" w:w="1928"/>
          </w:tcPr>
          <w:p>
            <w:pPr>
              <w:spacing w:before="20" w:after="20"/>
            </w:pPr>
            <w:r>
              <w:rPr>
                <w:sz w:val="19"/>
              </w:rPr>
              <w:t>Oui</w:t>
            </w:r>
          </w:p>
        </w:tc>
        <w:tc>
          <w:tcPr>
            <w:tcW w:type="dxa" w:w="1928"/>
          </w:tcPr>
          <w:p>
            <w:pPr>
              <w:spacing w:before="20" w:after="20"/>
            </w:pPr>
            <w:r>
              <w:rPr>
                <w:sz w:val="19"/>
              </w:rPr>
              <w:t>Vide</w:t>
            </w:r>
          </w:p>
        </w:tc>
        <w:tc>
          <w:tcPr>
            <w:tcW w:type="dxa" w:w="1928"/>
          </w:tcPr>
          <w:p>
            <w:pPr>
              <w:spacing w:before="20" w:after="20"/>
            </w:pPr>
            <w:r>
              <w:rPr>
                <w:sz w:val="19"/>
              </w:rPr>
              <w:t>Factures fournisseurs et clients</w:t>
            </w:r>
          </w:p>
        </w:tc>
      </w:tr>
      <w:tr>
        <w:tc>
          <w:tcPr>
            <w:tcW w:type="dxa" w:w="1928"/>
          </w:tcPr>
          <w:p>
            <w:pPr>
              <w:spacing w:before="20" w:after="20"/>
            </w:pPr>
            <w:r>
              <w:rPr>
                <w:sz w:val="19"/>
              </w:rPr>
              <w:t>Espace de travail</w:t>
            </w:r>
          </w:p>
        </w:tc>
        <w:tc>
          <w:tcPr>
            <w:tcW w:type="dxa" w:w="1928"/>
          </w:tcPr>
          <w:p>
            <w:pPr>
              <w:spacing w:before="20" w:after="20"/>
            </w:pPr>
            <w:r>
              <w:rPr>
                <w:sz w:val="19"/>
              </w:rPr>
              <w:t>Liste des dossiers existants</w:t>
            </w:r>
          </w:p>
        </w:tc>
        <w:tc>
          <w:tcPr>
            <w:tcW w:type="dxa" w:w="1928"/>
          </w:tcPr>
          <w:p>
            <w:pPr>
              <w:spacing w:before="20" w:after="20"/>
            </w:pPr>
            <w:r>
              <w:rPr>
                <w:sz w:val="19"/>
              </w:rPr>
              <w:t>Oui</w:t>
            </w:r>
          </w:p>
        </w:tc>
        <w:tc>
          <w:tcPr>
            <w:tcW w:type="dxa" w:w="1928"/>
          </w:tcPr>
          <w:p>
            <w:pPr>
              <w:spacing w:before="20" w:after="20"/>
            </w:pPr>
            <w:r>
              <w:rPr>
                <w:sz w:val="19"/>
              </w:rPr>
              <w:t>Aucune sélection</w:t>
            </w:r>
          </w:p>
        </w:tc>
        <w:tc>
          <w:tcPr>
            <w:tcW w:type="dxa" w:w="1928"/>
          </w:tcPr>
          <w:p>
            <w:pPr>
              <w:spacing w:before="20" w:after="20"/>
            </w:pPr>
            <w:r>
              <w:rPr>
                <w:sz w:val="19"/>
              </w:rPr>
              <w:t>Comptabilité</w:t>
            </w:r>
          </w:p>
        </w:tc>
      </w:tr>
      <w:tr>
        <w:tc>
          <w:tcPr>
            <w:tcW w:type="dxa" w:w="1928"/>
          </w:tcPr>
          <w:p>
            <w:pPr>
              <w:spacing w:before="20" w:after="20"/>
            </w:pPr>
            <w:r>
              <w:rPr>
                <w:sz w:val="19"/>
              </w:rPr>
              <w:t>Plan d'indexation</w:t>
            </w:r>
          </w:p>
        </w:tc>
        <w:tc>
          <w:tcPr>
            <w:tcW w:type="dxa" w:w="1928"/>
          </w:tcPr>
          <w:p>
            <w:pPr>
              <w:spacing w:before="20" w:after="20"/>
            </w:pPr>
            <w:r>
              <w:rPr>
                <w:sz w:val="19"/>
              </w:rPr>
              <w:t>Liste des plans, précédée de « — Aucun — »</w:t>
            </w:r>
          </w:p>
        </w:tc>
        <w:tc>
          <w:tcPr>
            <w:tcW w:type="dxa" w:w="1928"/>
          </w:tcPr>
          <w:p>
            <w:pPr>
              <w:spacing w:before="20" w:after="20"/>
            </w:pPr>
            <w:r>
              <w:rPr>
                <w:sz w:val="19"/>
              </w:rPr>
              <w:t>Non</w:t>
            </w:r>
          </w:p>
        </w:tc>
        <w:tc>
          <w:tcPr>
            <w:tcW w:type="dxa" w:w="1928"/>
          </w:tcPr>
          <w:p>
            <w:pPr>
              <w:spacing w:before="20" w:after="20"/>
            </w:pPr>
            <w:r>
              <w:rPr>
                <w:sz w:val="19"/>
              </w:rPr>
              <w:t>— Aucun —</w:t>
            </w:r>
          </w:p>
        </w:tc>
        <w:tc>
          <w:tcPr>
            <w:tcW w:type="dxa" w:w="1928"/>
          </w:tcPr>
          <w:p>
            <w:pPr>
              <w:spacing w:before="20" w:after="20"/>
            </w:pPr>
            <w:r>
              <w:rPr>
                <w:sz w:val="19"/>
              </w:rPr>
              <w:t>Fiche Facture</w:t>
            </w:r>
          </w:p>
        </w:tc>
      </w:tr>
      <w:tr>
        <w:tc>
          <w:tcPr>
            <w:tcW w:type="dxa" w:w="1928"/>
          </w:tcPr>
          <w:p>
            <w:pPr>
              <w:spacing w:before="20" w:after="20"/>
            </w:pPr>
            <w:r>
              <w:rPr>
                <w:sz w:val="19"/>
              </w:rPr>
              <w:t>Type de fichier</w:t>
            </w:r>
          </w:p>
        </w:tc>
        <w:tc>
          <w:tcPr>
            <w:tcW w:type="dxa" w:w="1928"/>
          </w:tcPr>
          <w:p>
            <w:pPr>
              <w:spacing w:before="20" w:after="20"/>
            </w:pPr>
            <w:r>
              <w:rPr>
                <w:sz w:val="19"/>
              </w:rPr>
              <w:t>Choix multiple : PDF, DOCX, DOC, XLSX, XLS</w:t>
            </w:r>
          </w:p>
        </w:tc>
        <w:tc>
          <w:tcPr>
            <w:tcW w:type="dxa" w:w="1928"/>
          </w:tcPr>
          <w:p>
            <w:pPr>
              <w:spacing w:before="20" w:after="20"/>
            </w:pPr>
            <w:r>
              <w:rPr>
                <w:sz w:val="19"/>
              </w:rPr>
              <w:t>Oui, au moins un</w:t>
            </w:r>
          </w:p>
        </w:tc>
        <w:tc>
          <w:tcPr>
            <w:tcW w:type="dxa" w:w="1928"/>
          </w:tcPr>
          <w:p>
            <w:pPr>
              <w:spacing w:before="20" w:after="20"/>
            </w:pPr>
            <w:r>
              <w:rPr>
                <w:sz w:val="19"/>
              </w:rPr>
              <w:t>Aucun coché</w:t>
            </w:r>
          </w:p>
        </w:tc>
        <w:tc>
          <w:tcPr>
            <w:tcW w:type="dxa" w:w="1928"/>
          </w:tcPr>
          <w:p>
            <w:pPr>
              <w:spacing w:before="20" w:after="20"/>
            </w:pPr>
            <w:r>
              <w:rPr>
                <w:sz w:val="19"/>
              </w:rPr>
              <w:t>PDF et DOCX</w:t>
            </w:r>
          </w:p>
        </w:tc>
      </w:tr>
      <w:tr>
        <w:tc>
          <w:tcPr>
            <w:tcW w:type="dxa" w:w="1928"/>
          </w:tcPr>
          <w:p>
            <w:pPr>
              <w:spacing w:before="20" w:after="20"/>
            </w:pPr>
            <w:r>
              <w:rPr>
                <w:sz w:val="19"/>
              </w:rPr>
              <w:t>Taille max (Mo)</w:t>
            </w:r>
          </w:p>
        </w:tc>
        <w:tc>
          <w:tcPr>
            <w:tcW w:type="dxa" w:w="1928"/>
          </w:tcPr>
          <w:p>
            <w:pPr>
              <w:spacing w:before="20" w:after="20"/>
            </w:pPr>
            <w:r>
              <w:rPr>
                <w:sz w:val="19"/>
              </w:rPr>
              <w:t>Nombre entier</w:t>
            </w:r>
          </w:p>
        </w:tc>
        <w:tc>
          <w:tcPr>
            <w:tcW w:type="dxa" w:w="1928"/>
          </w:tcPr>
          <w:p>
            <w:pPr>
              <w:spacing w:before="20" w:after="20"/>
            </w:pPr>
            <w:r>
              <w:rPr>
                <w:sz w:val="19"/>
              </w:rPr>
              <w:t>Oui</w:t>
            </w:r>
          </w:p>
        </w:tc>
        <w:tc>
          <w:tcPr>
            <w:tcW w:type="dxa" w:w="1928"/>
          </w:tcPr>
          <w:p>
            <w:pPr>
              <w:spacing w:before="20" w:after="20"/>
            </w:pPr>
            <w:r>
              <w:rPr>
                <w:sz w:val="19"/>
              </w:rPr>
              <w:t>10, minimum 5</w:t>
            </w:r>
          </w:p>
        </w:tc>
        <w:tc>
          <w:tcPr>
            <w:tcW w:type="dxa" w:w="1928"/>
          </w:tcPr>
          <w:p>
            <w:pPr>
              <w:spacing w:before="20" w:after="20"/>
            </w:pPr>
            <w:r>
              <w:rPr>
                <w:sz w:val="19"/>
              </w:rPr>
              <w:t>20</w:t>
            </w:r>
          </w:p>
        </w:tc>
      </w:tr>
    </w:tbl>
    <w:p>
      <w:pPr>
        <w:spacing w:after="40"/>
      </w:pPr>
    </w:p>
    <w:p>
      <w:pPr>
        <w:pStyle w:val="Heading2"/>
      </w:pPr>
      <w:r>
        <w:t>5.1 Les champs qui demandent une explication</w:t>
      </w:r>
    </w:p>
    <w:p>
      <w:pPr>
        <w:pStyle w:val="Heading3"/>
      </w:pPr>
      <w:r>
        <w:t>Code</w:t>
      </w:r>
    </w:p>
    <w:p>
      <w:pPr/>
      <w:r>
        <w:t>Unique dans toute l'application, sans distinction de casse. Un code déjà pris provoque un refus au moment de l'enregistrement, avec un message qui reprend la valeur fautive. Le code n'est pas montré à l'opérateur qui dépose.</w:t>
      </w:r>
    </w:p>
    <w:p>
      <w:pPr>
        <w:pStyle w:val="Heading3"/>
      </w:pPr>
      <w:r>
        <w:t>Type de document</w:t>
      </w:r>
    </w:p>
    <w:p>
      <w:pPr/>
      <w:r>
        <w:t>C'est le libellé que l'opérateur lira dans la liste déroulante du dépôt, et souvent le seul élément sur lequel il fondera son choix. Il doit désigner un genre de document, pas une catégorie fourre-tout. Le message de refus associé à ce champ est « Le type est obligatoire » — formulation à connaître, car elle porte sur le libellé et non sur les formats de fichier, contrairement à ce que le mot « type » pourrait laisser croire.</w:t>
      </w:r>
    </w:p>
    <w:p>
      <w:pPr>
        <w:pStyle w:val="Heading3"/>
      </w:pPr>
      <w:r>
        <w:t>Description</w:t>
      </w:r>
    </w:p>
    <w:p>
      <w:pPr/>
      <w:r>
        <w:t>Obligatoire, contrairement à tous les autres écrans de paramétrage. La raison a été donnée plus haut : le type est le seul choix de l'opérateur au dépôt, et une description est le seul moyen de lever une ambiguïté de libellé. Elle apparaît dans la liste et dans la fiche, mais pas dans le sélecteur du dépôt : elle sert donc surtout à ceux qui paramètrent et à ceux qui auditent, pas à celui qui dépose.</w:t>
      </w:r>
    </w:p>
    <w:p>
      <w:pPr>
        <w:pStyle w:val="Heading3"/>
      </w:pPr>
      <w:r>
        <w:t>Espace de travail</w:t>
      </w:r>
    </w:p>
    <w:p>
      <w:pPr/>
      <w:r>
        <w:t>Obligatoire, et lourd de conséquences. Il détermine où le document sera rangé, et par conséquent quelle règle de workflow s'appliquera, puisque le circuit de validation est porté par l'espace et non par le type. Deux types rattachés à deux espaces différents suivront deux circuits différents, même si leurs autres réglages sont identiques.</w:t>
      </w:r>
    </w:p>
    <w:p>
      <w:pPr>
        <w:pStyle w:val="Heading3"/>
      </w:pPr>
      <w:r>
        <w:t>Plan d'indexation</w:t>
      </w:r>
    </w:p>
    <w:p>
      <w:pPr/>
      <w:r>
        <w:t>Facultatif. L'entrée « — Aucun — » est présentée en tête de liste et n'est pas un oubli : c'est un choix explicite, traité au chapitre 8. Lorsqu'un plan est retenu, il apporte au dépôt les champs à renseigner, l'ordre de ces champs, et la façon de composer le nom du document.</w:t>
      </w:r>
    </w:p>
    <w:p>
      <w:pPr>
        <w:pStyle w:val="Heading3"/>
      </w:pPr>
      <w:r>
        <w:t>Type de fichier</w:t>
      </w:r>
    </w:p>
    <w:p>
      <w:pPr/>
      <w:r>
        <w:t>Cinq formats sont proposés : PDF, DOCX, DOC, XLSX et XLS. Le choix est multiple et au moins un format doit être coché. Ce réglage produit un refus immédiat au dépôt, avant tout envoi : un fichier dont l'extension n'est pas cochée est rejeté à l'écran, avec un message qui nomme la contrainte.</w:t>
      </w:r>
    </w:p>
    <w:p>
      <w:pPr>
        <w:pStyle w:val="Heading3"/>
      </w:pPr>
      <w:r>
        <w:t>Taille max (Mo)</w:t>
      </w:r>
    </w:p>
    <w:p>
      <w:pPr/>
      <w:r>
        <w:t>Le champ est pré-rempli à 10 et n'accepte pas de valeur inférieure à 5. Ce plancher n'est pas arbitraire : en dessous de 5 mégaoctets, la plupart des documents scannés seraient refusés, et le paramétrage deviendrait une gêne quotidienne plutôt qu'une protection. Aucun plafond n'est imposé par l'application : rien n'interdit de saisir une valeur très élevée, ce qui revient à désactiver la protection.</w:t>
      </w:r>
    </w:p>
    <w:p>
      <w:pPr>
        <w:pStyle w:val="Heading1"/>
      </w:pPr>
      <w:r>
        <w:t>6. Les règles de gestion</w:t>
      </w:r>
    </w:p>
    <w:p>
      <w:pPr>
        <w:pStyle w:val="ListNumber"/>
        <w:numPr>
          <w:ilvl w:val="0"/>
          <w:numId w:val="15"/>
        </w:numPr>
      </w:pPr>
      <w:r>
        <w:t>Le code du type est obligatoire et unique dans toute l'application, sans distinction de casse. Pourquoi : Le code identifie le type de façon stable lors des reprises de données et des échanges entre environnements ; un doublon rendrait cette identification impossible.</w:t>
      </w:r>
    </w:p>
    <w:p>
      <w:pPr>
        <w:pStyle w:val="ListNumber"/>
        <w:numPr>
          <w:ilvl w:val="0"/>
          <w:numId w:val="15"/>
        </w:numPr>
      </w:pPr>
      <w:r>
        <w:t>Le libellé du type est obligatoire. Pourquoi : C'est le seul élément que l'opérateur lit au moment de choisir. Sans lui, la liste déroulante du dépôt afficherait une entrée vide.</w:t>
      </w:r>
    </w:p>
    <w:p>
      <w:pPr>
        <w:pStyle w:val="ListNumber"/>
        <w:numPr>
          <w:ilvl w:val="0"/>
          <w:numId w:val="15"/>
        </w:numPr>
      </w:pPr>
      <w:r>
        <w:t>La description est obligatoire, contrairement aux autres écrans de paramétrage. Pourquoi : Le type est la seule décision de l'opérateur au dépôt. Un intitulé ambigu produit un classement faux à chaque dépôt, et l'erreur se répète indéfiniment ; la description est le seul dispositif qui permette de lever l'ambiguïté.</w:t>
      </w:r>
    </w:p>
    <w:p>
      <w:pPr>
        <w:pStyle w:val="ListNumber"/>
        <w:numPr>
          <w:ilvl w:val="0"/>
          <w:numId w:val="15"/>
        </w:numPr>
      </w:pPr>
      <w:r>
        <w:t>Le rattachement à un espace de travail est obligatoire. Pourquoi : Sans dossier de destination, le document déposé n'aurait nulle part où aller, et aucun circuit de validation ne pourrait s'appliquer puisque celui-ci est porté par l'espace.</w:t>
      </w:r>
    </w:p>
    <w:p>
      <w:pPr>
        <w:pStyle w:val="ListNumber"/>
        <w:numPr>
          <w:ilvl w:val="0"/>
          <w:numId w:val="15"/>
        </w:numPr>
      </w:pPr>
      <w:r>
        <w:t>Un type appartient à un seul espace de travail. Pourquoi : Un type rattaché à plusieurs dossiers rendrait la destination du document indéterminée : l'opérateur devrait alors trancher au dépôt, ce que le produit cherche précisément à lui éviter.</w:t>
      </w:r>
    </w:p>
    <w:p>
      <w:pPr>
        <w:pStyle w:val="ListNumber"/>
        <w:numPr>
          <w:ilvl w:val="0"/>
          <w:numId w:val="15"/>
        </w:numPr>
      </w:pPr>
      <w:r>
        <w:t>Le rattachement à un plan d'indexation est facultatif. Pourquoi : Tous les documents ne portent pas d'information structurée. Un compte rendu de réunion n'a ni numéro, ni fournisseur, ni date d'échéance : lui imposer un plan reviendrait à inventer des champs vides.</w:t>
      </w:r>
    </w:p>
    <w:p>
      <w:pPr>
        <w:pStyle w:val="ListNumber"/>
        <w:numPr>
          <w:ilvl w:val="0"/>
          <w:numId w:val="15"/>
        </w:numPr>
      </w:pPr>
      <w:r>
        <w:t>Au moins un format de fichier doit être coché. Pourquoi : Un type qui n'accepterait aucun fichier ne sert à rien : il serait proposé au dépôt puis refuserait systématiquement le document.</w:t>
      </w:r>
    </w:p>
    <w:p>
      <w:pPr>
        <w:pStyle w:val="ListNumber"/>
        <w:numPr>
          <w:ilvl w:val="0"/>
          <w:numId w:val="15"/>
        </w:numPr>
      </w:pPr>
      <w:r>
        <w:t>La taille maximale ne peut pas descendre en dessous de 5 mégaoctets. Pourquoi : En dessous de ce seuil, la plupart des documents scannés seraient refusés et le paramétrage deviendrait une gêne quotidienne plutôt qu'une protection.</w:t>
      </w:r>
    </w:p>
    <w:p>
      <w:pPr>
        <w:pStyle w:val="ListNumber"/>
        <w:numPr>
          <w:ilvl w:val="0"/>
          <w:numId w:val="15"/>
        </w:numPr>
      </w:pPr>
      <w:r>
        <w:t>Le type transmet au dépôt, dès sa sélection et sans échange supplémentaire, ses formats acceptés, sa taille maximale, son plan et le caractère automatique ou manuel de la charte. Pourquoi : Le contrôle du fichier doit se faire localement, avant tout envoi. Sans cela, un fichier hors gabarit part entièrement sur le réseau pour n'être refusé qu'à l'arrivée, et le motif du refus n'est même pas restitué à l'utilisateur.</w:t>
      </w:r>
    </w:p>
    <w:p>
      <w:pPr>
        <w:pStyle w:val="ListNumber"/>
        <w:numPr>
          <w:ilvl w:val="0"/>
          <w:numId w:val="15"/>
        </w:numPr>
      </w:pPr>
      <w:r>
        <w:t>Un type mis à la corbeille ne supprime aucun document et ne dérange aucun document déjà déposé. Pourquoi : La suppression est réversible et ne doit pas produire d'effet en cascade sur le fonds documentaire. Le type cesse simplement d'être proposé au dépôt.</w:t>
      </w:r>
    </w:p>
    <w:p>
      <w:pPr>
        <w:pStyle w:val="ListNumber"/>
        <w:numPr>
          <w:ilvl w:val="0"/>
          <w:numId w:val="15"/>
        </w:numPr>
      </w:pPr>
      <w:r>
        <w:t>Les modifications apportées à un type ne s'appliquent qu'aux dépôts futurs. Pourquoi : Rétroagir sur des documents déjà classés, déjà nommés et éventuellement déjà validés détruirait la traçabilité. Le paramétrage engage l'avenir, pas le passé.</w:t>
      </w:r>
    </w:p>
    <w:p>
      <w:pPr>
        <w:pStyle w:val="ListNumber"/>
        <w:numPr>
          <w:ilvl w:val="0"/>
          <w:numId w:val="15"/>
        </w:numPr>
      </w:pPr>
      <w:r>
        <w:t>Le libellé du type n'est pas soumis à unicité. Pourquoi : Aucune contrainte ne s'y oppose techniquement, mais deux types homonymes sont indiscernables dans le sélecteur du dépôt : la prévention repose sur la discipline de paramétrage et sur la description.</w:t>
      </w:r>
    </w:p>
    <w:p>
      <w:pPr>
        <w:pStyle w:val="Heading1"/>
      </w:pPr>
      <w:r>
        <w:t>7. Les contrôles et les refus</w:t>
      </w:r>
    </w:p>
    <w:p>
      <w:pPr/>
      <w:r>
        <w:t>Les messages ci-dessous s'affichent directement sous le champ concerné, après que l'utilisateur a touché ce champ ou tenté de valider. La fenêtre reste ouverte dans tous les cas et la saisie est conservée.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 affiché</w:t>
            </w:r>
          </w:p>
        </w:tc>
        <w:tc>
          <w:tcPr>
            <w:tcW w:type="dxa" w:w="3213"/>
          </w:tcPr>
          <w:p>
            <w:pPr>
              <w:spacing w:before="20" w:after="20"/>
            </w:pPr>
            <w:r>
              <w:rPr>
                <w:b/>
                <w:sz w:val="19"/>
              </w:rPr>
              <w:t>Conséquence pour l'utilisateur</w:t>
            </w:r>
          </w:p>
        </w:tc>
      </w:tr>
      <w:tr>
        <w:tc>
          <w:tcPr>
            <w:tcW w:type="dxa" w:w="3213"/>
          </w:tcPr>
          <w:p>
            <w:pPr>
              <w:spacing w:before="20" w:after="20"/>
            </w:pPr>
            <w:r>
              <w:rPr>
                <w:sz w:val="19"/>
              </w:rPr>
              <w:t>Le code est laissé vide.</w:t>
            </w:r>
          </w:p>
        </w:tc>
        <w:tc>
          <w:tcPr>
            <w:tcW w:type="dxa" w:w="3213"/>
          </w:tcPr>
          <w:p>
            <w:pPr>
              <w:spacing w:before="20" w:after="20"/>
            </w:pPr>
            <w:r>
              <w:rPr>
                <w:sz w:val="19"/>
              </w:rPr>
              <w:t>Le code est obligatoire</w:t>
            </w:r>
          </w:p>
        </w:tc>
        <w:tc>
          <w:tcPr>
            <w:tcW w:type="dxa" w:w="3213"/>
          </w:tcPr>
          <w:p>
            <w:pPr>
              <w:spacing w:before="20" w:after="20"/>
            </w:pPr>
            <w:r>
              <w:rPr>
                <w:sz w:val="19"/>
              </w:rPr>
              <w:t>Refus de l'enregistrement, fenêtre conservée, saisie intacte.</w:t>
            </w:r>
          </w:p>
        </w:tc>
      </w:tr>
      <w:tr>
        <w:tc>
          <w:tcPr>
            <w:tcW w:type="dxa" w:w="3213"/>
          </w:tcPr>
          <w:p>
            <w:pPr>
              <w:spacing w:before="20" w:after="20"/>
            </w:pPr>
            <w:r>
              <w:rPr>
                <w:sz w:val="19"/>
              </w:rPr>
              <w:t>Le libellé du type est laissé vide.</w:t>
            </w:r>
          </w:p>
        </w:tc>
        <w:tc>
          <w:tcPr>
            <w:tcW w:type="dxa" w:w="3213"/>
          </w:tcPr>
          <w:p>
            <w:pPr>
              <w:spacing w:before="20" w:after="20"/>
            </w:pPr>
            <w:r>
              <w:rPr>
                <w:sz w:val="19"/>
              </w:rPr>
              <w:t>Le type est obligatoire</w:t>
            </w:r>
          </w:p>
        </w:tc>
        <w:tc>
          <w:tcPr>
            <w:tcW w:type="dxa" w:w="3213"/>
          </w:tcPr>
          <w:p>
            <w:pPr>
              <w:spacing w:before="20" w:after="20"/>
            </w:pPr>
            <w:r>
              <w:rPr>
                <w:sz w:val="19"/>
              </w:rPr>
              <w:t>Même comportement. Attention : ce message concerne le libellé, pas les formats de fichier.</w:t>
            </w:r>
          </w:p>
        </w:tc>
      </w:tr>
      <w:tr>
        <w:tc>
          <w:tcPr>
            <w:tcW w:type="dxa" w:w="3213"/>
          </w:tcPr>
          <w:p>
            <w:pPr>
              <w:spacing w:before="20" w:after="20"/>
            </w:pPr>
            <w:r>
              <w:rPr>
                <w:sz w:val="19"/>
              </w:rPr>
              <w:t>La description est laissée vide.</w:t>
            </w:r>
          </w:p>
        </w:tc>
        <w:tc>
          <w:tcPr>
            <w:tcW w:type="dxa" w:w="3213"/>
          </w:tcPr>
          <w:p>
            <w:pPr>
              <w:spacing w:before="20" w:after="20"/>
            </w:pPr>
            <w:r>
              <w:rPr>
                <w:sz w:val="19"/>
              </w:rPr>
              <w:t>La description est obligatoire</w:t>
            </w:r>
          </w:p>
        </w:tc>
        <w:tc>
          <w:tcPr>
            <w:tcW w:type="dxa" w:w="3213"/>
          </w:tcPr>
          <w:p>
            <w:pPr>
              <w:spacing w:before="20" w:after="20"/>
            </w:pPr>
            <w:r>
              <w:rPr>
                <w:sz w:val="19"/>
              </w:rPr>
              <w:t>Refus de l'enregistrement. C'est le seul écran de paramétrage où ce refus existe.</w:t>
            </w:r>
          </w:p>
        </w:tc>
      </w:tr>
      <w:tr>
        <w:tc>
          <w:tcPr>
            <w:tcW w:type="dxa" w:w="3213"/>
          </w:tcPr>
          <w:p>
            <w:pPr>
              <w:spacing w:before="20" w:after="20"/>
            </w:pPr>
            <w:r>
              <w:rPr>
                <w:sz w:val="19"/>
              </w:rPr>
              <w:t>Aucun espace de travail n'est choisi.</w:t>
            </w:r>
          </w:p>
        </w:tc>
        <w:tc>
          <w:tcPr>
            <w:tcW w:type="dxa" w:w="3213"/>
          </w:tcPr>
          <w:p>
            <w:pPr>
              <w:spacing w:before="20" w:after="20"/>
            </w:pPr>
            <w:r>
              <w:rPr>
                <w:sz w:val="19"/>
              </w:rPr>
              <w:t>L'espace de travail est obligatoire</w:t>
            </w:r>
          </w:p>
        </w:tc>
        <w:tc>
          <w:tcPr>
            <w:tcW w:type="dxa" w:w="3213"/>
          </w:tcPr>
          <w:p>
            <w:pPr>
              <w:spacing w:before="20" w:after="20"/>
            </w:pPr>
            <w:r>
              <w:rPr>
                <w:sz w:val="19"/>
              </w:rPr>
              <w:t>Refus de l'enregistrement : le type ne peut exister sans destination.</w:t>
            </w:r>
          </w:p>
        </w:tc>
      </w:tr>
      <w:tr>
        <w:tc>
          <w:tcPr>
            <w:tcW w:type="dxa" w:w="3213"/>
          </w:tcPr>
          <w:p>
            <w:pPr>
              <w:spacing w:before="20" w:after="20"/>
            </w:pPr>
            <w:r>
              <w:rPr>
                <w:sz w:val="19"/>
              </w:rPr>
              <w:t>Aucun format de fichier n'est coché.</w:t>
            </w:r>
          </w:p>
        </w:tc>
        <w:tc>
          <w:tcPr>
            <w:tcW w:type="dxa" w:w="3213"/>
          </w:tcPr>
          <w:p>
            <w:pPr>
              <w:spacing w:before="20" w:after="20"/>
            </w:pPr>
            <w:r>
              <w:rPr>
                <w:sz w:val="19"/>
              </w:rPr>
              <w:t>Au moins un format est requis</w:t>
            </w:r>
          </w:p>
        </w:tc>
        <w:tc>
          <w:tcPr>
            <w:tcW w:type="dxa" w:w="3213"/>
          </w:tcPr>
          <w:p>
            <w:pPr>
              <w:spacing w:before="20" w:after="20"/>
            </w:pPr>
            <w:r>
              <w:rPr>
                <w:sz w:val="19"/>
              </w:rPr>
              <w:t>Refus de l'enregistrement.</w:t>
            </w:r>
          </w:p>
        </w:tc>
      </w:tr>
      <w:tr>
        <w:tc>
          <w:tcPr>
            <w:tcW w:type="dxa" w:w="3213"/>
          </w:tcPr>
          <w:p>
            <w:pPr>
              <w:spacing w:before="20" w:after="20"/>
            </w:pPr>
            <w:r>
              <w:rPr>
                <w:sz w:val="19"/>
              </w:rPr>
              <w:t>La taille maximale est inférieure à 5.</w:t>
            </w:r>
          </w:p>
        </w:tc>
        <w:tc>
          <w:tcPr>
            <w:tcW w:type="dxa" w:w="3213"/>
          </w:tcPr>
          <w:p>
            <w:pPr>
              <w:spacing w:before="20" w:after="20"/>
            </w:pPr>
            <w:r>
              <w:rPr>
                <w:sz w:val="19"/>
              </w:rPr>
              <w:t>5 Mo minimum</w:t>
            </w:r>
          </w:p>
        </w:tc>
        <w:tc>
          <w:tcPr>
            <w:tcW w:type="dxa" w:w="3213"/>
          </w:tcPr>
          <w:p>
            <w:pPr>
              <w:spacing w:before="20" w:after="20"/>
            </w:pPr>
            <w:r>
              <w:rPr>
                <w:sz w:val="19"/>
              </w:rPr>
              <w:t>Refus de l'enregistrement. Le champ n'accepte pas non plus la valeur vide.</w:t>
            </w:r>
          </w:p>
        </w:tc>
      </w:tr>
      <w:tr>
        <w:tc>
          <w:tcPr>
            <w:tcW w:type="dxa" w:w="3213"/>
          </w:tcPr>
          <w:p>
            <w:pPr>
              <w:spacing w:before="20" w:after="20"/>
            </w:pPr>
            <w:r>
              <w:rPr>
                <w:sz w:val="19"/>
              </w:rPr>
              <w:t>Le code saisi est déjà porté par un autre type.</w:t>
            </w:r>
          </w:p>
        </w:tc>
        <w:tc>
          <w:tcPr>
            <w:tcW w:type="dxa" w:w="3213"/>
          </w:tcPr>
          <w:p>
            <w:pPr>
              <w:spacing w:before="20" w:after="20"/>
            </w:pPr>
            <w:r>
              <w:rPr>
                <w:sz w:val="19"/>
              </w:rPr>
              <w:t>Le code « TD-FACT » est déjà utilisé</w:t>
            </w:r>
          </w:p>
        </w:tc>
        <w:tc>
          <w:tcPr>
            <w:tcW w:type="dxa" w:w="3213"/>
          </w:tcPr>
          <w:p>
            <w:pPr>
              <w:spacing w:before="20" w:after="20"/>
            </w:pPr>
            <w:r>
              <w:rPr>
                <w:sz w:val="19"/>
              </w:rPr>
              <w:t>Le refus est signalé dans un bandeau au bas du formulaire ; le message reprend le code fautif.</w:t>
            </w:r>
          </w:p>
        </w:tc>
      </w:tr>
      <w:tr>
        <w:tc>
          <w:tcPr>
            <w:tcW w:type="dxa" w:w="3213"/>
          </w:tcPr>
          <w:p>
            <w:pPr>
              <w:spacing w:before="20" w:after="20"/>
            </w:pPr>
            <w:r>
              <w:rPr>
                <w:sz w:val="19"/>
              </w:rPr>
              <w:t>L'espace de travail retenu n'existe plus.</w:t>
            </w:r>
          </w:p>
        </w:tc>
        <w:tc>
          <w:tcPr>
            <w:tcW w:type="dxa" w:w="3213"/>
          </w:tcPr>
          <w:p>
            <w:pPr>
              <w:spacing w:before="20" w:after="20"/>
            </w:pPr>
            <w:r>
              <w:rPr>
                <w:sz w:val="19"/>
              </w:rPr>
              <w:t>Espace de travail introuvable : 4</w:t>
            </w:r>
          </w:p>
        </w:tc>
        <w:tc>
          <w:tcPr>
            <w:tcW w:type="dxa" w:w="3213"/>
          </w:tcPr>
          <w:p>
            <w:pPr>
              <w:spacing w:before="20" w:after="20"/>
            </w:pPr>
            <w:r>
              <w:rPr>
                <w:sz w:val="19"/>
              </w:rPr>
              <w:t>Le refus intervient à l'enregistrement. Situation rare, provoquée par une suppression faite en parallèle.</w:t>
            </w:r>
          </w:p>
        </w:tc>
      </w:tr>
      <w:tr>
        <w:tc>
          <w:tcPr>
            <w:tcW w:type="dxa" w:w="3213"/>
          </w:tcPr>
          <w:p>
            <w:pPr>
              <w:spacing w:before="20" w:after="20"/>
            </w:pPr>
            <w:r>
              <w:rPr>
                <w:sz w:val="19"/>
              </w:rPr>
              <w:t>Le plan d'indexation retenu n'existe plus.</w:t>
            </w:r>
          </w:p>
        </w:tc>
        <w:tc>
          <w:tcPr>
            <w:tcW w:type="dxa" w:w="3213"/>
          </w:tcPr>
          <w:p>
            <w:pPr>
              <w:spacing w:before="20" w:after="20"/>
            </w:pPr>
            <w:r>
              <w:rPr>
                <w:sz w:val="19"/>
              </w:rPr>
              <w:t>Plan d'indexation introuvable : 2</w:t>
            </w:r>
          </w:p>
        </w:tc>
        <w:tc>
          <w:tcPr>
            <w:tcW w:type="dxa" w:w="3213"/>
          </w:tcPr>
          <w:p>
            <w:pPr>
              <w:spacing w:before="20" w:after="20"/>
            </w:pPr>
            <w:r>
              <w:rPr>
                <w:sz w:val="19"/>
              </w:rPr>
              <w:t>Même origine et même comportement.</w:t>
            </w:r>
          </w:p>
        </w:tc>
      </w:tr>
      <w:tr>
        <w:tc>
          <w:tcPr>
            <w:tcW w:type="dxa" w:w="3213"/>
          </w:tcPr>
          <w:p>
            <w:pPr>
              <w:spacing w:before="20" w:after="20"/>
            </w:pPr>
            <w:r>
              <w:rPr>
                <w:sz w:val="19"/>
              </w:rPr>
              <w:t>L'enregistrement échoue pour une raison non interprétée.</w:t>
            </w:r>
          </w:p>
        </w:tc>
        <w:tc>
          <w:tcPr>
            <w:tcW w:type="dxa" w:w="3213"/>
          </w:tcPr>
          <w:p>
            <w:pPr>
              <w:spacing w:before="20" w:after="20"/>
            </w:pPr>
            <w:r>
              <w:rPr>
                <w:sz w:val="19"/>
              </w:rPr>
              <w:t>Une erreur est survenue.</w:t>
            </w:r>
          </w:p>
        </w:tc>
        <w:tc>
          <w:tcPr>
            <w:tcW w:type="dxa" w:w="3213"/>
          </w:tcPr>
          <w:p>
            <w:pPr>
              <w:spacing w:before="20" w:after="20"/>
            </w:pPr>
            <w:r>
              <w:rPr>
                <w:sz w:val="19"/>
              </w:rPr>
              <w:t>Message générique volontaire ; aucun détail technique n'est présenté.</w:t>
            </w:r>
          </w:p>
        </w:tc>
      </w:tr>
      <w:tr>
        <w:tc>
          <w:tcPr>
            <w:tcW w:type="dxa" w:w="3213"/>
          </w:tcPr>
          <w:p>
            <w:pPr>
              <w:spacing w:before="20" w:after="20"/>
            </w:pPr>
            <w:r>
              <w:rPr>
                <w:sz w:val="19"/>
              </w:rPr>
              <w:t>La liste ne peut pas être chargée.</w:t>
            </w:r>
          </w:p>
        </w:tc>
        <w:tc>
          <w:tcPr>
            <w:tcW w:type="dxa" w:w="3213"/>
          </w:tcPr>
          <w:p>
            <w:pPr>
              <w:spacing w:before="20" w:after="20"/>
            </w:pPr>
            <w:r>
              <w:rPr>
                <w:sz w:val="19"/>
              </w:rPr>
              <w:t>Chargement impossible.</w:t>
            </w:r>
          </w:p>
        </w:tc>
        <w:tc>
          <w:tcPr>
            <w:tcW w:type="dxa" w:w="3213"/>
          </w:tcPr>
          <w:p>
            <w:pPr>
              <w:spacing w:before="20" w:after="20"/>
            </w:pPr>
            <w:r>
              <w:rPr>
                <w:sz w:val="19"/>
              </w:rPr>
              <w:t>Le tableau reste vide ; le bouton Rafraîchir permet de retenter.</w:t>
            </w:r>
          </w:p>
        </w:tc>
      </w:tr>
      <w:tr>
        <w:tc>
          <w:tcPr>
            <w:tcW w:type="dxa" w:w="3213"/>
          </w:tcPr>
          <w:p>
            <w:pPr>
              <w:spacing w:before="20" w:after="20"/>
            </w:pPr>
            <w:r>
              <w:rPr>
                <w:sz w:val="19"/>
              </w:rPr>
              <w:t>La fiche demandée est introuvable.</w:t>
            </w:r>
          </w:p>
        </w:tc>
        <w:tc>
          <w:tcPr>
            <w:tcW w:type="dxa" w:w="3213"/>
          </w:tcPr>
          <w:p>
            <w:pPr>
              <w:spacing w:before="20" w:after="20"/>
            </w:pPr>
            <w:r>
              <w:rPr>
                <w:sz w:val="19"/>
              </w:rPr>
              <w:t>Type de document introuvable</w:t>
            </w:r>
          </w:p>
        </w:tc>
        <w:tc>
          <w:tcPr>
            <w:tcW w:type="dxa" w:w="3213"/>
          </w:tcPr>
          <w:p>
            <w:pPr>
              <w:spacing w:before="20" w:after="20"/>
            </w:pPr>
            <w:r>
              <w:rPr>
                <w:sz w:val="19"/>
              </w:rPr>
              <w:t>La page affiche cet état accompagné de « Il a peut-être été supprimé. » et d'un lien de retour à la liste.</w:t>
            </w:r>
          </w:p>
        </w:tc>
      </w:tr>
      <w:tr>
        <w:tc>
          <w:tcPr>
            <w:tcW w:type="dxa" w:w="3213"/>
          </w:tcPr>
          <w:p>
            <w:pPr>
              <w:spacing w:before="20" w:after="20"/>
            </w:pPr>
            <w:r>
              <w:rPr>
                <w:sz w:val="19"/>
              </w:rPr>
              <w:t>La suppression échoue.</w:t>
            </w:r>
          </w:p>
        </w:tc>
        <w:tc>
          <w:tcPr>
            <w:tcW w:type="dxa" w:w="3213"/>
          </w:tcPr>
          <w:p>
            <w:pPr>
              <w:spacing w:before="20" w:after="20"/>
            </w:pPr>
            <w:r>
              <w:rPr>
                <w:sz w:val="19"/>
              </w:rPr>
              <w:t>Suppression impossible.</w:t>
            </w:r>
          </w:p>
        </w:tc>
        <w:tc>
          <w:tcPr>
            <w:tcW w:type="dxa" w:w="3213"/>
          </w:tcPr>
          <w:p>
            <w:pPr>
              <w:spacing w:before="20" w:after="20"/>
            </w:pPr>
            <w:r>
              <w:rPr>
                <w:sz w:val="19"/>
              </w:rPr>
              <w:t>Le type reste dans la vue Actifs.</w:t>
            </w:r>
          </w:p>
        </w:tc>
      </w:tr>
      <w:tr>
        <w:tc>
          <w:tcPr>
            <w:tcW w:type="dxa" w:w="3213"/>
          </w:tcPr>
          <w:p>
            <w:pPr>
              <w:spacing w:before="20" w:after="20"/>
            </w:pPr>
            <w:r>
              <w:rPr>
                <w:sz w:val="19"/>
              </w:rPr>
              <w:t>La restauration échoue.</w:t>
            </w:r>
          </w:p>
        </w:tc>
        <w:tc>
          <w:tcPr>
            <w:tcW w:type="dxa" w:w="3213"/>
          </w:tcPr>
          <w:p>
            <w:pPr>
              <w:spacing w:before="20" w:after="20"/>
            </w:pPr>
            <w:r>
              <w:rPr>
                <w:sz w:val="19"/>
              </w:rPr>
              <w:t>Restauration impossible.</w:t>
            </w:r>
          </w:p>
        </w:tc>
        <w:tc>
          <w:tcPr>
            <w:tcW w:type="dxa" w:w="3213"/>
          </w:tcPr>
          <w:p>
            <w:pPr>
              <w:spacing w:before="20" w:after="20"/>
            </w:pPr>
            <w:r>
              <w:rPr>
                <w:sz w:val="19"/>
              </w:rPr>
              <w:t>Le type reste dans l'archive.</w:t>
            </w:r>
          </w:p>
        </w:tc>
      </w:tr>
      <w:tr>
        <w:tc>
          <w:tcPr>
            <w:tcW w:type="dxa" w:w="3213"/>
          </w:tcPr>
          <w:p>
            <w:pPr>
              <w:spacing w:before="20" w:after="20"/>
            </w:pPr>
            <w:r>
              <w:rPr>
                <w:sz w:val="19"/>
              </w:rPr>
              <w:t>Une action groupée échoue.</w:t>
            </w:r>
          </w:p>
        </w:tc>
        <w:tc>
          <w:tcPr>
            <w:tcW w:type="dxa" w:w="3213"/>
          </w:tcPr>
          <w:p>
            <w:pPr>
              <w:spacing w:before="20" w:after="20"/>
            </w:pPr>
            <w:r>
              <w:rPr>
                <w:sz w:val="19"/>
              </w:rPr>
              <w:t>Opération impossible.</w:t>
            </w:r>
          </w:p>
        </w:tc>
        <w:tc>
          <w:tcPr>
            <w:tcW w:type="dxa" w:w="3213"/>
          </w:tcPr>
          <w:p>
            <w:pPr>
              <w:spacing w:before="20" w:after="20"/>
            </w:pPr>
            <w:r>
              <w:rPr>
                <w:sz w:val="19"/>
              </w:rPr>
              <w:t>Aucune ligne n'est présumée traitée ; il convient de recharger la liste.</w:t>
            </w:r>
          </w:p>
        </w:tc>
      </w:tr>
    </w:tbl>
    <w:p>
      <w:pPr>
        <w:spacing w:after="40"/>
      </w:pPr>
    </w:p>
    <w:p>
      <w:pPr>
        <w:pStyle w:val="Heading2"/>
      </w:pPr>
      <w:r>
        <w:t>7.1 Les demandes de confirmation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Geste</w:t>
            </w:r>
          </w:p>
        </w:tc>
        <w:tc>
          <w:tcPr>
            <w:tcW w:type="dxa" w:w="3213"/>
          </w:tcPr>
          <w:p>
            <w:pPr>
              <w:spacing w:before="20" w:after="20"/>
            </w:pPr>
            <w:r>
              <w:rPr>
                <w:b/>
                <w:sz w:val="19"/>
              </w:rPr>
              <w:t>Titre de la fenêtre</w:t>
            </w:r>
          </w:p>
        </w:tc>
        <w:tc>
          <w:tcPr>
            <w:tcW w:type="dxa" w:w="3213"/>
          </w:tcPr>
          <w:p>
            <w:pPr>
              <w:spacing w:before="20" w:after="20"/>
            </w:pPr>
            <w:r>
              <w:rPr>
                <w:b/>
                <w:sz w:val="19"/>
              </w:rPr>
              <w:t>Message exact</w:t>
            </w:r>
          </w:p>
        </w:tc>
      </w:tr>
      <w:tr>
        <w:tc>
          <w:tcPr>
            <w:tcW w:type="dxa" w:w="3213"/>
          </w:tcPr>
          <w:p>
            <w:pPr>
              <w:spacing w:before="20" w:after="20"/>
            </w:pPr>
            <w:r>
              <w:rPr>
                <w:sz w:val="19"/>
              </w:rPr>
              <w:t>Supprimer un type</w:t>
            </w:r>
          </w:p>
        </w:tc>
        <w:tc>
          <w:tcPr>
            <w:tcW w:type="dxa" w:w="3213"/>
          </w:tcPr>
          <w:p>
            <w:pPr>
              <w:spacing w:before="20" w:after="20"/>
            </w:pPr>
            <w:r>
              <w:rPr>
                <w:sz w:val="19"/>
              </w:rPr>
              <w:t>Supprimer ce type</w:t>
            </w:r>
          </w:p>
        </w:tc>
        <w:tc>
          <w:tcPr>
            <w:tcW w:type="dxa" w:w="3213"/>
          </w:tcPr>
          <w:p>
            <w:pPr>
              <w:spacing w:before="20" w:after="20"/>
            </w:pPr>
            <w:r>
              <w:rPr>
                <w:sz w:val="19"/>
              </w:rPr>
              <w:t>« Facture » sera déplacé vers la corbeille.</w:t>
            </w:r>
          </w:p>
        </w:tc>
      </w:tr>
      <w:tr>
        <w:tc>
          <w:tcPr>
            <w:tcW w:type="dxa" w:w="3213"/>
          </w:tcPr>
          <w:p>
            <w:pPr>
              <w:spacing w:before="20" w:after="20"/>
            </w:pPr>
            <w:r>
              <w:rPr>
                <w:sz w:val="19"/>
              </w:rPr>
              <w:t>Supprimer une sélection</w:t>
            </w:r>
          </w:p>
        </w:tc>
        <w:tc>
          <w:tcPr>
            <w:tcW w:type="dxa" w:w="3213"/>
          </w:tcPr>
          <w:p>
            <w:pPr>
              <w:spacing w:before="20" w:after="20"/>
            </w:pPr>
            <w:r>
              <w:rPr>
                <w:sz w:val="19"/>
              </w:rPr>
              <w:t>Supprimer la sélection</w:t>
            </w:r>
          </w:p>
        </w:tc>
        <w:tc>
          <w:tcPr>
            <w:tcW w:type="dxa" w:w="3213"/>
          </w:tcPr>
          <w:p>
            <w:pPr>
              <w:spacing w:before="20" w:after="20"/>
            </w:pPr>
            <w:r>
              <w:rPr>
                <w:sz w:val="19"/>
              </w:rPr>
              <w:t>Voulez-vous supprimer 2 type(s) ?</w:t>
            </w:r>
          </w:p>
        </w:tc>
      </w:tr>
      <w:tr>
        <w:tc>
          <w:tcPr>
            <w:tcW w:type="dxa" w:w="3213"/>
          </w:tcPr>
          <w:p>
            <w:pPr>
              <w:spacing w:before="20" w:after="20"/>
            </w:pPr>
            <w:r>
              <w:rPr>
                <w:sz w:val="19"/>
              </w:rPr>
              <w:t>Restaurer une sélection</w:t>
            </w:r>
          </w:p>
        </w:tc>
        <w:tc>
          <w:tcPr>
            <w:tcW w:type="dxa" w:w="3213"/>
          </w:tcPr>
          <w:p>
            <w:pPr>
              <w:spacing w:before="20" w:after="20"/>
            </w:pPr>
            <w:r>
              <w:rPr>
                <w:sz w:val="19"/>
              </w:rPr>
              <w:t>Restaurer la sélection</w:t>
            </w:r>
          </w:p>
        </w:tc>
        <w:tc>
          <w:tcPr>
            <w:tcW w:type="dxa" w:w="3213"/>
          </w:tcPr>
          <w:p>
            <w:pPr>
              <w:spacing w:before="20" w:after="20"/>
            </w:pPr>
            <w:r>
              <w:rPr>
                <w:sz w:val="19"/>
              </w:rPr>
              <w:t>Voulez-vous restaurer 2 type(s) ?</w:t>
            </w:r>
          </w:p>
        </w:tc>
      </w:tr>
      <w:tr>
        <w:tc>
          <w:tcPr>
            <w:tcW w:type="dxa" w:w="3213"/>
          </w:tcPr>
          <w:p>
            <w:pPr>
              <w:spacing w:before="20" w:after="20"/>
            </w:pPr>
            <w:r>
              <w:rPr>
                <w:sz w:val="19"/>
              </w:rPr>
              <w:t>Restaurer un type</w:t>
            </w:r>
          </w:p>
        </w:tc>
        <w:tc>
          <w:tcPr>
            <w:tcW w:type="dxa" w:w="3213"/>
          </w:tcPr>
          <w:p>
            <w:pPr>
              <w:spacing w:before="20" w:after="20"/>
            </w:pPr>
            <w:r>
              <w:rPr>
                <w:sz w:val="19"/>
              </w:rPr>
              <w:t>— aucune confirmation —</w:t>
            </w:r>
          </w:p>
        </w:tc>
        <w:tc>
          <w:tcPr>
            <w:tcW w:type="dxa" w:w="3213"/>
          </w:tcPr>
          <w:p>
            <w:pPr>
              <w:spacing w:before="20" w:after="20"/>
            </w:pPr>
            <w:r>
              <w:rPr>
                <w:sz w:val="19"/>
              </w:rPr>
              <w:t>L'action est immédiate.</w:t>
            </w:r>
          </w:p>
        </w:tc>
      </w:tr>
    </w:tbl>
    <w:p>
      <w:pPr>
        <w:spacing w:after="40"/>
      </w:pPr>
    </w:p>
    <w:p>
      <w:pPr>
        <w:pStyle w:val="Heading2"/>
      </w:pPr>
      <w:r>
        <w:t>7.2 Les messages de réussite</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Action</w:t>
            </w:r>
          </w:p>
        </w:tc>
        <w:tc>
          <w:tcPr>
            <w:tcW w:type="dxa" w:w="4819"/>
          </w:tcPr>
          <w:p>
            <w:pPr>
              <w:spacing w:before="20" w:after="20"/>
            </w:pPr>
            <w:r>
              <w:rPr>
                <w:b/>
                <w:sz w:val="19"/>
              </w:rPr>
              <w:t>Message exact</w:t>
            </w:r>
          </w:p>
        </w:tc>
      </w:tr>
      <w:tr>
        <w:tc>
          <w:tcPr>
            <w:tcW w:type="dxa" w:w="4819"/>
          </w:tcPr>
          <w:p>
            <w:pPr>
              <w:spacing w:before="20" w:after="20"/>
            </w:pPr>
            <w:r>
              <w:rPr>
                <w:sz w:val="19"/>
              </w:rPr>
              <w:t>Création</w:t>
            </w:r>
          </w:p>
        </w:tc>
        <w:tc>
          <w:tcPr>
            <w:tcW w:type="dxa" w:w="4819"/>
          </w:tcPr>
          <w:p>
            <w:pPr>
              <w:spacing w:before="20" w:after="20"/>
            </w:pPr>
            <w:r>
              <w:rPr>
                <w:sz w:val="19"/>
              </w:rPr>
              <w:t>Type de document créé.</w:t>
            </w:r>
          </w:p>
        </w:tc>
      </w:tr>
      <w:tr>
        <w:tc>
          <w:tcPr>
            <w:tcW w:type="dxa" w:w="4819"/>
          </w:tcPr>
          <w:p>
            <w:pPr>
              <w:spacing w:before="20" w:after="20"/>
            </w:pPr>
            <w:r>
              <w:rPr>
                <w:sz w:val="19"/>
              </w:rPr>
              <w:t>Modification, depuis la liste ou depuis la fiche</w:t>
            </w:r>
          </w:p>
        </w:tc>
        <w:tc>
          <w:tcPr>
            <w:tcW w:type="dxa" w:w="4819"/>
          </w:tcPr>
          <w:p>
            <w:pPr>
              <w:spacing w:before="20" w:after="20"/>
            </w:pPr>
            <w:r>
              <w:rPr>
                <w:sz w:val="19"/>
              </w:rPr>
              <w:t>Type de document modifié.</w:t>
            </w:r>
          </w:p>
        </w:tc>
      </w:tr>
      <w:tr>
        <w:tc>
          <w:tcPr>
            <w:tcW w:type="dxa" w:w="4819"/>
          </w:tcPr>
          <w:p>
            <w:pPr>
              <w:spacing w:before="20" w:after="20"/>
            </w:pPr>
            <w:r>
              <w:rPr>
                <w:sz w:val="19"/>
              </w:rPr>
              <w:t>Suppression</w:t>
            </w:r>
          </w:p>
        </w:tc>
        <w:tc>
          <w:tcPr>
            <w:tcW w:type="dxa" w:w="4819"/>
          </w:tcPr>
          <w:p>
            <w:pPr>
              <w:spacing w:before="20" w:after="20"/>
            </w:pPr>
            <w:r>
              <w:rPr>
                <w:sz w:val="19"/>
              </w:rPr>
              <w:t>Type de document supprimé.</w:t>
            </w:r>
          </w:p>
        </w:tc>
      </w:tr>
      <w:tr>
        <w:tc>
          <w:tcPr>
            <w:tcW w:type="dxa" w:w="4819"/>
          </w:tcPr>
          <w:p>
            <w:pPr>
              <w:spacing w:before="20" w:after="20"/>
            </w:pPr>
            <w:r>
              <w:rPr>
                <w:sz w:val="19"/>
              </w:rPr>
              <w:t>Restauration</w:t>
            </w:r>
          </w:p>
        </w:tc>
        <w:tc>
          <w:tcPr>
            <w:tcW w:type="dxa" w:w="4819"/>
          </w:tcPr>
          <w:p>
            <w:pPr>
              <w:spacing w:before="20" w:after="20"/>
            </w:pPr>
            <w:r>
              <w:rPr>
                <w:sz w:val="19"/>
              </w:rPr>
              <w:t>Type de document restauré.</w:t>
            </w:r>
          </w:p>
        </w:tc>
      </w:tr>
      <w:tr>
        <w:tc>
          <w:tcPr>
            <w:tcW w:type="dxa" w:w="4819"/>
          </w:tcPr>
          <w:p>
            <w:pPr>
              <w:spacing w:before="20" w:after="20"/>
            </w:pPr>
            <w:r>
              <w:rPr>
                <w:sz w:val="19"/>
              </w:rPr>
              <w:t>Suppression en lot</w:t>
            </w:r>
          </w:p>
        </w:tc>
        <w:tc>
          <w:tcPr>
            <w:tcW w:type="dxa" w:w="4819"/>
          </w:tcPr>
          <w:p>
            <w:pPr>
              <w:spacing w:before="20" w:after="20"/>
            </w:pPr>
            <w:r>
              <w:rPr>
                <w:sz w:val="19"/>
              </w:rPr>
              <w:t>2 type(s) supprimé(s).</w:t>
            </w:r>
          </w:p>
        </w:tc>
      </w:tr>
      <w:tr>
        <w:tc>
          <w:tcPr>
            <w:tcW w:type="dxa" w:w="4819"/>
          </w:tcPr>
          <w:p>
            <w:pPr>
              <w:spacing w:before="20" w:after="20"/>
            </w:pPr>
            <w:r>
              <w:rPr>
                <w:sz w:val="19"/>
              </w:rPr>
              <w:t>Restauration en lot</w:t>
            </w:r>
          </w:p>
        </w:tc>
        <w:tc>
          <w:tcPr>
            <w:tcW w:type="dxa" w:w="4819"/>
          </w:tcPr>
          <w:p>
            <w:pPr>
              <w:spacing w:before="20" w:after="20"/>
            </w:pPr>
            <w:r>
              <w:rPr>
                <w:sz w:val="19"/>
              </w:rPr>
              <w:t>2 type(s) restauré(s).</w:t>
            </w:r>
          </w:p>
        </w:tc>
      </w:tr>
    </w:tbl>
    <w:p>
      <w:pPr>
        <w:spacing w:after="40"/>
      </w:pPr>
    </w:p>
    <w:p>
      <w:pPr/>
      <w:r>
        <w:t>Le libellé employé est toujours complet : « Type de document supprimé. », jamais « Type supprimé. ».</w:t>
      </w:r>
    </w:p>
    <w:p>
      <w:pPr>
        <w:pStyle w:val="Heading1"/>
      </w:pPr>
      <w:r>
        <w:t>8. Les cas particuliers</w:t>
      </w:r>
    </w:p>
    <w:p>
      <w:pPr>
        <w:pStyle w:val="Heading2"/>
      </w:pPr>
      <w:r>
        <w:t>8.1 Le type sans plan d'indexation</w:t>
      </w:r>
    </w:p>
    <w:p>
      <w:pPr/>
      <w:r>
        <w:t>C'est le cas particulier le plus important de l'écran, et il est parfaitement valide. Un compte rendu de réunion, une note interne, une photographie de chantier n'ont aucune information structurée à porter : ni numéro, ni fournisseur, ni date d'échéance. Leur imposer un plan reviendrait à inventer des champs que personne ne remplira.</w:t>
      </w:r>
    </w:p>
    <w:p>
      <w:pPr/>
      <w:r>
        <w:t>Trois conséquences, qui se manifestent toutes sur l'écran de dépôt :</w:t>
      </w:r>
    </w:p>
    <w:p>
      <w:pPr>
        <w:pStyle w:val="ListNumber"/>
        <w:numPr>
          <w:ilvl w:val="0"/>
          <w:numId w:val="16"/>
        </w:numPr>
      </w:pPr>
      <w:r>
        <w:t>Aucune table de champs n'est affichée. L'opérateur ne voit pas une grille vide, il ne voit rien du tout.</w:t>
      </w:r>
    </w:p>
    <w:p>
      <w:pPr>
        <w:pStyle w:val="ListNumber"/>
        <w:numPr>
          <w:ilvl w:val="0"/>
          <w:numId w:val="16"/>
        </w:numPr>
      </w:pPr>
      <w:r>
        <w:t>Aucun nom n'est composé. Le document conserve le nom de son fichier, ou celui que l'opérateur a saisi.</w:t>
      </w:r>
    </w:p>
    <w:p>
      <w:pPr>
        <w:pStyle w:val="ListNumber"/>
        <w:numPr>
          <w:ilvl w:val="0"/>
          <w:numId w:val="16"/>
        </w:numPr>
      </w:pPr>
      <w:r>
        <w:t>L'écran le dit explicitement : dès que le type est retenu, un avertissement annonce que le type nommé n'a pas de plan d'indexation et que le document sera déposé sans aucun index. Il ne s'agit pas d'une erreur, mais d'une information : sans elle, l'opérateur chercherait des champs qui n'existent pas et croirait à un dysfonctionnement.</w:t>
      </w:r>
    </w:p>
    <w:p>
      <w:pPr>
        <w:spacing w:before="0" w:after="0"/>
        <w:ind w:left="113"/>
      </w:pPr>
      <w:r>
        <w:rPr>
          <w:rFonts w:ascii="Consolas" w:hAnsi="Consolas" w:cs="Consolas"/>
          <w:sz w:val="18"/>
        </w:rPr>
        <w:t xml:space="preserve">  TYPE AVEC PLAN  vs  TYPE SANS PLAN, vus depuis l'écran de dépôt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TYPE « Facture »  (plan : Fiche Facture)   TYPE « Compte rendu »  (plan : aucun)</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Type de document : [ Facture      v ]     Type de document : [ Compte rendu v ]</w:t>
      </w:r>
    </w:p>
    <w:p>
      <w:pPr>
        <w:spacing w:before="0" w:after="0"/>
        <w:ind w:left="113"/>
      </w:pPr>
      <w:r>
        <w:rPr>
          <w:rFonts w:ascii="Consolas" w:hAnsi="Consolas" w:cs="Consolas"/>
          <w:sz w:val="18"/>
        </w:rPr>
        <w:t xml:space="preserve">                                             (!) Le type « Compte rendu » n'a pas</w:t>
      </w:r>
    </w:p>
    <w:p>
      <w:pPr>
        <w:spacing w:before="0" w:after="0"/>
        <w:ind w:left="113"/>
      </w:pPr>
      <w:r>
        <w:rPr>
          <w:rFonts w:ascii="Consolas" w:hAnsi="Consolas" w:cs="Consolas"/>
          <w:sz w:val="18"/>
        </w:rPr>
        <w:t xml:space="preserve">                                                 de plan d'indexation : le document</w:t>
      </w:r>
    </w:p>
    <w:p>
      <w:pPr>
        <w:spacing w:before="0" w:after="0"/>
        <w:ind w:left="113"/>
      </w:pPr>
      <w:r>
        <w:rPr>
          <w:rFonts w:ascii="Consolas" w:hAnsi="Consolas" w:cs="Consolas"/>
          <w:sz w:val="18"/>
        </w:rPr>
        <w:t xml:space="preserve">                                                 sera déposé SANS AUCUN INDEX.</w:t>
      </w:r>
    </w:p>
    <w:p>
      <w:pPr>
        <w:spacing w:before="0" w:after="0"/>
        <w:ind w:left="113"/>
      </w:pPr>
      <w:r>
        <w:rPr>
          <w:rFonts w:ascii="Consolas" w:hAnsi="Consolas" w:cs="Consolas"/>
          <w:sz w:val="18"/>
        </w:rPr>
        <w:t xml:space="preserve">   Fichier          : facture.pdf            Fichier          : reunion.pdf</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Charte « Fiche Facture » — 2/4 champs     (aucune table de champs)</w:t>
      </w:r>
    </w:p>
    <w:p>
      <w:pPr>
        <w:spacing w:before="0" w:after="0"/>
        <w:ind w:left="113"/>
      </w:pPr>
      <w:r>
        <w:rPr>
          <w:rFonts w:ascii="Consolas" w:hAnsi="Consolas" w:cs="Consolas"/>
          <w:sz w:val="18"/>
        </w:rPr>
        <w:t xml:space="preserve">   déduits automatiquement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Numéro de facture *  [ 2026003  ] |</w:t>
      </w:r>
    </w:p>
    <w:p>
      <w:pPr>
        <w:spacing w:before="0" w:after="0"/>
        <w:ind w:left="113"/>
      </w:pPr>
      <w:r>
        <w:rPr>
          <w:rFonts w:ascii="Consolas" w:hAnsi="Consolas" w:cs="Consolas"/>
          <w:sz w:val="18"/>
        </w:rPr>
        <w:t xml:space="preserve">   | Date d'émission *    [ 2026-02-02]|</w:t>
      </w:r>
    </w:p>
    <w:p>
      <w:pPr>
        <w:spacing w:before="0" w:after="0"/>
        <w:ind w:left="113"/>
      </w:pPr>
      <w:r>
        <w:rPr>
          <w:rFonts w:ascii="Consolas" w:hAnsi="Consolas" w:cs="Consolas"/>
          <w:sz w:val="18"/>
        </w:rPr>
        <w:t xml:space="preserve">   | Fournisseur          [ ACME     ] |</w:t>
      </w:r>
    </w:p>
    <w:p>
      <w:pPr>
        <w:spacing w:before="0" w:after="0"/>
        <w:ind w:left="113"/>
      </w:pPr>
      <w:r>
        <w:rPr>
          <w:rFonts w:ascii="Consolas" w:hAnsi="Consolas" w:cs="Consolas"/>
          <w:sz w:val="18"/>
        </w:rPr>
        <w:t xml:space="preserve">   | Priorité             [ Normale v]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Nom du document : (neutralisé)            Nom du document : [ librement saisi ]</w:t>
      </w:r>
    </w:p>
    <w:p>
      <w:pPr>
        <w:spacing w:before="0" w:after="0"/>
        <w:ind w:left="113"/>
      </w:pPr>
      <w:r>
        <w:rPr>
          <w:rFonts w:ascii="Consolas" w:hAnsi="Consolas" w:cs="Consolas"/>
          <w:sz w:val="18"/>
        </w:rPr>
        <w:t xml:space="preserve">   « Composé au dépôt d'après la charte      « Par défaut : le nom du fichier »</w:t>
      </w:r>
    </w:p>
    <w:p>
      <w:pPr>
        <w:spacing w:before="0" w:after="0"/>
        <w:ind w:left="113"/>
      </w:pPr>
      <w:r>
        <w:rPr>
          <w:rFonts w:ascii="Consolas" w:hAnsi="Consolas" w:cs="Consolas"/>
          <w:sz w:val="18"/>
        </w:rPr>
        <w:t xml:space="preserve">     du plan Fiche Facture »</w:t>
      </w:r>
    </w:p>
    <w:p>
      <w:pPr>
        <w:spacing w:after="40"/>
      </w:pPr>
    </w:p>
    <w:p>
      <w:pPr>
        <w:pStyle w:val="Heading2"/>
      </w:pPr>
      <w:r>
        <w:t>8.2 Le type sans format déclaré</w:t>
      </w:r>
    </w:p>
    <w:p>
      <w:pPr/>
      <w:r>
        <w:t>Le formulaire exige au moins un format, mais des types repris d'une version antérieure peuvent n'en porter aucun. Dans ce cas, la colonne « Types autorisés » affiche un tiret long et la fiche également. Au dépôt, un type sans format déclaré n'impose aucune restriction d'extension : tous les fichiers passent le filtre. Le comportement n'est donc pas « rien n'est accepté » mais « tout est accepté », ce qui est l'inverse de l'intuition.</w:t>
      </w:r>
    </w:p>
    <w:p>
      <w:pPr>
        <w:pStyle w:val="Heading2"/>
      </w:pPr>
      <w:r>
        <w:t>8.3 Modifier un type alors que des documents en dépendent</w:t>
      </w:r>
    </w:p>
    <w:p>
      <w:pPr/>
      <w:r>
        <w:t>L'application n'y oppose aucun obstacle et n'affiche aucun avertissement. Il faut toutefois savoir ce qui se produit.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Modification apportée</w:t>
            </w:r>
          </w:p>
        </w:tc>
        <w:tc>
          <w:tcPr>
            <w:tcW w:type="dxa" w:w="3213"/>
          </w:tcPr>
          <w:p>
            <w:pPr>
              <w:spacing w:before="20" w:after="20"/>
            </w:pPr>
            <w:r>
              <w:rPr>
                <w:b/>
                <w:sz w:val="19"/>
              </w:rPr>
              <w:t>Effet sur les documents déjà déposés</w:t>
            </w:r>
          </w:p>
        </w:tc>
        <w:tc>
          <w:tcPr>
            <w:tcW w:type="dxa" w:w="3213"/>
          </w:tcPr>
          <w:p>
            <w:pPr>
              <w:spacing w:before="20" w:after="20"/>
            </w:pPr>
            <w:r>
              <w:rPr>
                <w:b/>
                <w:sz w:val="19"/>
              </w:rPr>
              <w:t>Effet sur les dépôts futurs</w:t>
            </w:r>
          </w:p>
        </w:tc>
      </w:tr>
      <w:tr>
        <w:tc>
          <w:tcPr>
            <w:tcW w:type="dxa" w:w="3213"/>
          </w:tcPr>
          <w:p>
            <w:pPr>
              <w:spacing w:before="20" w:after="20"/>
            </w:pPr>
            <w:r>
              <w:rPr>
                <w:sz w:val="19"/>
              </w:rPr>
              <w:t>Changement d'espace de travail</w:t>
            </w:r>
          </w:p>
        </w:tc>
        <w:tc>
          <w:tcPr>
            <w:tcW w:type="dxa" w:w="3213"/>
          </w:tcPr>
          <w:p>
            <w:pPr>
              <w:spacing w:before="20" w:after="20"/>
            </w:pPr>
            <w:r>
              <w:rPr>
                <w:sz w:val="19"/>
              </w:rPr>
              <w:t>Aucun : les documents restent dans l'ancien dossier.</w:t>
            </w:r>
          </w:p>
        </w:tc>
        <w:tc>
          <w:tcPr>
            <w:tcW w:type="dxa" w:w="3213"/>
          </w:tcPr>
          <w:p>
            <w:pPr>
              <w:spacing w:before="20" w:after="20"/>
            </w:pPr>
            <w:r>
              <w:rPr>
                <w:sz w:val="19"/>
              </w:rPr>
              <w:t>Les nouveaux documents vont dans le nouveau dossier et suivent le circuit de ce dossier.</w:t>
            </w:r>
          </w:p>
        </w:tc>
      </w:tr>
      <w:tr>
        <w:tc>
          <w:tcPr>
            <w:tcW w:type="dxa" w:w="3213"/>
          </w:tcPr>
          <w:p>
            <w:pPr>
              <w:spacing w:before="20" w:after="20"/>
            </w:pPr>
            <w:r>
              <w:rPr>
                <w:sz w:val="19"/>
              </w:rPr>
              <w:t>Ajout ou retrait d'un plan d'indexation</w:t>
            </w:r>
          </w:p>
        </w:tc>
        <w:tc>
          <w:tcPr>
            <w:tcW w:type="dxa" w:w="3213"/>
          </w:tcPr>
          <w:p>
            <w:pPr>
              <w:spacing w:before="20" w:after="20"/>
            </w:pPr>
            <w:r>
              <w:rPr>
                <w:sz w:val="19"/>
              </w:rPr>
              <w:t>Aucun : ni réindexation, ni renommage.</w:t>
            </w:r>
          </w:p>
        </w:tc>
        <w:tc>
          <w:tcPr>
            <w:tcW w:type="dxa" w:w="3213"/>
          </w:tcPr>
          <w:p>
            <w:pPr>
              <w:spacing w:before="20" w:after="20"/>
            </w:pPr>
            <w:r>
              <w:rPr>
                <w:sz w:val="19"/>
              </w:rPr>
              <w:t>Les champs demandés et le nom composé changent immédiatement.</w:t>
            </w:r>
          </w:p>
        </w:tc>
      </w:tr>
      <w:tr>
        <w:tc>
          <w:tcPr>
            <w:tcW w:type="dxa" w:w="3213"/>
          </w:tcPr>
          <w:p>
            <w:pPr>
              <w:spacing w:before="20" w:after="20"/>
            </w:pPr>
            <w:r>
              <w:rPr>
                <w:sz w:val="19"/>
              </w:rPr>
              <w:t>Retrait d'un format autorisé</w:t>
            </w:r>
          </w:p>
        </w:tc>
        <w:tc>
          <w:tcPr>
            <w:tcW w:type="dxa" w:w="3213"/>
          </w:tcPr>
          <w:p>
            <w:pPr>
              <w:spacing w:before="20" w:after="20"/>
            </w:pPr>
            <w:r>
              <w:rPr>
                <w:sz w:val="19"/>
              </w:rPr>
              <w:t>Aucun : les fichiers déjà stockés ne sont pas ressortis.</w:t>
            </w:r>
          </w:p>
        </w:tc>
        <w:tc>
          <w:tcPr>
            <w:tcW w:type="dxa" w:w="3213"/>
          </w:tcPr>
          <w:p>
            <w:pPr>
              <w:spacing w:before="20" w:after="20"/>
            </w:pPr>
            <w:r>
              <w:rPr>
                <w:sz w:val="19"/>
              </w:rPr>
              <w:t>Les nouveaux fichiers de ce format sont refusés à l'écran.</w:t>
            </w:r>
          </w:p>
        </w:tc>
      </w:tr>
      <w:tr>
        <w:tc>
          <w:tcPr>
            <w:tcW w:type="dxa" w:w="3213"/>
          </w:tcPr>
          <w:p>
            <w:pPr>
              <w:spacing w:before="20" w:after="20"/>
            </w:pPr>
            <w:r>
              <w:rPr>
                <w:sz w:val="19"/>
              </w:rPr>
              <w:t>Réduction de la taille maximale</w:t>
            </w:r>
          </w:p>
        </w:tc>
        <w:tc>
          <w:tcPr>
            <w:tcW w:type="dxa" w:w="3213"/>
          </w:tcPr>
          <w:p>
            <w:pPr>
              <w:spacing w:before="20" w:after="20"/>
            </w:pPr>
            <w:r>
              <w:rPr>
                <w:sz w:val="19"/>
              </w:rPr>
              <w:t>Aucun.</w:t>
            </w:r>
          </w:p>
        </w:tc>
        <w:tc>
          <w:tcPr>
            <w:tcW w:type="dxa" w:w="3213"/>
          </w:tcPr>
          <w:p>
            <w:pPr>
              <w:spacing w:before="20" w:after="20"/>
            </w:pPr>
            <w:r>
              <w:rPr>
                <w:sz w:val="19"/>
              </w:rPr>
              <w:t>Les nouveaux fichiers dépassant le nouveau plafond sont refusés.</w:t>
            </w:r>
          </w:p>
        </w:tc>
      </w:tr>
      <w:tr>
        <w:tc>
          <w:tcPr>
            <w:tcW w:type="dxa" w:w="3213"/>
          </w:tcPr>
          <w:p>
            <w:pPr>
              <w:spacing w:before="20" w:after="20"/>
            </w:pPr>
            <w:r>
              <w:rPr>
                <w:sz w:val="19"/>
              </w:rPr>
              <w:t>Changement du libellé</w:t>
            </w:r>
          </w:p>
        </w:tc>
        <w:tc>
          <w:tcPr>
            <w:tcW w:type="dxa" w:w="3213"/>
          </w:tcPr>
          <w:p>
            <w:pPr>
              <w:spacing w:before="20" w:after="20"/>
            </w:pPr>
            <w:r>
              <w:rPr>
                <w:sz w:val="19"/>
              </w:rPr>
              <w:t>Le nouveau libellé s'affiche partout, y compris sur les documents anciens.</w:t>
            </w:r>
          </w:p>
        </w:tc>
        <w:tc>
          <w:tcPr>
            <w:tcW w:type="dxa" w:w="3213"/>
          </w:tcPr>
          <w:p>
            <w:pPr>
              <w:spacing w:before="20" w:after="20"/>
            </w:pPr>
            <w:r>
              <w:rPr>
                <w:sz w:val="19"/>
              </w:rPr>
              <w:t>Le sélecteur du dépôt affiche le nouveau libellé.</w:t>
            </w:r>
          </w:p>
        </w:tc>
      </w:tr>
    </w:tbl>
    <w:p>
      <w:pPr>
        <w:spacing w:after="40"/>
      </w:pPr>
    </w:p>
    <w:p>
      <w:pPr>
        <w:pStyle w:val="Heading2"/>
      </w:pPr>
      <w:r>
        <w:t>8.4 Supprimer un type utilisé</w:t>
      </w:r>
    </w:p>
    <w:p>
      <w:pPr/>
      <w:r>
        <w:t>La suppression est acceptée sans vérification de dépendance. Les documents déjà déposés conservent leur rattachement et restent consultables ; ils affichent toujours le nom du type dans la liste des documents. Le type cesse simplement d'être proposé au dépôt. La restauration rétablit intégralement la situation.</w:t>
      </w:r>
    </w:p>
    <w:p>
      <w:pPr>
        <w:pStyle w:val="Heading2"/>
      </w:pPr>
      <w:r>
        <w:t>8.5 La fiche porte une action d'ouverture représentée par un dossier ouvert</w:t>
      </w:r>
    </w:p>
    <w:p>
      <w:pPr/>
      <w:r>
        <w:t>Dans la colonne Actions de la liste, l'accès à la fiche est représenté par un glyphe de dossier ouvert, et non par l'œil employé ailleurs dans l'application pour consulter une fiche. Le libellé accessible et l'infobulle indiquent « Ouvrir la fiche ». Ce point est signalé au chapitre 10 comme une incohérence de vocabulaire visuel.</w:t>
      </w:r>
    </w:p>
    <w:p>
      <w:pPr>
        <w:pStyle w:val="Heading2"/>
      </w:pPr>
      <w:r>
        <w:t>8.6 Une recherche sans résultat</w:t>
      </w:r>
    </w:p>
    <w:p>
      <w:pPr/>
      <w:r>
        <w:t>Lorsqu'un terme de recherche ne correspond à aucun type, le tableau affiche l'état vierge « Aucun type de document » accompagné de l'invitation à créer le premier. Le terme saisi n'est pas repris, et la situation n'est pas distinguée de celle d'un référentiel réellement vide. La recherche porte par ailleurs sur le seul libellé du type : chercher un code, une description ou un nom d'espace ne ramène rien.</w:t>
      </w:r>
    </w:p>
    <w:p>
      <w:pPr>
        <w:pStyle w:val="Heading2"/>
      </w:pPr>
      <w:r>
        <w:t>8.7 Aucun plafond n'est imposé à la taille maximale</w:t>
      </w:r>
    </w:p>
    <w:p>
      <w:pPr/>
      <w:r>
        <w:t>L'application refuse une valeur inférieure à 5 mégaoctets, mais n'oppose aucune limite haute. Saisir une valeur de plusieurs milliers de mégaoctets est accepté et revient à supprimer la protection. Le plafond réel devient alors celui de l'infrastructure de stockage, qui se manifestera par un échec bien plus tardif et bien moins explicite.</w:t>
      </w:r>
    </w:p>
    <w:p>
      <w:pPr>
        <w:pStyle w:val="Heading1"/>
      </w:pPr>
      <w:r>
        <w:t>9. Enchaînement avec les autres interfaces</w:t>
      </w:r>
    </w:p>
    <w:p>
      <w:pPr>
        <w:pStyle w:val="Heading2"/>
      </w:pPr>
      <w:r>
        <w:t>9.1 En amont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Prérequis</w:t>
            </w:r>
          </w:p>
        </w:tc>
        <w:tc>
          <w:tcPr>
            <w:tcW w:type="dxa" w:w="3213"/>
          </w:tcPr>
          <w:p>
            <w:pPr>
              <w:spacing w:before="20" w:after="20"/>
            </w:pPr>
            <w:r>
              <w:rPr>
                <w:b/>
                <w:sz w:val="19"/>
              </w:rPr>
              <w:t>Caractère</w:t>
            </w:r>
          </w:p>
        </w:tc>
        <w:tc>
          <w:tcPr>
            <w:tcW w:type="dxa" w:w="3213"/>
          </w:tcPr>
          <w:p>
            <w:pPr>
              <w:spacing w:before="20" w:after="20"/>
            </w:pPr>
            <w:r>
              <w:rPr>
                <w:b/>
                <w:sz w:val="19"/>
              </w:rPr>
              <w:t>Ce qui se passe s'il manque</w:t>
            </w:r>
          </w:p>
        </w:tc>
      </w:tr>
      <w:tr>
        <w:tc>
          <w:tcPr>
            <w:tcW w:type="dxa" w:w="3213"/>
          </w:tcPr>
          <w:p>
            <w:pPr>
              <w:spacing w:before="20" w:after="20"/>
            </w:pPr>
            <w:r>
              <w:rPr>
                <w:sz w:val="19"/>
              </w:rPr>
              <w:t>03 — Espace de travail</w:t>
            </w:r>
          </w:p>
        </w:tc>
        <w:tc>
          <w:tcPr>
            <w:tcW w:type="dxa" w:w="3213"/>
          </w:tcPr>
          <w:p>
            <w:pPr>
              <w:spacing w:before="20" w:after="20"/>
            </w:pPr>
            <w:r>
              <w:rPr>
                <w:sz w:val="19"/>
              </w:rPr>
              <w:t>Obligatoire</w:t>
            </w:r>
          </w:p>
        </w:tc>
        <w:tc>
          <w:tcPr>
            <w:tcW w:type="dxa" w:w="3213"/>
          </w:tcPr>
          <w:p>
            <w:pPr>
              <w:spacing w:before="20" w:after="20"/>
            </w:pPr>
            <w:r>
              <w:rPr>
                <w:sz w:val="19"/>
              </w:rPr>
              <w:t>Le sélecteur est vide et le type ne peut pas être enregistré : le champ est requis.</w:t>
            </w:r>
          </w:p>
        </w:tc>
      </w:tr>
      <w:tr>
        <w:tc>
          <w:tcPr>
            <w:tcW w:type="dxa" w:w="3213"/>
          </w:tcPr>
          <w:p>
            <w:pPr>
              <w:spacing w:before="20" w:after="20"/>
            </w:pPr>
            <w:r>
              <w:rPr>
                <w:sz w:val="19"/>
              </w:rPr>
              <w:t>04 — Règle de workflow</w:t>
            </w:r>
          </w:p>
        </w:tc>
        <w:tc>
          <w:tcPr>
            <w:tcW w:type="dxa" w:w="3213"/>
          </w:tcPr>
          <w:p>
            <w:pPr>
              <w:spacing w:before="20" w:after="20"/>
            </w:pPr>
            <w:r>
              <w:rPr>
                <w:sz w:val="19"/>
              </w:rPr>
              <w:t>Indirect</w:t>
            </w:r>
          </w:p>
        </w:tc>
        <w:tc>
          <w:tcPr>
            <w:tcW w:type="dxa" w:w="3213"/>
          </w:tcPr>
          <w:p>
            <w:pPr>
              <w:spacing w:before="20" w:after="20"/>
            </w:pPr>
            <w:r>
              <w:rPr>
                <w:sz w:val="19"/>
              </w:rPr>
              <w:t>Le circuit de validation est porté par l'espace de travail, pas par le type. Un espace sans règle produit un dépôt sans circuit d'approbation.</w:t>
            </w:r>
          </w:p>
        </w:tc>
      </w:tr>
      <w:tr>
        <w:tc>
          <w:tcPr>
            <w:tcW w:type="dxa" w:w="3213"/>
          </w:tcPr>
          <w:p>
            <w:pPr>
              <w:spacing w:before="20" w:after="20"/>
            </w:pPr>
            <w:r>
              <w:rPr>
                <w:sz w:val="19"/>
              </w:rPr>
              <w:t>07 — Plan d'indexation</w:t>
            </w:r>
          </w:p>
        </w:tc>
        <w:tc>
          <w:tcPr>
            <w:tcW w:type="dxa" w:w="3213"/>
          </w:tcPr>
          <w:p>
            <w:pPr>
              <w:spacing w:before="20" w:after="20"/>
            </w:pPr>
            <w:r>
              <w:rPr>
                <w:sz w:val="19"/>
              </w:rPr>
              <w:t>Facultatif</w:t>
            </w:r>
          </w:p>
        </w:tc>
        <w:tc>
          <w:tcPr>
            <w:tcW w:type="dxa" w:w="3213"/>
          </w:tcPr>
          <w:p>
            <w:pPr>
              <w:spacing w:before="20" w:after="20"/>
            </w:pPr>
            <w:r>
              <w:rPr>
                <w:sz w:val="19"/>
              </w:rPr>
              <w:t>Le sélecteur ne propose que « — Aucun — ». Le type reste créable et fonctionnel, mais les documents seront déposés sans index.</w:t>
            </w:r>
          </w:p>
        </w:tc>
      </w:tr>
      <w:tr>
        <w:tc>
          <w:tcPr>
            <w:tcW w:type="dxa" w:w="3213"/>
          </w:tcPr>
          <w:p>
            <w:pPr>
              <w:spacing w:before="20" w:after="20"/>
            </w:pPr>
            <w:r>
              <w:rPr>
                <w:sz w:val="19"/>
              </w:rPr>
              <w:t>06 — Index</w:t>
            </w:r>
          </w:p>
        </w:tc>
        <w:tc>
          <w:tcPr>
            <w:tcW w:type="dxa" w:w="3213"/>
          </w:tcPr>
          <w:p>
            <w:pPr>
              <w:spacing w:before="20" w:after="20"/>
            </w:pPr>
            <w:r>
              <w:rPr>
                <w:sz w:val="19"/>
              </w:rPr>
              <w:t>Indirect</w:t>
            </w:r>
          </w:p>
        </w:tc>
        <w:tc>
          <w:tcPr>
            <w:tcW w:type="dxa" w:w="3213"/>
          </w:tcPr>
          <w:p>
            <w:pPr>
              <w:spacing w:before="20" w:after="20"/>
            </w:pPr>
            <w:r>
              <w:rPr>
                <w:sz w:val="19"/>
              </w:rPr>
              <w:t>Le type ne voit pas les index ; il voit le plan qui les porte. Un plan sans index produit un formulaire d'indexation vide.</w:t>
            </w:r>
          </w:p>
        </w:tc>
      </w:tr>
    </w:tbl>
    <w:p>
      <w:pPr>
        <w:spacing w:after="40"/>
      </w:pPr>
    </w:p>
    <w:p>
      <w:pPr>
        <w:pStyle w:val="Heading2"/>
      </w:pPr>
      <w:r>
        <w:t>9.2 En aval</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Interface</w:t>
            </w:r>
          </w:p>
        </w:tc>
        <w:tc>
          <w:tcPr>
            <w:tcW w:type="dxa" w:w="4819"/>
          </w:tcPr>
          <w:p>
            <w:pPr>
              <w:spacing w:before="20" w:after="20"/>
            </w:pPr>
            <w:r>
              <w:rPr>
                <w:b/>
                <w:sz w:val="19"/>
              </w:rPr>
              <w:t>Ce qu'elle reçoit du type</w:t>
            </w:r>
          </w:p>
        </w:tc>
      </w:tr>
      <w:tr>
        <w:tc>
          <w:tcPr>
            <w:tcW w:type="dxa" w:w="4819"/>
          </w:tcPr>
          <w:p>
            <w:pPr>
              <w:spacing w:before="20" w:after="20"/>
            </w:pPr>
            <w:r>
              <w:rPr>
                <w:sz w:val="19"/>
              </w:rPr>
              <w:t>11 — Dépôt et indexation</w:t>
            </w:r>
          </w:p>
        </w:tc>
        <w:tc>
          <w:tcPr>
            <w:tcW w:type="dxa" w:w="4819"/>
          </w:tcPr>
          <w:p>
            <w:pPr>
              <w:spacing w:before="20" w:after="20"/>
            </w:pPr>
            <w:r>
              <w:rPr>
                <w:sz w:val="19"/>
              </w:rPr>
              <w:t>Le type est le premier choix, et le seul. Il apporte le dossier de destination, le circuit de validation par l'intermédiaire de l'espace, les champs à renseigner par l'intermédiaire du plan, la façon de composer le nom, la liste des formats acceptés et la taille maximale.</w:t>
            </w:r>
          </w:p>
        </w:tc>
      </w:tr>
      <w:tr>
        <w:tc>
          <w:tcPr>
            <w:tcW w:type="dxa" w:w="4819"/>
          </w:tcPr>
          <w:p>
            <w:pPr>
              <w:spacing w:before="20" w:after="20"/>
            </w:pPr>
            <w:r>
              <w:rPr>
                <w:sz w:val="19"/>
              </w:rPr>
              <w:t>12 — Signatures</w:t>
            </w:r>
          </w:p>
        </w:tc>
        <w:tc>
          <w:tcPr>
            <w:tcW w:type="dxa" w:w="4819"/>
          </w:tcPr>
          <w:p>
            <w:pPr>
              <w:spacing w:before="20" w:after="20"/>
            </w:pPr>
            <w:r>
              <w:rPr>
                <w:sz w:val="19"/>
              </w:rPr>
              <w:t>Le circuit d'approbation appliqué au document découle de l'espace de travail apporté par le type.</w:t>
            </w:r>
          </w:p>
        </w:tc>
      </w:tr>
      <w:tr>
        <w:tc>
          <w:tcPr>
            <w:tcW w:type="dxa" w:w="4819"/>
          </w:tcPr>
          <w:p>
            <w:pPr>
              <w:spacing w:before="20" w:after="20"/>
            </w:pPr>
            <w:r>
              <w:rPr>
                <w:sz w:val="19"/>
              </w:rPr>
              <w:t>10 — Documents</w:t>
            </w:r>
          </w:p>
        </w:tc>
        <w:tc>
          <w:tcPr>
            <w:tcW w:type="dxa" w:w="4819"/>
          </w:tcPr>
          <w:p>
            <w:pPr>
              <w:spacing w:before="20" w:after="20"/>
            </w:pPr>
            <w:r>
              <w:rPr>
                <w:sz w:val="19"/>
              </w:rPr>
              <w:t>Le libellé du type constitue une colonne de la liste des documents et un critère de filtrage des résultats de recherche.</w:t>
            </w:r>
          </w:p>
        </w:tc>
      </w:tr>
    </w:tbl>
    <w:p>
      <w:pPr>
        <w:spacing w:after="40"/>
      </w:pPr>
    </w:p>
    <w:p>
      <w:pPr>
        <w:pStyle w:val="Heading2"/>
      </w:pPr>
      <w:r>
        <w:t>9.3 Ordre de construction recommandé</w:t>
      </w:r>
    </w:p>
    <w:p>
      <w:pPr/>
      <w:r>
        <w:t>Le type se construit après l'espace de travail, après la règle de workflow et après le plan d'indexation. C'est le dernier maillon du paramétrage avant que le dépôt ne devienne possible. Créer les types en premier est l'erreur d'ordonnancement la plus fréquente : elle aboutit à des types incomplets qu'il faut reprendre un à un.</w:t>
      </w:r>
    </w:p>
    <w:p>
      <w:pPr>
        <w:pStyle w:val="Heading1"/>
      </w:pPr>
      <w:r>
        <w:t>10. Points de vigilance</w:t>
      </w:r>
    </w:p>
    <w:p>
      <w:pPr>
        <w:pStyle w:val="Heading2"/>
      </w:pPr>
      <w:r>
        <w:t>10.1 Ce qui est régulièrement mal compris</w:t>
      </w:r>
    </w:p>
    <w:p>
      <w:pPr>
        <w:pStyle w:val="ListBullet"/>
      </w:pPr>
      <w:r>
        <w:t>Le type n'est pas un dossier. Il désigne un dossier, ce qui n'est pas la même chose : plusieurs types peuvent partager le même dossier.</w:t>
      </w:r>
    </w:p>
    <w:p>
      <w:pPr>
        <w:pStyle w:val="ListBullet"/>
      </w:pPr>
      <w:r>
        <w:t>Le circuit de validation n'est pas porté par le type mais par l'espace de travail. Changer de type sans changer d'espace ne change pas le circuit.</w:t>
      </w:r>
    </w:p>
    <w:p>
      <w:pPr>
        <w:pStyle w:val="ListBullet"/>
      </w:pPr>
      <w:r>
        <w:t>Le message « Le type est obligatoire » concerne le libellé du type de document, pas les formats de fichier. Le refus lié aux formats s'énonce « Au moins un format est requis ».</w:t>
      </w:r>
    </w:p>
    <w:p>
      <w:pPr>
        <w:pStyle w:val="ListBullet"/>
      </w:pPr>
      <w:r>
        <w:t>Un type sans plan d'indexation n'est pas un type inachevé. C'est un cas valide et fréquent, prévu et annoncé par l'écran de dépôt.</w:t>
      </w:r>
    </w:p>
    <w:p>
      <w:pPr>
        <w:pStyle w:val="ListBullet"/>
      </w:pPr>
      <w:r>
        <w:t>La description n'est pas montrée à l'opérateur au moment du dépôt : elle sert à ceux qui paramètrent et à ceux qui auditent. Un libellé clair reste donc indispensable.</w:t>
      </w:r>
    </w:p>
    <w:p>
      <w:pPr>
        <w:pStyle w:val="Heading2"/>
      </w:pPr>
      <w:r>
        <w:t>10.2 Ce qui a déjà causé des erreurs</w:t>
      </w:r>
    </w:p>
    <w:p>
      <w:pPr>
        <w:pStyle w:val="ListBullet"/>
      </w:pPr>
      <w:r>
        <w:t>Créer des types fourre-tout — « Divers », « Autres », « Document 2 ». Chaque dépôt sous un tel type est un classement perdu, et l'erreur se répète sans que rien ne la signale.</w:t>
      </w:r>
    </w:p>
    <w:p>
      <w:pPr>
        <w:pStyle w:val="ListBullet"/>
      </w:pPr>
      <w:r>
        <w:t>Multiplier les types au point que la liste déroulante du dépôt devienne impraticable. Au-delà d'une vingtaine d'entrées, l'opérateur ne choisit plus, il prend la première plausible.</w:t>
      </w:r>
    </w:p>
    <w:p>
      <w:pPr>
        <w:pStyle w:val="ListBullet"/>
      </w:pPr>
      <w:r>
        <w:t>Rattacher un type au mauvais espace de travail. L'erreur ne se voit pas sur cet écran ; elle se découvre lorsque des documents partent dans un circuit d'approbation inattendu, auprès de personnes qui ne les attendaient pas.</w:t>
      </w:r>
    </w:p>
    <w:p>
      <w:pPr>
        <w:pStyle w:val="ListBullet"/>
      </w:pPr>
      <w:r>
        <w:t>Retirer un format autorisé après plusieurs mois d'exploitation, sans prévenir les opérateurs : ceux-ci se heurtent à un refus qu'ils attribuent à une panne.</w:t>
      </w:r>
    </w:p>
    <w:p>
      <w:pPr>
        <w:pStyle w:val="ListBullet"/>
      </w:pPr>
      <w:r>
        <w:t>Saisir une taille maximale très élevée « par précaution ». Le stockage se remplit de scans bruts non compressés, et le plafond réel se manifeste ensuite par des échecs de dépôt opaques.</w:t>
      </w:r>
    </w:p>
    <w:p>
      <w:pPr>
        <w:pStyle w:val="ListBullet"/>
      </w:pPr>
      <w:r>
        <w:t>Créer deux types au libellé identique dans deux espaces différents : ils sont indiscernables dans le sélecteur du dépôt et le classement devient aléatoire.</w:t>
      </w:r>
    </w:p>
    <w:p>
      <w:pPr>
        <w:pStyle w:val="Heading2"/>
      </w:pPr>
      <w:r>
        <w:t>10.3 Ce que l'application ne fait pas</w:t>
      </w:r>
    </w:p>
    <w:p>
      <w:pPr>
        <w:pStyle w:val="ListBullet"/>
      </w:pPr>
      <w:r>
        <w:t>Elle ne vérifie pas, avant de supprimer un type, s'il est utilisé par des documents déjà déposés. La confirmation nomme le type mais n'annonce aucune dépendance.</w:t>
      </w:r>
    </w:p>
    <w:p>
      <w:pPr>
        <w:pStyle w:val="ListBullet"/>
      </w:pPr>
      <w:r>
        <w:t>Elle n'empêche pas deux types de porter le même libellé, ni de partager la même description.</w:t>
      </w:r>
    </w:p>
    <w:p>
      <w:pPr>
        <w:pStyle w:val="ListBullet"/>
      </w:pPr>
      <w:r>
        <w:t>Elle n'impose aucun plafond à la taille maximale : seul le plancher de 5 mégaoctets est contrôlé.</w:t>
      </w:r>
    </w:p>
    <w:p>
      <w:pPr>
        <w:pStyle w:val="ListBullet"/>
      </w:pPr>
      <w:r>
        <w:t>Elle ne propose pas de format autre que les cinq offerts. Les images, les archives et les formats bureautiques ouverts ne peuvent pas être déclarés.</w:t>
      </w:r>
    </w:p>
    <w:p>
      <w:pPr>
        <w:pStyle w:val="ListBullet"/>
      </w:pPr>
      <w:r>
        <w:t>Elle n'avertit pas lorsqu'un type est créé sans plan d'indexation : le silence est ici volontaire, puisque le cas est valide, mais l'information n'apparaît qu'au dépôt.</w:t>
      </w:r>
    </w:p>
    <w:p>
      <w:pPr>
        <w:pStyle w:val="ListBullet"/>
      </w:pPr>
      <w:r>
        <w:t>Elle ne distingue pas, dans l'affichage du tableau, une recherche sans résultat d'un référentiel vide, et ne reprend pas le terme cherché.</w:t>
      </w:r>
    </w:p>
    <w:p>
      <w:pPr>
        <w:pStyle w:val="ListBullet"/>
      </w:pPr>
      <w:r>
        <w:t>Elle ne permet pas de dupliquer un type existant pour en créer une variante.</w:t>
      </w:r>
    </w:p>
    <w:p>
      <w:pPr>
        <w:pStyle w:val="ListBullet"/>
      </w:pPr>
      <w:r>
        <w:t>Elle ne déplace ni ne réindexe les documents existants lorsqu'on modifie l'espace de travail ou le plan d'indexation d'un type.</w:t>
      </w:r>
    </w:p>
    <w:p>
      <w:pPr>
        <w:pStyle w:val="ListBullet"/>
      </w:pPr>
      <w:r>
        <w:t>Elle n'emploie pas, pour l'accès à la fiche depuis la liste, le même glyphe que les autres écrans : un dossier ouvert y remplace l'œil habituel.</w:t>
      </w:r>
    </w:p>
    <w:p>
      <w:pPr>
        <w:pStyle w:val="Heading2"/>
      </w:pPr>
      <w:r>
        <w:t>10.4 Recommandations de paramétrage</w:t>
      </w:r>
    </w:p>
    <w:p>
      <w:pPr>
        <w:pStyle w:val="ListNumber"/>
        <w:numPr>
          <w:ilvl w:val="0"/>
          <w:numId w:val="17"/>
        </w:numPr>
      </w:pPr>
      <w:r>
        <w:t>Établir la liste des types à partir des documents réellement reçus, et non à partir de l'organigramme. Un type doit correspondre à un genre de document, pas à un service.</w:t>
      </w:r>
    </w:p>
    <w:p>
      <w:pPr>
        <w:pStyle w:val="ListNumber"/>
        <w:numPr>
          <w:ilvl w:val="0"/>
          <w:numId w:val="17"/>
        </w:numPr>
      </w:pPr>
      <w:r>
        <w:t>Bannir les libellés fourre-tout. Si un document ne relève d'aucun type existant, c'est qu'il manque un type, pas qu'il faut une catégorie « Divers ».</w:t>
      </w:r>
    </w:p>
    <w:p>
      <w:pPr>
        <w:pStyle w:val="ListNumber"/>
        <w:numPr>
          <w:ilvl w:val="0"/>
          <w:numId w:val="17"/>
        </w:numPr>
      </w:pPr>
      <w:r>
        <w:t>Rédiger la description comme une phrase qui répond à « quand dois-je choisir ce type ? », et non comme une reformulation du libellé.</w:t>
      </w:r>
    </w:p>
    <w:p>
      <w:pPr>
        <w:pStyle w:val="ListNumber"/>
        <w:numPr>
          <w:ilvl w:val="0"/>
          <w:numId w:val="17"/>
        </w:numPr>
      </w:pPr>
      <w:r>
        <w:t>Vérifier le rattachement à l'espace de travail avant la mise en service, en gardant à l'esprit qu'il détermine aussi le circuit de validation.</w:t>
      </w:r>
    </w:p>
    <w:p>
      <w:pPr>
        <w:pStyle w:val="ListNumber"/>
        <w:numPr>
          <w:ilvl w:val="0"/>
          <w:numId w:val="17"/>
        </w:numPr>
      </w:pPr>
      <w:r>
        <w:t>N'autoriser que les formats que l'entreprise sait relire et archiver. Le format PDF est le seul qui garantisse une lecture identique dans dix ans.</w:t>
      </w:r>
    </w:p>
    <w:p>
      <w:pPr>
        <w:pStyle w:val="ListNumber"/>
        <w:numPr>
          <w:ilvl w:val="0"/>
          <w:numId w:val="17"/>
        </w:numPr>
      </w:pPr>
      <w:r>
        <w:t>Fixer la taille maximale à une valeur réaliste pour le genre de document concerné : dix mégaoctets suffisent à un document bureautique, un scan couleur multipage en demande davantage.</w:t>
      </w:r>
    </w:p>
    <w:p>
      <w:pPr>
        <w:pStyle w:val="ListNumber"/>
        <w:numPr>
          <w:ilvl w:val="0"/>
          <w:numId w:val="17"/>
        </w:numPr>
      </w:pPr>
      <w:r>
        <w:t>Ne créer un type sans plan d'indexation que lorsqu'aucune information structurée n'a de sens, et le documenter comme un choix, non comme un reste à faire.</w:t>
      </w:r>
    </w:p>
    <w:p>
      <w:pPr>
        <w:pStyle w:val="ListNumber"/>
        <w:numPr>
          <w:ilvl w:val="0"/>
          <w:numId w:val="17"/>
        </w:numPr>
      </w:pPr>
      <w:r>
        <w:t>Avant toute suppression, vérifier manuellement sur la liste des documents qu'aucun document actif ne relève du type concerné.</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08 Types de document — volet fonctionnel  —  page </w:t>
    </w:r>
    <w:r>
      <w:rPr>
        <w:color w:val="606060"/>
        <w:sz w:val="16"/>
      </w:rPr>
      <w:fldChar w:fldCharType="begin"/>
    </w:r>
    <w:r>
      <w:rPr>
        <w:color w:val="606060"/>
        <w:sz w:val="16"/>
      </w:rPr>
      <w:instrText xml:space="preserve">PAGE</w:instrTex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