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b/>
          <w:i w:val="0"/>
          <w:color w:val="1F355E"/>
          <w:sz w:val="26"/>
        </w:rPr>
        <w:t>GED Marchica Med</w:t>
      </w:r>
    </w:p>
    <w:p>
      <w:r>
        <w:rPr>
          <w:b w:val="0"/>
          <w:i w:val="0"/>
          <w:color w:val="606060"/>
          <w:sz w:val="20"/>
        </w:rPr>
        <w:t>Gestion électronique de documents</w:t>
      </w:r>
    </w:p>
    <w:p/>
    <w:p>
      <w:r>
        <w:rPr>
          <w:b/>
          <w:i w:val="0"/>
          <w:color w:val="1F355E"/>
          <w:sz w:val="52"/>
        </w:rPr>
        <w:t>Rapport fonctionnel</w:t>
      </w:r>
    </w:p>
    <w:p>
      <w:r>
        <w:rPr>
          <w:b w:val="0"/>
          <w:i w:val="0"/>
          <w:color w:val="334466"/>
          <w:sz w:val="28"/>
        </w:rPr>
        <w:t>Interface 09 — Étiquettes</w:t>
      </w:r>
    </w:p>
    <w:p/>
    <w:p/>
    <w:p/>
    <w:p/>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Application</w:t>
            </w:r>
          </w:p>
        </w:tc>
        <w:tc>
          <w:tcPr>
            <w:tcW w:type="dxa" w:w="4819"/>
          </w:tcPr>
          <w:p>
            <w:pPr>
              <w:spacing w:before="20" w:after="20"/>
            </w:pPr>
            <w:r>
              <w:rPr>
                <w:sz w:val="19"/>
              </w:rPr>
              <w:t>GED Marchica Med</w:t>
            </w:r>
          </w:p>
        </w:tc>
      </w:tr>
      <w:tr>
        <w:tc>
          <w:tcPr>
            <w:tcW w:type="dxa" w:w="4819"/>
          </w:tcPr>
          <w:p>
            <w:pPr>
              <w:spacing w:before="20" w:after="20"/>
            </w:pPr>
            <w:r>
              <w:rPr>
                <w:b/>
                <w:sz w:val="19"/>
              </w:rPr>
              <w:t>Interface décrite</w:t>
            </w:r>
          </w:p>
        </w:tc>
        <w:tc>
          <w:tcPr>
            <w:tcW w:type="dxa" w:w="4819"/>
          </w:tcPr>
          <w:p>
            <w:pPr>
              <w:spacing w:before="20" w:after="20"/>
            </w:pPr>
            <w:r>
              <w:rPr>
                <w:sz w:val="19"/>
              </w:rPr>
              <w:t>09 — Étiquettes</w:t>
            </w:r>
          </w:p>
        </w:tc>
      </w:tr>
      <w:tr>
        <w:tc>
          <w:tcPr>
            <w:tcW w:type="dxa" w:w="4819"/>
          </w:tcPr>
          <w:p>
            <w:pPr>
              <w:spacing w:before="20" w:after="20"/>
            </w:pPr>
            <w:r>
              <w:rPr>
                <w:b/>
                <w:sz w:val="19"/>
              </w:rPr>
              <w:t>Volet</w:t>
            </w:r>
          </w:p>
        </w:tc>
        <w:tc>
          <w:tcPr>
            <w:tcW w:type="dxa" w:w="4819"/>
          </w:tcPr>
          <w:p>
            <w:pPr>
              <w:spacing w:before="20" w:after="20"/>
            </w:pPr>
            <w:r>
              <w:rPr>
                <w:sz w:val="19"/>
              </w:rPr>
              <w:t>Volet fonctionnel</w:t>
            </w:r>
          </w:p>
        </w:tc>
      </w:tr>
      <w:tr>
        <w:tc>
          <w:tcPr>
            <w:tcW w:type="dxa" w:w="4819"/>
          </w:tcPr>
          <w:p>
            <w:pPr>
              <w:spacing w:before="20" w:after="20"/>
            </w:pPr>
            <w:r>
              <w:rPr>
                <w:b/>
                <w:sz w:val="19"/>
              </w:rPr>
              <w:t>Date du document</w:t>
            </w:r>
          </w:p>
        </w:tc>
        <w:tc>
          <w:tcPr>
            <w:tcW w:type="dxa" w:w="4819"/>
          </w:tcPr>
          <w:p>
            <w:pPr>
              <w:spacing w:before="20" w:after="20"/>
            </w:pPr>
            <w:r>
              <w:rPr>
                <w:sz w:val="19"/>
              </w:rPr>
              <w:t>13 août 2026</w:t>
            </w:r>
          </w:p>
        </w:tc>
      </w:tr>
    </w:tbl>
    <w:p/>
    <w:p/>
    <w:p/>
    <w:p/>
    <w:p>
      <w:r>
        <w:rPr>
          <w:b w:val="0"/>
          <w:i/>
          <w:color w:val="606060"/>
          <w:sz w:val="18"/>
        </w:rPr>
        <w:t>Document fonctionnel. Il décrit la logique et le processus de l'interface à l'intention des responsables métier, chefs de projet et consultants fonctionnels. Il ne contient aucun élément technique.</w:t>
      </w:r>
    </w:p>
    <w:p/>
    <w:p>
      <w:pPr>
        <w:pStyle w:val="Heading1"/>
      </w:pPr>
      <w:r>
        <w:t>Sommaire</w:t>
      </w:r>
    </w:p>
    <w:p>
      <w:r>
        <w:rPr>
          <w:b w:val="0"/>
          <w:i/>
          <w:color w:val="606060"/>
          <w:sz w:val="19"/>
        </w:rPr>
        <w:t>Les sections ci-dessous se suivent dans l'ordre du document.</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Section</w:t>
            </w:r>
          </w:p>
        </w:tc>
        <w:tc>
          <w:tcPr>
            <w:tcW w:type="dxa" w:w="4819"/>
          </w:tcPr>
          <w:p>
            <w:pPr>
              <w:spacing w:before="20" w:after="20"/>
            </w:pPr>
            <w:r>
              <w:rPr>
                <w:b/>
                <w:sz w:val="19"/>
              </w:rPr>
              <w:t>Objet</w:t>
            </w:r>
          </w:p>
        </w:tc>
      </w:tr>
      <w:tr>
        <w:tc>
          <w:tcPr>
            <w:tcW w:type="dxa" w:w="4819"/>
          </w:tcPr>
          <w:p>
            <w:pPr>
              <w:spacing w:before="20" w:after="20"/>
            </w:pPr>
            <w:r>
              <w:rPr>
                <w:sz w:val="19"/>
              </w:rPr>
              <w:t>1. Objet de l'interface</w:t>
            </w:r>
          </w:p>
        </w:tc>
        <w:tc>
          <w:tcPr>
            <w:tcW w:type="dxa" w:w="4819"/>
          </w:tcPr>
          <w:p>
            <w:pPr>
              <w:spacing w:before="20" w:after="20"/>
            </w:pPr>
            <w:r>
              <w:rPr>
                <w:sz w:val="19"/>
              </w:rPr>
              <w:t>À quoi sert une marque transversale, et pourquoi cet écran ne dépend d'aucun autre.</w:t>
            </w:r>
          </w:p>
        </w:tc>
      </w:tr>
      <w:tr>
        <w:tc>
          <w:tcPr>
            <w:tcW w:type="dxa" w:w="4819"/>
          </w:tcPr>
          <w:p>
            <w:pPr>
              <w:spacing w:before="20" w:after="20"/>
            </w:pPr>
            <w:r>
              <w:rPr>
                <w:sz w:val="19"/>
              </w:rPr>
              <w:t>2. Les notions manipulées</w:t>
            </w:r>
          </w:p>
        </w:tc>
        <w:tc>
          <w:tcPr>
            <w:tcW w:type="dxa" w:w="4819"/>
          </w:tcPr>
          <w:p>
            <w:pPr>
              <w:spacing w:before="20" w:after="20"/>
            </w:pPr>
            <w:r>
              <w:rPr>
                <w:sz w:val="19"/>
              </w:rPr>
              <w:t>Étiquette et index, étiquette et dossier, étiquette et statut, libellé, code et couleur.</w:t>
            </w:r>
          </w:p>
        </w:tc>
      </w:tr>
      <w:tr>
        <w:tc>
          <w:tcPr>
            <w:tcW w:type="dxa" w:w="4819"/>
          </w:tcPr>
          <w:p>
            <w:pPr>
              <w:spacing w:before="20" w:after="20"/>
            </w:pPr>
            <w:r>
              <w:rPr>
                <w:sz w:val="19"/>
              </w:rPr>
              <w:t>3. Ce que l'utilisateur voit</w:t>
            </w:r>
          </w:p>
        </w:tc>
        <w:tc>
          <w:tcPr>
            <w:tcW w:type="dxa" w:w="4819"/>
          </w:tcPr>
          <w:p>
            <w:pPr>
              <w:spacing w:before="20" w:after="20"/>
            </w:pPr>
            <w:r>
              <w:rPr>
                <w:sz w:val="19"/>
              </w:rPr>
              <w:t>La liste et ses colonnes, les états vides, le formulaire et sa pastille d'aperçu.</w:t>
            </w:r>
          </w:p>
        </w:tc>
      </w:tr>
      <w:tr>
        <w:tc>
          <w:tcPr>
            <w:tcW w:type="dxa" w:w="4819"/>
          </w:tcPr>
          <w:p>
            <w:pPr>
              <w:spacing w:before="20" w:after="20"/>
            </w:pPr>
            <w:r>
              <w:rPr>
                <w:sz w:val="19"/>
              </w:rPr>
              <w:t>4. Le processus, étape par étape</w:t>
            </w:r>
          </w:p>
        </w:tc>
        <w:tc>
          <w:tcPr>
            <w:tcW w:type="dxa" w:w="4819"/>
          </w:tcPr>
          <w:p>
            <w:pPr>
              <w:spacing w:before="20" w:after="20"/>
            </w:pPr>
            <w:r>
              <w:rPr>
                <w:sz w:val="19"/>
              </w:rPr>
              <w:t>Les six parcours, de la création de l'étiquette à sa pose sur un document.</w:t>
            </w:r>
          </w:p>
        </w:tc>
      </w:tr>
      <w:tr>
        <w:tc>
          <w:tcPr>
            <w:tcW w:type="dxa" w:w="4819"/>
          </w:tcPr>
          <w:p>
            <w:pPr>
              <w:spacing w:before="20" w:after="20"/>
            </w:pPr>
            <w:r>
              <w:rPr>
                <w:sz w:val="19"/>
              </w:rPr>
              <w:t>5. Les données saisies</w:t>
            </w:r>
          </w:p>
        </w:tc>
        <w:tc>
          <w:tcPr>
            <w:tcW w:type="dxa" w:w="4819"/>
          </w:tcPr>
          <w:p>
            <w:pPr>
              <w:spacing w:before="20" w:after="20"/>
            </w:pPr>
            <w:r>
              <w:rPr>
                <w:sz w:val="19"/>
              </w:rPr>
              <w:t>Les trois champs du formulaire : nature, caractère obligatoire, valeur par défaut, exemple et explication.</w:t>
            </w:r>
          </w:p>
        </w:tc>
      </w:tr>
      <w:tr>
        <w:tc>
          <w:tcPr>
            <w:tcW w:type="dxa" w:w="4819"/>
          </w:tcPr>
          <w:p>
            <w:pPr>
              <w:spacing w:before="20" w:after="20"/>
            </w:pPr>
            <w:r>
              <w:rPr>
                <w:sz w:val="19"/>
              </w:rPr>
              <w:t>6. Les règles de gestion</w:t>
            </w:r>
          </w:p>
        </w:tc>
        <w:tc>
          <w:tcPr>
            <w:tcW w:type="dxa" w:w="4819"/>
          </w:tcPr>
          <w:p>
            <w:pPr>
              <w:spacing w:before="20" w:after="20"/>
            </w:pPr>
            <w:r>
              <w:rPr>
                <w:sz w:val="19"/>
              </w:rPr>
              <w:t>Treize règles numérotées, chacune assortie de sa justification métier.</w:t>
            </w:r>
          </w:p>
        </w:tc>
      </w:tr>
      <w:tr>
        <w:tc>
          <w:tcPr>
            <w:tcW w:type="dxa" w:w="4819"/>
          </w:tcPr>
          <w:p>
            <w:pPr>
              <w:spacing w:before="20" w:after="20"/>
            </w:pPr>
            <w:r>
              <w:rPr>
                <w:sz w:val="19"/>
              </w:rPr>
              <w:t>7. Les contrôles et les refus</w:t>
            </w:r>
          </w:p>
        </w:tc>
        <w:tc>
          <w:tcPr>
            <w:tcW w:type="dxa" w:w="4819"/>
          </w:tcPr>
          <w:p>
            <w:pPr>
              <w:spacing w:before="20" w:after="20"/>
            </w:pPr>
            <w:r>
              <w:rPr>
                <w:sz w:val="19"/>
              </w:rPr>
              <w:t>Chaque situation de refus, le message exact affiché et sa conséquence pour l'utilisateur.</w:t>
            </w:r>
          </w:p>
        </w:tc>
      </w:tr>
      <w:tr>
        <w:tc>
          <w:tcPr>
            <w:tcW w:type="dxa" w:w="4819"/>
          </w:tcPr>
          <w:p>
            <w:pPr>
              <w:spacing w:before="20" w:after="20"/>
            </w:pPr>
            <w:r>
              <w:rPr>
                <w:sz w:val="19"/>
              </w:rPr>
              <w:t>8. Les cas particuliers</w:t>
            </w:r>
          </w:p>
        </w:tc>
        <w:tc>
          <w:tcPr>
            <w:tcW w:type="dxa" w:w="4819"/>
          </w:tcPr>
          <w:p>
            <w:pPr>
              <w:spacing w:before="20" w:after="20"/>
            </w:pPr>
            <w:r>
              <w:rPr>
                <w:sz w:val="19"/>
              </w:rPr>
              <w:t>Ce que devient une étiquette supprimée, la couleur hors format, les doublons de libellé.</w:t>
            </w:r>
          </w:p>
        </w:tc>
      </w:tr>
      <w:tr>
        <w:tc>
          <w:tcPr>
            <w:tcW w:type="dxa" w:w="4819"/>
          </w:tcPr>
          <w:p>
            <w:pPr>
              <w:spacing w:before="20" w:after="20"/>
            </w:pPr>
            <w:r>
              <w:rPr>
                <w:sz w:val="19"/>
              </w:rPr>
              <w:t>9. Enchaînement avec les autres interfaces</w:t>
            </w:r>
          </w:p>
        </w:tc>
        <w:tc>
          <w:tcPr>
            <w:tcW w:type="dxa" w:w="4819"/>
          </w:tcPr>
          <w:p>
            <w:pPr>
              <w:spacing w:before="20" w:after="20"/>
            </w:pPr>
            <w:r>
              <w:rPr>
                <w:sz w:val="19"/>
              </w:rPr>
              <w:t>Aucun prérequis en amont ; le dépôt et la liste des documents en aval.</w:t>
            </w:r>
          </w:p>
        </w:tc>
      </w:tr>
      <w:tr>
        <w:tc>
          <w:tcPr>
            <w:tcW w:type="dxa" w:w="4819"/>
          </w:tcPr>
          <w:p>
            <w:pPr>
              <w:spacing w:before="20" w:after="20"/>
            </w:pPr>
            <w:r>
              <w:rPr>
                <w:sz w:val="19"/>
              </w:rPr>
              <w:t>10. Points de vigilance</w:t>
            </w:r>
          </w:p>
        </w:tc>
        <w:tc>
          <w:tcPr>
            <w:tcW w:type="dxa" w:w="4819"/>
          </w:tcPr>
          <w:p>
            <w:pPr>
              <w:spacing w:before="20" w:after="20"/>
            </w:pPr>
            <w:r>
              <w:rPr>
                <w:sz w:val="19"/>
              </w:rPr>
              <w:t>Ce qui est mal compris, ce qui a déjà causé des erreurs, ce que l'application ne fait pas.</w:t>
            </w:r>
          </w:p>
        </w:tc>
      </w:tr>
    </w:tbl>
    <w:p/>
    <w:p>
      <w:pPr>
        <w:pStyle w:val="Heading1"/>
      </w:pPr>
      <w:r>
        <w:t>1. Objet de l'interface</w:t>
      </w:r>
    </w:p>
    <w:p>
      <w:pPr/>
      <w:r>
        <w:t>L'interface Étiquettes sert à créer des marques transversales que l'on posera librement sur les documents, indépendamment du dossier dans lequel ils sont rangés et du type sous lequel ils ont été déposés. Une étiquette est un simple mot, associé à une couleur : « Urgent », « Confidentiel », « À vérifier », « Validé ».</w:t>
      </w:r>
    </w:p>
    <w:p>
      <w:pPr/>
      <w:r>
        <w:t>Une étiquette ne porte aucune valeur. Elle est posée, ou elle ne l'est pas. C'est cette simplicité qui fait sa force : elle permet de rassembler en un lot des documents que rien d'autre ne rapproche.</w:t>
      </w:r>
    </w:p>
    <w:p>
      <w:pPr/>
      <w:r>
        <w:t>L'exemple qui éclaire la notion est celui d'un mot d'ordre passager. Une facture, un contrat et un compte rendu de réunion peuvent tous trois être urgents la même semaine. Ils relèvent de trois types différents, sont rangés dans trois espaces de travail différents et suivent trois circuits de validation différents. Aucune hiérarchie de dossiers ne permet de les regrouper — un dossier « Urgent » obligerait à les déplacer, donc à les sortir de leur classement. Une étiquette, elle, les rassemble sans rien déranger.</w:t>
      </w:r>
    </w:p>
    <w:p>
      <w:pPr>
        <w:spacing w:before="0" w:after="0"/>
        <w:ind w:left="113"/>
      </w:pPr>
      <w:r>
        <w:rPr>
          <w:rFonts w:ascii="Consolas" w:hAnsi="Consolas" w:cs="Consolas"/>
          <w:sz w:val="18"/>
        </w:rPr>
        <w:t xml:space="preserve">  CE QU'UNE ÉTIQUETTE PERMET, ET QUE LES DOSSIERS NE PERMETTENT PAS</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Espace « Comptabilité »   Espace « Juridique »   Espace « Direction »</w:t>
      </w:r>
    </w:p>
    <w:p>
      <w:pPr>
        <w:spacing w:before="0" w:after="0"/>
        <w:ind w:left="113"/>
      </w:pPr>
      <w:r>
        <w:rPr>
          <w:rFonts w:ascii="Consolas" w:hAnsi="Consolas" w:cs="Consolas"/>
          <w:sz w:val="18"/>
        </w:rPr>
        <w:t xml:space="preserve">        |                          |                      |</w:t>
      </w:r>
    </w:p>
    <w:p>
      <w:pPr>
        <w:spacing w:before="0" w:after="0"/>
        <w:ind w:left="113"/>
      </w:pPr>
      <w:r>
        <w:rPr>
          <w:rFonts w:ascii="Consolas" w:hAnsi="Consolas" w:cs="Consolas"/>
          <w:sz w:val="18"/>
        </w:rPr>
        <w:t xml:space="preserve">   type Facture               type Contrat           type Compte rendu</w:t>
      </w:r>
    </w:p>
    <w:p>
      <w:pPr>
        <w:spacing w:before="0" w:after="0"/>
        <w:ind w:left="113"/>
      </w:pPr>
      <w:r>
        <w:rPr>
          <w:rFonts w:ascii="Consolas" w:hAnsi="Consolas" w:cs="Consolas"/>
          <w:sz w:val="18"/>
        </w:rPr>
        <w:t xml:space="preserve">        |                          |                      |</w:t>
      </w:r>
    </w:p>
    <w:p>
      <w:pPr>
        <w:spacing w:before="0" w:after="0"/>
        <w:ind w:left="113"/>
      </w:pPr>
      <w:r>
        <w:rPr>
          <w:rFonts w:ascii="Consolas" w:hAnsi="Consolas" w:cs="Consolas"/>
          <w:sz w:val="18"/>
        </w:rPr>
        <w:t xml:space="preserve">   [ facture 2026003 ]       [ contrat ACME ]       [ CR du 12 février ]</w:t>
      </w:r>
    </w:p>
    <w:p>
      <w:pPr>
        <w:spacing w:before="0" w:after="0"/>
        <w:ind w:left="113"/>
      </w:pPr>
      <w:r>
        <w:rPr>
          <w:rFonts w:ascii="Consolas" w:hAnsi="Consolas" w:cs="Consolas"/>
          <w:sz w:val="18"/>
        </w:rPr>
        <w:t xml:space="preserve">        |                          |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étiquette « Urgent »</w:t>
      </w:r>
    </w:p>
    <w:p>
      <w:pPr>
        <w:spacing w:before="0" w:after="0"/>
        <w:ind w:left="113"/>
      </w:pPr>
      <w:r>
        <w:rPr>
          <w:rFonts w:ascii="Consolas" w:hAnsi="Consolas" w:cs="Consolas"/>
          <w:sz w:val="18"/>
        </w:rPr>
        <w:t xml:space="preserve">                     un lot transversal, sans rien déplacer</w:t>
      </w:r>
    </w:p>
    <w:p>
      <w:pPr>
        <w:spacing w:after="40"/>
      </w:pPr>
    </w:p>
    <w:p>
      <w:pPr/>
      <w:r>
        <w:t>L'écran occupe une position particulière dans le paramétrage : il est totalement indépendant. Il ne consomme rien et ne conditionne rien. Il peut être renseigné à n'importe quel moment, avant ou après le reste de la chaîne, sans conséquence sur l'ordre de construction.</w:t>
      </w:r>
    </w:p>
    <w:p>
      <w:pPr>
        <w:spacing w:before="0" w:after="0"/>
        <w:ind w:left="113"/>
      </w:pPr>
      <w:r>
        <w:rPr>
          <w:rFonts w:ascii="Consolas" w:hAnsi="Consolas" w:cs="Consolas"/>
          <w:sz w:val="18"/>
        </w:rPr>
        <w:t xml:space="preserve">   [06] INDEX -&gt; [07] PLAN -&gt; [08] TYPE -&gt; [11] DÉPÔT -&gt; [12] SIGNATURES -&gt; [10] DOCUMENTS</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[09] ÉTIQUETTES  -----------------------------+--------------------------------+</w:t>
      </w:r>
    </w:p>
    <w:p>
      <w:pPr>
        <w:spacing w:before="0" w:after="0"/>
        <w:ind w:left="113"/>
      </w:pPr>
      <w:r>
        <w:rPr>
          <w:rFonts w:ascii="Consolas" w:hAnsi="Consolas" w:cs="Consolas"/>
          <w:sz w:val="18"/>
        </w:rPr>
        <w:t xml:space="preserve">        (aucun prérequis, se branche directement sur le dépôt et la liste)</w:t>
      </w:r>
    </w:p>
    <w:p>
      <w:pPr>
        <w:spacing w:after="40"/>
      </w:pPr>
    </w:p>
    <w:p>
      <w:pPr>
        <w:pStyle w:val="Heading1"/>
      </w:pPr>
      <w:r>
        <w:t>2. Les notions manipulées</w:t>
      </w:r>
    </w:p>
    <w:p>
      <w:pPr>
        <w:pStyle w:val="Heading2"/>
      </w:pPr>
      <w:r>
        <w:t>2.1 L'étiquette et l'index</w:t>
      </w:r>
    </w:p>
    <w:p>
      <w:pPr/>
      <w:r>
        <w:t>C'est la confusion la plus courante, parce que les deux notions servent à retrouver des documents. Elles n'ont pourtant ni la même nature, ni le même auteur, ni le même moment de décision.</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Critère</w:t>
            </w:r>
          </w:p>
        </w:tc>
        <w:tc>
          <w:tcPr>
            <w:tcW w:type="dxa" w:w="3213"/>
          </w:tcPr>
          <w:p>
            <w:pPr>
              <w:spacing w:before="20" w:after="20"/>
            </w:pPr>
            <w:r>
              <w:rPr>
                <w:b/>
                <w:sz w:val="19"/>
              </w:rPr>
              <w:t>Index</w:t>
            </w:r>
          </w:p>
        </w:tc>
        <w:tc>
          <w:tcPr>
            <w:tcW w:type="dxa" w:w="3213"/>
          </w:tcPr>
          <w:p>
            <w:pPr>
              <w:spacing w:before="20" w:after="20"/>
            </w:pPr>
            <w:r>
              <w:rPr>
                <w:b/>
                <w:sz w:val="19"/>
              </w:rPr>
              <w:t>Étiquette</w:t>
            </w:r>
          </w:p>
        </w:tc>
      </w:tr>
      <w:tr>
        <w:tc>
          <w:tcPr>
            <w:tcW w:type="dxa" w:w="3213"/>
          </w:tcPr>
          <w:p>
            <w:pPr>
              <w:spacing w:before="20" w:after="20"/>
            </w:pPr>
            <w:r>
              <w:rPr>
                <w:sz w:val="19"/>
              </w:rPr>
              <w:t>Ce qu'il porte</w:t>
            </w:r>
          </w:p>
        </w:tc>
        <w:tc>
          <w:tcPr>
            <w:tcW w:type="dxa" w:w="3213"/>
          </w:tcPr>
          <w:p>
            <w:pPr>
              <w:spacing w:before="20" w:after="20"/>
            </w:pPr>
            <w:r>
              <w:rPr>
                <w:sz w:val="19"/>
              </w:rPr>
              <w:t>Une valeur : « 2026003 », « ACME », « 2026-02-02 »</w:t>
            </w:r>
          </w:p>
        </w:tc>
        <w:tc>
          <w:tcPr>
            <w:tcW w:type="dxa" w:w="3213"/>
          </w:tcPr>
          <w:p>
            <w:pPr>
              <w:spacing w:before="20" w:after="20"/>
            </w:pPr>
            <w:r>
              <w:rPr>
                <w:sz w:val="19"/>
              </w:rPr>
              <w:t>Rien du tout. Elle est posée ou elle ne l'est pas.</w:t>
            </w:r>
          </w:p>
        </w:tc>
      </w:tr>
      <w:tr>
        <w:tc>
          <w:tcPr>
            <w:tcW w:type="dxa" w:w="3213"/>
          </w:tcPr>
          <w:p>
            <w:pPr>
              <w:spacing w:before="20" w:after="20"/>
            </w:pPr>
            <w:r>
              <w:rPr>
                <w:sz w:val="19"/>
              </w:rPr>
              <w:t>Qui décide qu'il figure sur un document</w:t>
            </w:r>
          </w:p>
        </w:tc>
        <w:tc>
          <w:tcPr>
            <w:tcW w:type="dxa" w:w="3213"/>
          </w:tcPr>
          <w:p>
            <w:pPr>
              <w:spacing w:before="20" w:after="20"/>
            </w:pPr>
            <w:r>
              <w:rPr>
                <w:sz w:val="19"/>
              </w:rPr>
              <w:t>Le paramétrage : le plan du type impose ses champs.</w:t>
            </w:r>
          </w:p>
        </w:tc>
        <w:tc>
          <w:tcPr>
            <w:tcW w:type="dxa" w:w="3213"/>
          </w:tcPr>
          <w:p>
            <w:pPr>
              <w:spacing w:before="20" w:after="20"/>
            </w:pPr>
            <w:r>
              <w:rPr>
                <w:sz w:val="19"/>
              </w:rPr>
              <w:t>L'opérateur, librement, au moment du dépôt.</w:t>
            </w:r>
          </w:p>
        </w:tc>
      </w:tr>
      <w:tr>
        <w:tc>
          <w:tcPr>
            <w:tcW w:type="dxa" w:w="3213"/>
          </w:tcPr>
          <w:p>
            <w:pPr>
              <w:spacing w:before="20" w:after="20"/>
            </w:pPr>
            <w:r>
              <w:rPr>
                <w:sz w:val="19"/>
              </w:rPr>
              <w:t>Combien par document</w:t>
            </w:r>
          </w:p>
        </w:tc>
        <w:tc>
          <w:tcPr>
            <w:tcW w:type="dxa" w:w="3213"/>
          </w:tcPr>
          <w:p>
            <w:pPr>
              <w:spacing w:before="20" w:after="20"/>
            </w:pPr>
            <w:r>
              <w:rPr>
                <w:sz w:val="19"/>
              </w:rPr>
              <w:t>Un par index du plan, ni plus ni moins.</w:t>
            </w:r>
          </w:p>
        </w:tc>
        <w:tc>
          <w:tcPr>
            <w:tcW w:type="dxa" w:w="3213"/>
          </w:tcPr>
          <w:p>
            <w:pPr>
              <w:spacing w:before="20" w:after="20"/>
            </w:pPr>
            <w:r>
              <w:rPr>
                <w:sz w:val="19"/>
              </w:rPr>
              <w:t>Autant que l'on veut, y compris aucune.</w:t>
            </w:r>
          </w:p>
        </w:tc>
      </w:tr>
      <w:tr>
        <w:tc>
          <w:tcPr>
            <w:tcW w:type="dxa" w:w="3213"/>
          </w:tcPr>
          <w:p>
            <w:pPr>
              <w:spacing w:before="20" w:after="20"/>
            </w:pPr>
            <w:r>
              <w:rPr>
                <w:sz w:val="19"/>
              </w:rPr>
              <w:t>Peut-on le laisser vide ?</w:t>
            </w:r>
          </w:p>
        </w:tc>
        <w:tc>
          <w:tcPr>
            <w:tcW w:type="dxa" w:w="3213"/>
          </w:tcPr>
          <w:p>
            <w:pPr>
              <w:spacing w:before="20" w:after="20"/>
            </w:pPr>
            <w:r>
              <w:rPr>
                <w:sz w:val="19"/>
              </w:rPr>
              <w:t>Seulement s'il n'est pas déclaré obligatoire.</w:t>
            </w:r>
          </w:p>
        </w:tc>
        <w:tc>
          <w:tcPr>
            <w:tcW w:type="dxa" w:w="3213"/>
          </w:tcPr>
          <w:p>
            <w:pPr>
              <w:spacing w:before="20" w:after="20"/>
            </w:pPr>
            <w:r>
              <w:rPr>
                <w:sz w:val="19"/>
              </w:rPr>
              <w:t>La question ne se pose pas : il n'y a rien à remplir.</w:t>
            </w:r>
          </w:p>
        </w:tc>
      </w:tr>
      <w:tr>
        <w:tc>
          <w:tcPr>
            <w:tcW w:type="dxa" w:w="3213"/>
          </w:tcPr>
          <w:p>
            <w:pPr>
              <w:spacing w:before="20" w:after="20"/>
            </w:pPr>
            <w:r>
              <w:rPr>
                <w:sz w:val="19"/>
              </w:rPr>
              <w:t>Effet sur le nom du document</w:t>
            </w:r>
          </w:p>
        </w:tc>
        <w:tc>
          <w:tcPr>
            <w:tcW w:type="dxa" w:w="3213"/>
          </w:tcPr>
          <w:p>
            <w:pPr>
              <w:spacing w:before="20" w:after="20"/>
            </w:pPr>
            <w:r>
              <w:rPr>
                <w:sz w:val="19"/>
              </w:rPr>
              <w:t>Peut composer le nom automatiquement.</w:t>
            </w:r>
          </w:p>
        </w:tc>
        <w:tc>
          <w:tcPr>
            <w:tcW w:type="dxa" w:w="3213"/>
          </w:tcPr>
          <w:p>
            <w:pPr>
              <w:spacing w:before="20" w:after="20"/>
            </w:pPr>
            <w:r>
              <w:rPr>
                <w:sz w:val="19"/>
              </w:rPr>
              <w:t>Aucun.</w:t>
            </w:r>
          </w:p>
        </w:tc>
      </w:tr>
      <w:tr>
        <w:tc>
          <w:tcPr>
            <w:tcW w:type="dxa" w:w="3213"/>
          </w:tcPr>
          <w:p>
            <w:pPr>
              <w:spacing w:before="20" w:after="20"/>
            </w:pPr>
            <w:r>
              <w:rPr>
                <w:sz w:val="19"/>
              </w:rPr>
              <w:t>Nature du classement produit</w:t>
            </w:r>
          </w:p>
        </w:tc>
        <w:tc>
          <w:tcPr>
            <w:tcW w:type="dxa" w:w="3213"/>
          </w:tcPr>
          <w:p>
            <w:pPr>
              <w:spacing w:before="20" w:after="20"/>
            </w:pPr>
            <w:r>
              <w:rPr>
                <w:sz w:val="19"/>
              </w:rPr>
              <w:t>Structuré, imposé, lié au type et au dossier.</w:t>
            </w:r>
          </w:p>
        </w:tc>
        <w:tc>
          <w:tcPr>
            <w:tcW w:type="dxa" w:w="3213"/>
          </w:tcPr>
          <w:p>
            <w:pPr>
              <w:spacing w:before="20" w:after="20"/>
            </w:pPr>
            <w:r>
              <w:rPr>
                <w:sz w:val="19"/>
              </w:rPr>
              <w:t>Transversal, libre, indifférent au type et au dossier.</w:t>
            </w:r>
          </w:p>
        </w:tc>
      </w:tr>
      <w:tr>
        <w:tc>
          <w:tcPr>
            <w:tcW w:type="dxa" w:w="3213"/>
          </w:tcPr>
          <w:p>
            <w:pPr>
              <w:spacing w:before="20" w:after="20"/>
            </w:pPr>
            <w:r>
              <w:rPr>
                <w:sz w:val="19"/>
              </w:rPr>
              <w:t>Ce qu'il permet de chercher</w:t>
            </w:r>
          </w:p>
        </w:tc>
        <w:tc>
          <w:tcPr>
            <w:tcW w:type="dxa" w:w="3213"/>
          </w:tcPr>
          <w:p>
            <w:pPr>
              <w:spacing w:before="20" w:after="20"/>
            </w:pPr>
            <w:r>
              <w:rPr>
                <w:sz w:val="19"/>
              </w:rPr>
              <w:t>« Quelle est la valeur de ce renseignement ? »</w:t>
            </w:r>
          </w:p>
        </w:tc>
        <w:tc>
          <w:tcPr>
            <w:tcW w:type="dxa" w:w="3213"/>
          </w:tcPr>
          <w:p>
            <w:pPr>
              <w:spacing w:before="20" w:after="20"/>
            </w:pPr>
            <w:r>
              <w:rPr>
                <w:sz w:val="19"/>
              </w:rPr>
              <w:t>« Ce document appartient-il à ce lot ? »</w:t>
            </w:r>
          </w:p>
        </w:tc>
      </w:tr>
    </w:tbl>
    <w:p>
      <w:pPr>
        <w:spacing w:after="40"/>
      </w:pPr>
    </w:p>
    <w:p>
      <w:pPr>
        <w:pStyle w:val="Heading2"/>
      </w:pPr>
      <w:r>
        <w:t>2.2 L'étiquette et le dossier</w:t>
      </w:r>
    </w:p>
    <w:p>
      <w:pPr/>
      <w:r>
        <w:t>Un document ne se trouve que dans un seul dossier à la fois : le rangement est exclusif. Il peut en revanche porter plusieurs étiquettes simultanément. C'est ce qui distingue un classement d'un marquage : le classement répond à « où est ce document ? », le marquage répond à « à quels ensembles appartient-il ? ».</w:t>
      </w:r>
    </w:p>
    <w:p>
      <w:pPr>
        <w:pStyle w:val="Heading2"/>
      </w:pPr>
      <w:r>
        <w:t>2.3 L'étiquette et le statut</w:t>
      </w:r>
    </w:p>
    <w:p>
      <w:pPr/>
      <w:r>
        <w:t>Une étiquette n'est pas un statut. Le statut d'un document — en attente, validé, rejeté — est produit par le circuit de validation et évolue sans intervention manuelle. Une étiquette est posée à la main et ne change jamais toute seule. Créer une étiquette « Validé » est possible, mais elle ne se posera pas d'elle-même quand le circuit aboutira : elle restera une déclaration d'intention à entretenir manuellement.</w:t>
      </w:r>
    </w:p>
    <w:p>
      <w:pPr>
        <w:pStyle w:val="Heading2"/>
      </w:pPr>
      <w:r>
        <w:t>2.4 Le libellé et le code</w:t>
      </w:r>
    </w:p>
    <w:p>
      <w:pPr/>
      <w:r>
        <w:t>Le libellé est le mot affiché : « Urgent ». Le code est un identifiant court et technique : « TAG-URG ». Le libellé est ce que l'opérateur lit dans le sélecteur du dépôt et sur les documents ; le code sert de repère stable au paramétrage et lors des reprises de données. Seul le code est soumis à unicité.</w:t>
      </w:r>
    </w:p>
    <w:p>
      <w:pPr>
        <w:pStyle w:val="Heading2"/>
      </w:pPr>
      <w:r>
        <w:t>2.5 La couleur</w:t>
      </w:r>
    </w:p>
    <w:p>
      <w:pPr/>
      <w:r>
        <w:t>La couleur n'est pas décorative : elle est le principal moyen de reconnaissance visuelle d'une étiquette dans une liste de documents. Un lot de documents porteurs d'une étiquette rouge se repère instantanément dans un tableau ; le même lot marqué d'une étiquette sans couleur distinctive impose de lire chaque ligne. La couleur se saisit librement, ce qui permet d'aligner les étiquettes sur un code couleur d'entreprise existant plutôt que de subir une palette imposée.</w:t>
      </w:r>
    </w:p>
    <w:p>
      <w:pPr>
        <w:pStyle w:val="Heading2"/>
      </w:pPr>
      <w:r>
        <w:t>2.6 L'étiquette et le document qui la porte</w:t>
      </w:r>
    </w:p>
    <w:p>
      <w:pPr/>
      <w:r>
        <w:t>L'étiquette est un objet de référentiel ; sa pose sur un document est un lien. Créer une étiquette ne marque aucun document. Supprimer une étiquette ne supprime aucun document — mais le comportement exact du lien mérite un développement, donné au chapitre 8.</w:t>
      </w:r>
    </w:p>
    <w:p>
      <w:pPr>
        <w:pStyle w:val="Heading1"/>
      </w:pPr>
      <w:r>
        <w:t>3. Ce que l'utilisateur voit</w:t>
      </w:r>
    </w:p>
    <w:p>
      <w:pPr>
        <w:pStyle w:val="Heading2"/>
      </w:pPr>
      <w:r>
        <w:t>3.1 L'en-tête et la barre d'outils</w:t>
      </w:r>
    </w:p>
    <w:p>
      <w:pPr/>
      <w:r>
        <w:t>En haut à gauche, le titre « Étiquette » au singulier et le fil d'ariane « Accueil - Listes des Étiquettes ». En haut à droite, le bouton « Créer une étiquette ». La barre d'outils reprend le dispositif commun à toutes les listes : champ de recherche, bouton « Sélectionner », sélecteur de colonnes, bouton « Rafraîchir », bascule « Archive » / « Actifs », et bouton d'action groupée qui n'apparaît que si une ligne est cochée.</w:t>
      </w:r>
    </w:p>
    <w:p>
      <w:pPr/>
      <w:r>
        <w:t>Un détail de vocabulaire est à signaler : l'onglet des éléments non supprimés s'intitule « Actifs », au masculin, alors que l'objet de l'écran est féminin. Le choix est délibéré et assume une cohérence avec les sept autres écrans de liste, qui portent tous le même intitulé.</w:t>
      </w:r>
    </w:p>
    <w:p>
      <w:pPr>
        <w:pStyle w:val="Heading2"/>
      </w:pPr>
      <w:r>
        <w:t>3.2 Le tableau et ses colonnes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Colonne</w:t>
            </w:r>
          </w:p>
        </w:tc>
        <w:tc>
          <w:tcPr>
            <w:tcW w:type="dxa" w:w="3213"/>
          </w:tcPr>
          <w:p>
            <w:pPr>
              <w:spacing w:before="20" w:after="20"/>
            </w:pPr>
            <w:r>
              <w:rPr>
                <w:b/>
                <w:sz w:val="19"/>
              </w:rPr>
              <w:t>Contenu affiché</w:t>
            </w:r>
          </w:p>
        </w:tc>
        <w:tc>
          <w:tcPr>
            <w:tcW w:type="dxa" w:w="3213"/>
          </w:tcPr>
          <w:p>
            <w:pPr>
              <w:spacing w:before="20" w:after="20"/>
            </w:pPr>
            <w:r>
              <w:rPr>
                <w:b/>
                <w:sz w:val="19"/>
              </w:rPr>
              <w:t>Ce qu'elle apprend</w:t>
            </w:r>
          </w:p>
        </w:tc>
      </w:tr>
      <w:tr>
        <w:tc>
          <w:tcPr>
            <w:tcW w:type="dxa" w:w="3213"/>
          </w:tcPr>
          <w:p>
            <w:pPr>
              <w:spacing w:before="20" w:after="20"/>
            </w:pPr>
            <w:r>
              <w:rPr>
                <w:sz w:val="19"/>
              </w:rPr>
              <w:t>ID</w:t>
            </w:r>
          </w:p>
        </w:tc>
        <w:tc>
          <w:tcPr>
            <w:tcW w:type="dxa" w:w="3213"/>
          </w:tcPr>
          <w:p>
            <w:pPr>
              <w:spacing w:before="20" w:after="20"/>
            </w:pPr>
            <w:r>
              <w:rPr>
                <w:sz w:val="19"/>
              </w:rPr>
              <w:t>Le numéro interne de l'étiquette.</w:t>
            </w:r>
          </w:p>
        </w:tc>
        <w:tc>
          <w:tcPr>
            <w:tcW w:type="dxa" w:w="3213"/>
          </w:tcPr>
          <w:p>
            <w:pPr>
              <w:spacing w:before="20" w:after="20"/>
            </w:pPr>
            <w:r>
              <w:rPr>
                <w:sz w:val="19"/>
              </w:rPr>
              <w:t>Repère de contrôle, sans portée métier.</w:t>
            </w:r>
          </w:p>
        </w:tc>
      </w:tr>
      <w:tr>
        <w:tc>
          <w:tcPr>
            <w:tcW w:type="dxa" w:w="3213"/>
          </w:tcPr>
          <w:p>
            <w:pPr>
              <w:spacing w:before="20" w:after="20"/>
            </w:pPr>
            <w:r>
              <w:rPr>
                <w:sz w:val="19"/>
              </w:rPr>
              <w:t>Code</w:t>
            </w:r>
          </w:p>
        </w:tc>
        <w:tc>
          <w:tcPr>
            <w:tcW w:type="dxa" w:w="3213"/>
          </w:tcPr>
          <w:p>
            <w:pPr>
              <w:spacing w:before="20" w:after="20"/>
            </w:pPr>
            <w:r>
              <w:rPr>
                <w:sz w:val="19"/>
              </w:rPr>
              <w:t>Le code saisi.</w:t>
            </w:r>
          </w:p>
        </w:tc>
        <w:tc>
          <w:tcPr>
            <w:tcW w:type="dxa" w:w="3213"/>
          </w:tcPr>
          <w:p>
            <w:pPr>
              <w:spacing w:before="20" w:after="20"/>
            </w:pPr>
            <w:r>
              <w:rPr>
                <w:sz w:val="19"/>
              </w:rPr>
              <w:t>Identifiant stable, unique dans l'application.</w:t>
            </w:r>
          </w:p>
        </w:tc>
      </w:tr>
      <w:tr>
        <w:tc>
          <w:tcPr>
            <w:tcW w:type="dxa" w:w="3213"/>
          </w:tcPr>
          <w:p>
            <w:pPr>
              <w:spacing w:before="20" w:after="20"/>
            </w:pPr>
            <w:r>
              <w:rPr>
                <w:sz w:val="19"/>
              </w:rPr>
              <w:t>Étiquette</w:t>
            </w:r>
          </w:p>
        </w:tc>
        <w:tc>
          <w:tcPr>
            <w:tcW w:type="dxa" w:w="3213"/>
          </w:tcPr>
          <w:p>
            <w:pPr>
              <w:spacing w:before="20" w:after="20"/>
            </w:pPr>
            <w:r>
              <w:rPr>
                <w:sz w:val="19"/>
              </w:rPr>
              <w:t>Le libellé, présenté sur une pastille remplie de la couleur de l'étiquette.</w:t>
            </w:r>
          </w:p>
        </w:tc>
        <w:tc>
          <w:tcPr>
            <w:tcW w:type="dxa" w:w="3213"/>
          </w:tcPr>
          <w:p>
            <w:pPr>
              <w:spacing w:before="20" w:after="20"/>
            </w:pPr>
            <w:r>
              <w:rPr>
                <w:sz w:val="19"/>
              </w:rPr>
              <w:t>C'est le rendu réel : le lecteur voit exactement ce que l'opérateur verra dans la liste des documents. Une couleur trop claire ou trop proche du fond se dénonce ici.</w:t>
            </w:r>
          </w:p>
        </w:tc>
      </w:tr>
      <w:tr>
        <w:tc>
          <w:tcPr>
            <w:tcW w:type="dxa" w:w="3213"/>
          </w:tcPr>
          <w:p>
            <w:pPr>
              <w:spacing w:before="20" w:after="20"/>
            </w:pPr>
            <w:r>
              <w:rPr>
                <w:sz w:val="19"/>
              </w:rPr>
              <w:t>Couleur</w:t>
            </w:r>
          </w:p>
        </w:tc>
        <w:tc>
          <w:tcPr>
            <w:tcW w:type="dxa" w:w="3213"/>
          </w:tcPr>
          <w:p>
            <w:pPr>
              <w:spacing w:before="20" w:after="20"/>
            </w:pPr>
            <w:r>
              <w:rPr>
                <w:sz w:val="19"/>
              </w:rPr>
              <w:t>Une pastille de la teinte, suivie du code hexadécimal en clair.</w:t>
            </w:r>
          </w:p>
        </w:tc>
        <w:tc>
          <w:tcPr>
            <w:tcW w:type="dxa" w:w="3213"/>
          </w:tcPr>
          <w:p>
            <w:pPr>
              <w:spacing w:before="20" w:after="20"/>
            </w:pPr>
            <w:r>
              <w:rPr>
                <w:sz w:val="19"/>
              </w:rPr>
              <w:t>La pastille dit ce que l'œil percevra, le code dit ce qu'il faudra saisir pour reproduire la teinte ailleurs. Les deux sont dessinés à partir de la même valeur enregistrée : ils ne peuvent pas diverger.</w:t>
            </w:r>
          </w:p>
        </w:tc>
      </w:tr>
      <w:tr>
        <w:tc>
          <w:tcPr>
            <w:tcW w:type="dxa" w:w="3213"/>
          </w:tcPr>
          <w:p>
            <w:pPr>
              <w:spacing w:before="20" w:after="20"/>
            </w:pPr>
            <w:r>
              <w:rPr>
                <w:sz w:val="19"/>
              </w:rPr>
              <w:t>Actions</w:t>
            </w:r>
          </w:p>
        </w:tc>
        <w:tc>
          <w:tcPr>
            <w:tcW w:type="dxa" w:w="3213"/>
          </w:tcPr>
          <w:p>
            <w:pPr>
              <w:spacing w:before="20" w:after="20"/>
            </w:pPr>
            <w:r>
              <w:rPr>
                <w:sz w:val="19"/>
              </w:rPr>
              <w:t>En vue Actifs : le crayon (Modifier) et la corbeille (Supprimer). En vue Archive : les flèches circulaires (Restaurer).</w:t>
            </w:r>
          </w:p>
        </w:tc>
        <w:tc>
          <w:tcPr>
            <w:tcW w:type="dxa" w:w="3213"/>
          </w:tcPr>
          <w:p>
            <w:pPr>
              <w:spacing w:before="20" w:after="20"/>
            </w:pPr>
            <w:r>
              <w:rPr>
                <w:sz w:val="19"/>
              </w:rPr>
              <w:t>Le jeu d'actions change avec la vue : on ne modifie pas une étiquette archivée, on la restaure d'abord.</w:t>
            </w:r>
          </w:p>
        </w:tc>
      </w:tr>
    </w:tbl>
    <w:p>
      <w:pPr>
        <w:spacing w:after="40"/>
      </w:pPr>
    </w:p>
    <w:p>
      <w:pPr/>
      <w:r>
        <w:t>Le fait que la pastille et le code hexadécimal soient produits à partir de la même valeur n'est pas un détail d'implémentation : deux sources séparées finiraient par diverger, et l'utilisateur ne saurait plus laquelle croire — la couleur qu'il voit ou le code qu'il lit.</w:t>
      </w:r>
    </w:p>
    <w:p>
      <w:pPr>
        <w:pStyle w:val="Heading2"/>
      </w:pPr>
      <w:r>
        <w:t>3.3 Les états vides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Titre affiché</w:t>
            </w:r>
          </w:p>
        </w:tc>
        <w:tc>
          <w:tcPr>
            <w:tcW w:type="dxa" w:w="3213"/>
          </w:tcPr>
          <w:p>
            <w:pPr>
              <w:spacing w:before="20" w:after="20"/>
            </w:pPr>
            <w:r>
              <w:rPr>
                <w:b/>
                <w:sz w:val="19"/>
              </w:rPr>
              <w:t>Texte d'accompagnement</w:t>
            </w:r>
          </w:p>
        </w:tc>
      </w:tr>
      <w:tr>
        <w:tc>
          <w:tcPr>
            <w:tcW w:type="dxa" w:w="3213"/>
          </w:tcPr>
          <w:p>
            <w:pPr>
              <w:spacing w:before="20" w:after="20"/>
            </w:pPr>
            <w:r>
              <w:rPr>
                <w:sz w:val="19"/>
              </w:rPr>
              <w:t>Vue Actifs, aucune étiquette</w:t>
            </w:r>
          </w:p>
        </w:tc>
        <w:tc>
          <w:tcPr>
            <w:tcW w:type="dxa" w:w="3213"/>
          </w:tcPr>
          <w:p>
            <w:pPr>
              <w:spacing w:before="20" w:after="20"/>
            </w:pPr>
            <w:r>
              <w:rPr>
                <w:sz w:val="19"/>
              </w:rPr>
              <w:t>Aucune étiquette</w:t>
            </w:r>
          </w:p>
        </w:tc>
        <w:tc>
          <w:tcPr>
            <w:tcW w:type="dxa" w:w="3213"/>
          </w:tcPr>
          <w:p>
            <w:pPr>
              <w:spacing w:before="20" w:after="20"/>
            </w:pPr>
            <w:r>
              <w:rPr>
                <w:sz w:val="19"/>
              </w:rPr>
              <w:t>Créez une étiquette pour marquer et retrouver vos documents.</w:t>
            </w:r>
          </w:p>
        </w:tc>
      </w:tr>
      <w:tr>
        <w:tc>
          <w:tcPr>
            <w:tcW w:type="dxa" w:w="3213"/>
          </w:tcPr>
          <w:p>
            <w:pPr>
              <w:spacing w:before="20" w:after="20"/>
            </w:pPr>
            <w:r>
              <w:rPr>
                <w:sz w:val="19"/>
              </w:rPr>
              <w:t>Vue Archive, aucune étiquette supprimée</w:t>
            </w:r>
          </w:p>
        </w:tc>
        <w:tc>
          <w:tcPr>
            <w:tcW w:type="dxa" w:w="3213"/>
          </w:tcPr>
          <w:p>
            <w:pPr>
              <w:spacing w:before="20" w:after="20"/>
            </w:pPr>
            <w:r>
              <w:rPr>
                <w:sz w:val="19"/>
              </w:rPr>
              <w:t>L'archive est vide</w:t>
            </w:r>
          </w:p>
        </w:tc>
        <w:tc>
          <w:tcPr>
            <w:tcW w:type="dxa" w:w="3213"/>
          </w:tcPr>
          <w:p>
            <w:pPr>
              <w:spacing w:before="20" w:after="20"/>
            </w:pPr>
            <w:r>
              <w:rPr>
                <w:sz w:val="19"/>
              </w:rPr>
              <w:t>Aucune étiquette supprimée n'attend d'être restaurée.</w:t>
            </w:r>
          </w:p>
        </w:tc>
      </w:tr>
    </w:tbl>
    <w:p>
      <w:pPr>
        <w:spacing w:after="40"/>
      </w:pPr>
    </w:p>
    <w:p>
      <w:pPr>
        <w:pStyle w:val="Heading2"/>
      </w:pPr>
      <w:r>
        <w:t>3.4 Le pied de tableau</w:t>
      </w:r>
    </w:p>
    <w:p>
      <w:pPr/>
      <w:r>
        <w:t>La liste est paginée, avec le nombre total affiché en pied de tableau, la navigation entre pages y compris première et dernière, et un choix de taille de page parmi 10, 25 et 50 lignes, mémorisé d'une visite à l'autre. Le tri est accepté sur l'identifiant, le code et le libellé ; il n'est pas proposé sur la couleur. Par défaut, les étiquettes les plus récentes apparaissent en premier.</w:t>
      </w:r>
    </w:p>
    <w:p>
      <w:pPr>
        <w:pStyle w:val="Heading2"/>
      </w:pPr>
      <w:r>
        <w:t>3.5 Le formulaire</w:t>
      </w:r>
    </w:p>
    <w:p>
      <w:pPr/>
      <w:r>
        <w:t>Le formulaire s'ouvre en fenêtre modale, intitulée « Créer une étiquette » ou « Modifier l'étiquette ». Il est le plus court de l'application : trois champs, présentés sur deux lignes.</w:t>
      </w:r>
    </w:p>
    <w:p>
      <w:pPr>
        <w:pStyle w:val="Heading3"/>
      </w:pPr>
      <w:r>
        <w:t>La première ligne : le libellé et le code</w:t>
      </w:r>
    </w:p>
    <w:p>
      <w:pPr/>
      <w:r>
        <w:t>La première ligne porte, côte à côte, le champ « Étiquette » — avec l'exemple « Ex. Urgent » — et le champ « Code » — avec l'exemple « Ex. TAG-URG ». L'ordre est imposé et diffère de celui du tableau, où le code figure en premier.</w:t>
      </w:r>
    </w:p>
    <w:p>
      <w:pPr>
        <w:pStyle w:val="Heading3"/>
      </w:pPr>
      <w:r>
        <w:t>La seconde ligne : la couleur et son aperçu</w:t>
      </w:r>
    </w:p>
    <w:p>
      <w:pPr/>
      <w:r>
        <w:t>La seconde ligne est consacrée à la couleur et rassemble quatre éléments alignés : l'intitulé « Couleur », un sélecteur de teinte natif que l'on ouvre d'un clic, un champ de saisie du code hexadécimal portant l'exemple « #000000 », et une pastille d'aperçu. Le sélecteur et le champ de saisie agissent sur la même valeur : modifier l'un met l'autre à jour.</w:t>
      </w:r>
    </w:p>
    <w:p>
      <w:pPr/>
      <w:r>
        <w:t>La pastille d'aperçu affiche le libellé en cours de saisie sur la couleur en cours de sélection. Tant qu'aucun libellé n'a été saisi, elle affiche le mot « Aperçu ». Elle se met à jour à chaque frappe et à chaque changement de teinte, ce qui permet de juger immédiatement la lisibilité du texte sur le fond retenu.</w:t>
      </w:r>
    </w:p>
    <w:p>
      <w:pPr>
        <w:pStyle w:val="Heading3"/>
      </w:pPr>
      <w:r>
        <w:t>Les boutons et le temps de l'enregistrement</w:t>
      </w:r>
    </w:p>
    <w:p>
      <w:pPr/>
      <w:r>
        <w:t>Les boutons sont « Annuler » et, selon le cas, « Ajouter » ou « Mettre à jour ». Pendant l'enregistrement, le bouton de validation affiche « Enregistrement… ».</w:t>
      </w:r>
    </w:p>
    <w:p>
      <w:pPr>
        <w:spacing w:before="0" w:after="0"/>
        <w:ind w:left="113"/>
      </w:pPr>
      <w:r>
        <w:rPr>
          <w:rFonts w:ascii="Consolas" w:hAnsi="Consolas" w:cs="Consolas"/>
          <w:sz w:val="18"/>
        </w:rPr>
        <w:t xml:space="preserve">  FORMULAIRE D'UNE ÉTIQUETTE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Créer une étiquette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 Étiquette *        ]        [ Code *              ]         |</w:t>
      </w:r>
    </w:p>
    <w:p>
      <w:pPr>
        <w:spacing w:before="0" w:after="0"/>
        <w:ind w:left="113"/>
      </w:pPr>
      <w:r>
        <w:rPr>
          <w:rFonts w:ascii="Consolas" w:hAnsi="Consolas" w:cs="Consolas"/>
          <w:sz w:val="18"/>
        </w:rPr>
        <w:t xml:space="preserve">  |    « Ex. Urgent »                « Ex. TAG-URG »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Couleur  [##]  [ #16406b        ]   (  Urgent  )              |</w:t>
      </w:r>
    </w:p>
    <w:p>
      <w:pPr>
        <w:spacing w:before="0" w:after="0"/>
        <w:ind w:left="113"/>
      </w:pPr>
      <w:r>
        <w:rPr>
          <w:rFonts w:ascii="Consolas" w:hAnsi="Consolas" w:cs="Consolas"/>
          <w:sz w:val="18"/>
        </w:rPr>
        <w:t xml:space="preserve">  |            ^          ^                   ^                    |</w:t>
      </w:r>
    </w:p>
    <w:p>
      <w:pPr>
        <w:spacing w:before="0" w:after="0"/>
        <w:ind w:left="113"/>
      </w:pPr>
      <w:r>
        <w:rPr>
          <w:rFonts w:ascii="Consolas" w:hAnsi="Consolas" w:cs="Consolas"/>
          <w:sz w:val="18"/>
        </w:rPr>
        <w:t xml:space="preserve">  |            |          |                   |                    |</w:t>
      </w:r>
    </w:p>
    <w:p>
      <w:pPr>
        <w:spacing w:before="0" w:after="0"/>
        <w:ind w:left="113"/>
      </w:pPr>
      <w:r>
        <w:rPr>
          <w:rFonts w:ascii="Consolas" w:hAnsi="Consolas" w:cs="Consolas"/>
          <w:sz w:val="18"/>
        </w:rPr>
        <w:t xml:space="preserve">  |     sélecteur de   code hexa        pastille d'aperçu :        |</w:t>
      </w:r>
    </w:p>
    <w:p>
      <w:pPr>
        <w:spacing w:before="0" w:after="0"/>
        <w:ind w:left="113"/>
      </w:pPr>
      <w:r>
        <w:rPr>
          <w:rFonts w:ascii="Consolas" w:hAnsi="Consolas" w:cs="Consolas"/>
          <w:sz w:val="18"/>
        </w:rPr>
        <w:t xml:space="preserve">  |     teinte natif   saisissable      le LIBELLÉ sur la COULEUR, |</w:t>
      </w:r>
    </w:p>
    <w:p>
      <w:pPr>
        <w:spacing w:before="0" w:after="0"/>
        <w:ind w:left="113"/>
      </w:pPr>
      <w:r>
        <w:rPr>
          <w:rFonts w:ascii="Consolas" w:hAnsi="Consolas" w:cs="Consolas"/>
          <w:sz w:val="18"/>
        </w:rPr>
        <w:t xml:space="preserve">  |     (même valeur, deux commandes)   remise à jour à la frappe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 Annuler ]   [ Ajouter ]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Ordre imposé : le LIBELLÉ se saisit AVANT le code.</w:t>
      </w:r>
    </w:p>
    <w:p>
      <w:pPr>
        <w:spacing w:after="40"/>
      </w:pPr>
    </w:p>
    <w:p>
      <w:pPr>
        <w:pStyle w:val="Heading1"/>
      </w:pPr>
      <w:r>
        <w:t>4. Le processus, étape par étape</w:t>
      </w:r>
    </w:p>
    <w:p>
      <w:pPr>
        <w:pStyle w:val="Heading2"/>
      </w:pPr>
      <w:r>
        <w:t>4.1 Parcours A — créer une étiquette</w:t>
      </w:r>
    </w:p>
    <w:p>
      <w:pPr>
        <w:pStyle w:val="ListNumber"/>
        <w:numPr>
          <w:ilvl w:val="0"/>
          <w:numId w:val="10"/>
        </w:numPr>
      </w:pPr>
      <w:r>
        <w:t>L'utilisateur clique sur « Créer une étiquette ». L'application ouvre la fenêtre de saisie avec le libellé et le code vides, et la couleur déjà positionnée sur une teinte de la marque.</w:t>
      </w:r>
    </w:p>
    <w:p>
      <w:pPr>
        <w:pStyle w:val="ListNumber"/>
        <w:numPr>
          <w:ilvl w:val="0"/>
          <w:numId w:val="10"/>
        </w:numPr>
      </w:pPr>
      <w:r>
        <w:t>L'utilisateur saisit le libellé, par exemple « Urgent ». La pastille d'aperçu, qui affichait le mot « Aperçu », adopte immédiatement ce libellé.</w:t>
      </w:r>
    </w:p>
    <w:p>
      <w:pPr>
        <w:pStyle w:val="ListNumber"/>
        <w:numPr>
          <w:ilvl w:val="0"/>
          <w:numId w:val="10"/>
        </w:numPr>
      </w:pPr>
      <w:r>
        <w:t>Il saisit le code, par exemple « TAG-URG ».</w:t>
      </w:r>
    </w:p>
    <w:p>
      <w:pPr>
        <w:pStyle w:val="ListNumber"/>
        <w:numPr>
          <w:ilvl w:val="0"/>
          <w:numId w:val="10"/>
        </w:numPr>
      </w:pPr>
      <w:r>
        <w:t>Il ajuste éventuellement la couleur, soit en ouvrant le sélecteur de teinte, soit en saisissant directement un code hexadécimal. La pastille d'aperçu se met à jour à chaque modification, ce qui permet de vérifier que le texte reste lisible sur le fond retenu.</w:t>
      </w:r>
    </w:p>
    <w:p>
      <w:pPr>
        <w:pStyle w:val="ListNumber"/>
        <w:numPr>
          <w:ilvl w:val="0"/>
          <w:numId w:val="10"/>
        </w:numPr>
      </w:pPr>
      <w:r>
        <w:t>Il clique sur « Ajouter ». Le bouton affiche « Enregistrement… » pendant le traitement.</w:t>
      </w:r>
    </w:p>
    <w:p>
      <w:pPr>
        <w:pStyle w:val="ListNumber"/>
        <w:numPr>
          <w:ilvl w:val="0"/>
          <w:numId w:val="10"/>
        </w:numPr>
      </w:pPr>
      <w:r>
        <w:t>L'application enregistre, referme la fenêtre, recharge la liste et affiche « Étiquette créée. ».</w:t>
      </w:r>
    </w:p>
    <w:p>
      <w:pPr>
        <w:spacing w:before="0" w:after="0"/>
        <w:ind w:left="113"/>
      </w:pPr>
      <w:r>
        <w:rPr>
          <w:rFonts w:ascii="Consolas" w:hAnsi="Consolas" w:cs="Consolas"/>
          <w:sz w:val="18"/>
        </w:rPr>
        <w:t xml:space="preserve">  PARCOURS A — création d'une étiquette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[Créer une étiquette]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fenêtre ouverte : libellé vide, code vide, COULEUR DÉJÀ REMPLIE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saisie du libellé</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aperçu : ( Aperçu )  ---&gt;  ( Urgent )      &lt;-- se met à jour à la frappe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saisie du code</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  réglage de la couleur (sélecteur OU code hexadécimal)</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aperçu : ( Urgent ) sur la nouvelle teinte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[Ajouter]</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libellé vide ? --oui--&gt; « Le libellé est obligatoire »  (fenêtre conservée)</w:t>
      </w:r>
    </w:p>
    <w:p>
      <w:pPr>
        <w:spacing w:before="0" w:after="0"/>
        <w:ind w:left="113"/>
      </w:pPr>
      <w:r>
        <w:rPr>
          <w:rFonts w:ascii="Consolas" w:hAnsi="Consolas" w:cs="Consolas"/>
          <w:sz w:val="18"/>
        </w:rPr>
        <w:t xml:space="preserve">   code vide ?    --oui--&gt; « Le code est obligatoire »     (fenêtre conservée)</w:t>
      </w:r>
    </w:p>
    <w:p>
      <w:pPr>
        <w:spacing w:before="0" w:after="0"/>
        <w:ind w:left="113"/>
      </w:pPr>
      <w:r>
        <w:rPr>
          <w:rFonts w:ascii="Consolas" w:hAnsi="Consolas" w:cs="Consolas"/>
          <w:sz w:val="18"/>
        </w:rPr>
        <w:t xml:space="preserve">   code déjà pris ?--oui--&gt; « Le code « TAG-URG » est déjà utilisé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non</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enregistrement -&gt; fermeture -&gt; liste rechargée -&gt; « Étiquette créée. »</w:t>
      </w:r>
    </w:p>
    <w:p>
      <w:pPr>
        <w:spacing w:after="40"/>
      </w:pPr>
    </w:p>
    <w:p>
      <w:pPr>
        <w:pStyle w:val="Heading2"/>
      </w:pPr>
      <w:r>
        <w:t>4.2 Parcours B — modifier une étiquette</w:t>
      </w:r>
    </w:p>
    <w:p>
      <w:pPr>
        <w:pStyle w:val="ListNumber"/>
        <w:numPr>
          <w:ilvl w:val="0"/>
          <w:numId w:val="11"/>
        </w:numPr>
      </w:pPr>
      <w:r>
        <w:t>L'utilisateur clique sur le crayon de la ligne concernée.</w:t>
      </w:r>
    </w:p>
    <w:p>
      <w:pPr>
        <w:pStyle w:val="ListNumber"/>
        <w:numPr>
          <w:ilvl w:val="0"/>
          <w:numId w:val="11"/>
        </w:numPr>
      </w:pPr>
      <w:r>
        <w:t>L'application relit la fiche de l'étiquette, puis ouvre la fenêtre « Modifier l'étiquette », pré-remplie avec le libellé, le code et la couleur enregistrés. La pastille d'aperçu affiche d'emblée le rendu actuel.</w:t>
      </w:r>
    </w:p>
    <w:p>
      <w:pPr>
        <w:pStyle w:val="ListNumber"/>
        <w:numPr>
          <w:ilvl w:val="0"/>
          <w:numId w:val="11"/>
        </w:numPr>
      </w:pPr>
      <w:r>
        <w:t>L'utilisateur modifie ce qu'il souhaite. Le bouton de validation s'intitule ici « Mettre à jour ».</w:t>
      </w:r>
    </w:p>
    <w:p>
      <w:pPr>
        <w:pStyle w:val="ListNumber"/>
        <w:numPr>
          <w:ilvl w:val="0"/>
          <w:numId w:val="11"/>
        </w:numPr>
      </w:pPr>
      <w:r>
        <w:t>L'application enregistre, referme la fenêtre, recharge la liste et affiche « Étiquette modifiée. ».</w:t>
      </w:r>
    </w:p>
    <w:p>
      <w:pPr/>
      <w:r>
        <w:t>Une modification s'applique immédiatement et rétroactivement : changer le libellé ou la couleur d'une étiquette change son apparence sur tous les documents qui la portent déjà. C'est le comportement attendu — l'étiquette est un objet unique, pas une copie posée sur chaque document — mais il faut en avoir conscience avant de renommer une étiquette largement employée.</w:t>
      </w:r>
    </w:p>
    <w:p>
      <w:pPr>
        <w:pStyle w:val="Heading2"/>
      </w:pPr>
      <w:r>
        <w:t>4.3 Parcours C — supprimer une étiquette, à l'unité</w:t>
      </w:r>
    </w:p>
    <w:p>
      <w:pPr>
        <w:pStyle w:val="ListNumber"/>
        <w:numPr>
          <w:ilvl w:val="0"/>
          <w:numId w:val="12"/>
        </w:numPr>
      </w:pPr>
      <w:r>
        <w:t>L'utilisateur clique sur la corbeille de la ligne.</w:t>
      </w:r>
    </w:p>
    <w:p>
      <w:pPr>
        <w:pStyle w:val="ListNumber"/>
        <w:numPr>
          <w:ilvl w:val="0"/>
          <w:numId w:val="12"/>
        </w:numPr>
      </w:pPr>
      <w:r>
        <w:t>L'application ouvre une demande de confirmation intitulée « Supprimer cette étiquette », dont le message nomme explicitement l'objet et s'accorde au féminin : « Urgent » sera déplacée vers la corbeille. Les boutons proposés sont « Annuler » et « Supprimer », ce dernier présenté en action risquée.</w:t>
      </w:r>
    </w:p>
    <w:p>
      <w:pPr>
        <w:pStyle w:val="ListNumber"/>
        <w:numPr>
          <w:ilvl w:val="0"/>
          <w:numId w:val="12"/>
        </w:numPr>
      </w:pPr>
      <w:r>
        <w:t>L'utilisateur peut sortir par « Annuler », par la touche Échap ou en cliquant hors du cadre : rien n'est écrit tant qu'il n'a pas confirmé.</w:t>
      </w:r>
    </w:p>
    <w:p>
      <w:pPr>
        <w:pStyle w:val="ListNumber"/>
        <w:numPr>
          <w:ilvl w:val="0"/>
          <w:numId w:val="12"/>
        </w:numPr>
      </w:pPr>
      <w:r>
        <w:t>S'il confirme, l'étiquette rejoint l'archive, la liste est rechargée et le message « Étiquette supprimée. » s'affiche.</w:t>
      </w:r>
    </w:p>
    <w:p>
      <w:pPr>
        <w:pStyle w:val="Heading2"/>
      </w:pPr>
      <w:r>
        <w:t>4.4 Parcours D — supprimer ou restaurer en lot</w:t>
      </w:r>
    </w:p>
    <w:p>
      <w:pPr>
        <w:pStyle w:val="ListNumber"/>
        <w:numPr>
          <w:ilvl w:val="0"/>
          <w:numId w:val="13"/>
        </w:numPr>
      </w:pPr>
      <w:r>
        <w:t>L'utilisateur clique sur « Sélectionner ». La colonne de cases à cocher apparaît, et le bouton devient « Annuler ».</w:t>
      </w:r>
    </w:p>
    <w:p>
      <w:pPr>
        <w:pStyle w:val="ListNumber"/>
        <w:numPr>
          <w:ilvl w:val="0"/>
          <w:numId w:val="13"/>
        </w:numPr>
      </w:pPr>
      <w:r>
        <w:t>Il coche les lignes voulues, ou coche la case de l'en-tête pour prendre toutes les lignes de la page affichée.</w:t>
      </w:r>
    </w:p>
    <w:p>
      <w:pPr>
        <w:pStyle w:val="ListNumber"/>
        <w:numPr>
          <w:ilvl w:val="0"/>
          <w:numId w:val="13"/>
        </w:numPr>
      </w:pPr>
      <w:r>
        <w:t>Un bouton d'action groupée apparaît dans la barre d'outils : « Supprimer (2) » en vue Actifs, « Restaurer (2) » en vue Archive.</w:t>
      </w:r>
    </w:p>
    <w:p>
      <w:pPr>
        <w:pStyle w:val="ListNumber"/>
        <w:numPr>
          <w:ilvl w:val="0"/>
          <w:numId w:val="13"/>
        </w:numPr>
      </w:pPr>
      <w:r>
        <w:t>Au clic, l'application demande confirmation sous le titre « Supprimer la sélection » ou « Restaurer la sélection », avec un message qui annonce le nombre : « Voulez-vous supprimer 2 étiquette(s) ? ».</w:t>
      </w:r>
    </w:p>
    <w:p>
      <w:pPr>
        <w:pStyle w:val="ListNumber"/>
        <w:numPr>
          <w:ilvl w:val="0"/>
          <w:numId w:val="13"/>
        </w:numPr>
      </w:pPr>
      <w:r>
        <w:t>Après confirmation, la liste est rechargée et le bilan s'affiche, accordé au féminin : « 2 étiquette(s) supprimée(s). » ou « 2 étiquette(s) restaurée(s). ».</w:t>
      </w:r>
    </w:p>
    <w:p>
      <w:pPr>
        <w:pStyle w:val="ListNumber"/>
        <w:numPr>
          <w:ilvl w:val="0"/>
          <w:numId w:val="13"/>
        </w:numPr>
      </w:pPr>
      <w:r>
        <w:t>Quitter le mode sélection vide la sélection, afin qu'aucune ligne ne reste cochée sans être visible.</w:t>
      </w:r>
    </w:p>
    <w:p>
      <w:pPr>
        <w:pStyle w:val="Heading2"/>
      </w:pPr>
      <w:r>
        <w:t>4.5 Parcours E — restaurer une étiquette à l'unité</w:t>
      </w:r>
    </w:p>
    <w:p>
      <w:pPr>
        <w:pStyle w:val="ListNumber"/>
        <w:numPr>
          <w:ilvl w:val="0"/>
          <w:numId w:val="14"/>
        </w:numPr>
      </w:pPr>
      <w:r>
        <w:t>L'utilisateur bascule sur la vue Archive.</w:t>
      </w:r>
    </w:p>
    <w:p>
      <w:pPr>
        <w:pStyle w:val="ListNumber"/>
        <w:numPr>
          <w:ilvl w:val="0"/>
          <w:numId w:val="14"/>
        </w:numPr>
      </w:pPr>
      <w:r>
        <w:t>Il clique sur les flèches circulaires de la ligne concernée.</w:t>
      </w:r>
    </w:p>
    <w:p>
      <w:pPr>
        <w:pStyle w:val="ListNumber"/>
        <w:numPr>
          <w:ilvl w:val="0"/>
          <w:numId w:val="14"/>
        </w:numPr>
      </w:pPr>
      <w:r>
        <w:t>L'application restaure immédiatement, sans aucune demande de confirmation, recharge la liste et affiche « Étiquette restaurée. ».</w:t>
      </w:r>
    </w:p>
    <w:p>
      <w:pPr>
        <w:pStyle w:val="Heading2"/>
      </w:pPr>
      <w:r>
        <w:t>4.6 Parcours F — poser une étiquette sur un document</w:t>
      </w:r>
    </w:p>
    <w:p>
      <w:pPr/>
      <w:r>
        <w:t>Ce parcours ne se déroule pas sur cet écran, mais il est la finalité de tout ce qui précède et doit être connu de qui paramètre.</w:t>
      </w:r>
    </w:p>
    <w:p>
      <w:pPr>
        <w:pStyle w:val="ListNumber"/>
        <w:numPr>
          <w:ilvl w:val="0"/>
          <w:numId w:val="15"/>
        </w:numPr>
      </w:pPr>
      <w:r>
        <w:t>L'opérateur ouvre l'écran de dépôt et choisit son type de document.</w:t>
      </w:r>
    </w:p>
    <w:p>
      <w:pPr>
        <w:pStyle w:val="ListNumber"/>
        <w:numPr>
          <w:ilvl w:val="0"/>
          <w:numId w:val="15"/>
        </w:numPr>
      </w:pPr>
      <w:r>
        <w:t>Plus bas dans le formulaire, sous le champ du nom du document, un champ intitulé « Étiquettes (optionnel) » propose la liste des étiquettes actives. Chaque entrée est précédée d'une pastille de sa couleur.</w:t>
      </w:r>
    </w:p>
    <w:p>
      <w:pPr>
        <w:pStyle w:val="ListNumber"/>
        <w:numPr>
          <w:ilvl w:val="0"/>
          <w:numId w:val="15"/>
        </w:numPr>
      </w:pPr>
      <w:r>
        <w:t>L'aide affichée sous le champ précise son intérêt : pour retrouver le document en travers des dossiers et des types.</w:t>
      </w:r>
    </w:p>
    <w:p>
      <w:pPr>
        <w:pStyle w:val="ListNumber"/>
        <w:numPr>
          <w:ilvl w:val="0"/>
          <w:numId w:val="15"/>
        </w:numPr>
      </w:pPr>
      <w:r>
        <w:t>L'opérateur en coche autant qu'il le souhaite, ou aucune : le champ est facultatif et son intitulé le dit.</w:t>
      </w:r>
    </w:p>
    <w:p>
      <w:pPr>
        <w:pStyle w:val="ListNumber"/>
        <w:numPr>
          <w:ilvl w:val="0"/>
          <w:numId w:val="15"/>
        </w:numPr>
      </w:pPr>
      <w:r>
        <w:t>Si le référentiel des étiquettes est vide, le champ n'apparaît pas du tout. Un sélecteur vide laisserait croire à une panne ; l'absence de champ dit simplement qu'il n'y a rien à proposer.</w:t>
      </w:r>
    </w:p>
    <w:p>
      <w:pPr>
        <w:spacing w:before="0" w:after="0"/>
        <w:ind w:left="113"/>
      </w:pPr>
      <w:r>
        <w:rPr>
          <w:rFonts w:ascii="Consolas" w:hAnsi="Consolas" w:cs="Consolas"/>
          <w:sz w:val="18"/>
        </w:rPr>
        <w:t xml:space="preserve">  OÙ L'ÉTIQUETTE EST UTILISÉE, UNE FOIS CRÉÉE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[09] ÉCRAN ÉTIQUETTES              [11] ÉCRAN DE DÉPÔT</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création du référentiel   -----&gt;   « Étiquettes (optionnel) »</w:t>
      </w:r>
    </w:p>
    <w:p>
      <w:pPr>
        <w:spacing w:before="0" w:after="0"/>
        <w:ind w:left="113"/>
      </w:pPr>
      <w:r>
        <w:rPr>
          <w:rFonts w:ascii="Consolas" w:hAnsi="Consolas" w:cs="Consolas"/>
          <w:sz w:val="18"/>
        </w:rPr>
        <w:t xml:space="preserve">   ( Urgent )( Confidentiel )         [ (o) Urgent  (o) Confidentiel  ... v ]</w:t>
      </w:r>
    </w:p>
    <w:p>
      <w:pPr>
        <w:spacing w:before="0" w:after="0"/>
        <w:ind w:left="113"/>
      </w:pPr>
      <w:r>
        <w:rPr>
          <w:rFonts w:ascii="Consolas" w:hAnsi="Consolas" w:cs="Consolas"/>
          <w:sz w:val="18"/>
        </w:rPr>
        <w:t xml:space="preserve">   ( À vérifier )( Validé )           « Pour retrouver le document en travers</w:t>
      </w:r>
    </w:p>
    <w:p>
      <w:pPr>
        <w:spacing w:before="0" w:after="0"/>
        <w:ind w:left="113"/>
      </w:pPr>
      <w:r>
        <w:rPr>
          <w:rFonts w:ascii="Consolas" w:hAnsi="Consolas" w:cs="Consolas"/>
          <w:sz w:val="18"/>
        </w:rPr>
        <w:t xml:space="preserve">                                        des dossiers et des types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[10] LISTE DES DOCUMENTS</w:t>
      </w:r>
    </w:p>
    <w:p>
      <w:pPr>
        <w:spacing w:before="0" w:after="0"/>
        <w:ind w:left="113"/>
      </w:pPr>
      <w:r>
        <w:rPr>
          <w:rFonts w:ascii="Consolas" w:hAnsi="Consolas" w:cs="Consolas"/>
          <w:sz w:val="18"/>
        </w:rPr>
        <w:t xml:space="preserve">                                     les étiquettes s'affichent en pastilles</w:t>
      </w:r>
    </w:p>
    <w:p>
      <w:pPr>
        <w:spacing w:before="0" w:after="0"/>
        <w:ind w:left="113"/>
      </w:pPr>
      <w:r>
        <w:rPr>
          <w:rFonts w:ascii="Consolas" w:hAnsi="Consolas" w:cs="Consolas"/>
          <w:sz w:val="18"/>
        </w:rPr>
        <w:t xml:space="preserve">                                     colorées sur la ligne du document</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Référentiel vide -&gt; le champ n'apparaît PAS du tout sur l'écran de dépôt.</w:t>
      </w:r>
    </w:p>
    <w:p>
      <w:pPr>
        <w:spacing w:after="40"/>
      </w:pPr>
    </w:p>
    <w:p>
      <w:pPr>
        <w:pStyle w:val="Heading1"/>
      </w:pPr>
      <w:r>
        <w:t>5. Les données saisies</w:t>
      </w:r>
    </w:p>
    <w:p>
      <w:pPr/>
      <w:r>
        <w:t>L'ordre des champs est imposé et diffère volontairement de celui du tableau.</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tcPr>
          <w:p>
            <w:pPr>
              <w:spacing w:before="20" w:after="20"/>
            </w:pPr>
            <w:r>
              <w:rPr>
                <w:b/>
                <w:sz w:val="19"/>
              </w:rPr>
              <w:t>Ordre</w:t>
            </w:r>
          </w:p>
        </w:tc>
        <w:tc>
          <w:tcPr>
            <w:tcW w:type="dxa" w:w="1606"/>
          </w:tcPr>
          <w:p>
            <w:pPr>
              <w:spacing w:before="20" w:after="20"/>
            </w:pPr>
            <w:r>
              <w:rPr>
                <w:b/>
                <w:sz w:val="19"/>
              </w:rPr>
              <w:t>Intitulé affiché</w:t>
            </w:r>
          </w:p>
        </w:tc>
        <w:tc>
          <w:tcPr>
            <w:tcW w:type="dxa" w:w="1606"/>
          </w:tcPr>
          <w:p>
            <w:pPr>
              <w:spacing w:before="20" w:after="20"/>
            </w:pPr>
            <w:r>
              <w:rPr>
                <w:b/>
                <w:sz w:val="19"/>
              </w:rPr>
              <w:t>Nature</w:t>
            </w:r>
          </w:p>
        </w:tc>
        <w:tc>
          <w:tcPr>
            <w:tcW w:type="dxa" w:w="1606"/>
          </w:tcPr>
          <w:p>
            <w:pPr>
              <w:spacing w:before="20" w:after="20"/>
            </w:pPr>
            <w:r>
              <w:rPr>
                <w:b/>
                <w:sz w:val="19"/>
              </w:rPr>
              <w:t>Obligatoire</w:t>
            </w:r>
          </w:p>
        </w:tc>
        <w:tc>
          <w:tcPr>
            <w:tcW w:type="dxa" w:w="1606"/>
          </w:tcPr>
          <w:p>
            <w:pPr>
              <w:spacing w:before="20" w:after="20"/>
            </w:pPr>
            <w:r>
              <w:rPr>
                <w:b/>
                <w:sz w:val="19"/>
              </w:rPr>
              <w:t>Valeur par défaut</w:t>
            </w:r>
          </w:p>
        </w:tc>
        <w:tc>
          <w:tcPr>
            <w:tcW w:type="dxa" w:w="1606"/>
          </w:tcPr>
          <w:p>
            <w:pPr>
              <w:spacing w:before="20" w:after="20"/>
            </w:pPr>
            <w:r>
              <w:rPr>
                <w:b/>
                <w:sz w:val="19"/>
              </w:rPr>
              <w:t>Exemple</w:t>
            </w:r>
          </w:p>
        </w:tc>
      </w:tr>
      <w:tr>
        <w:tc>
          <w:tcPr>
            <w:tcW w:type="dxa" w:w="1606"/>
          </w:tcPr>
          <w:p>
            <w:pPr>
              <w:spacing w:before="20" w:after="20"/>
            </w:pPr>
            <w:r>
              <w:rPr>
                <w:sz w:val="19"/>
              </w:rPr>
              <w:t>1</w:t>
            </w:r>
          </w:p>
        </w:tc>
        <w:tc>
          <w:tcPr>
            <w:tcW w:type="dxa" w:w="1606"/>
          </w:tcPr>
          <w:p>
            <w:pPr>
              <w:spacing w:before="20" w:after="20"/>
            </w:pPr>
            <w:r>
              <w:rPr>
                <w:sz w:val="19"/>
              </w:rPr>
              <w:t>Étiquette</w:t>
            </w:r>
          </w:p>
        </w:tc>
        <w:tc>
          <w:tcPr>
            <w:tcW w:type="dxa" w:w="1606"/>
          </w:tcPr>
          <w:p>
            <w:pPr>
              <w:spacing w:before="20" w:after="20"/>
            </w:pPr>
            <w:r>
              <w:rPr>
                <w:sz w:val="19"/>
              </w:rPr>
              <w:t>Texte libre</w:t>
            </w:r>
          </w:p>
        </w:tc>
        <w:tc>
          <w:tcPr>
            <w:tcW w:type="dxa" w:w="1606"/>
          </w:tcPr>
          <w:p>
            <w:pPr>
              <w:spacing w:before="20" w:after="20"/>
            </w:pPr>
            <w:r>
              <w:rPr>
                <w:sz w:val="19"/>
              </w:rPr>
              <w:t>Oui</w:t>
            </w:r>
          </w:p>
        </w:tc>
        <w:tc>
          <w:tcPr>
            <w:tcW w:type="dxa" w:w="1606"/>
          </w:tcPr>
          <w:p>
            <w:pPr>
              <w:spacing w:before="20" w:after="20"/>
            </w:pPr>
            <w:r>
              <w:rPr>
                <w:sz w:val="19"/>
              </w:rPr>
              <w:t>Vide</w:t>
            </w:r>
          </w:p>
        </w:tc>
        <w:tc>
          <w:tcPr>
            <w:tcW w:type="dxa" w:w="1606"/>
          </w:tcPr>
          <w:p>
            <w:pPr>
              <w:spacing w:before="20" w:after="20"/>
            </w:pPr>
            <w:r>
              <w:rPr>
                <w:sz w:val="19"/>
              </w:rPr>
              <w:t>Urgent</w:t>
            </w:r>
          </w:p>
        </w:tc>
      </w:tr>
      <w:tr>
        <w:tc>
          <w:tcPr>
            <w:tcW w:type="dxa" w:w="1606"/>
          </w:tcPr>
          <w:p>
            <w:pPr>
              <w:spacing w:before="20" w:after="20"/>
            </w:pPr>
            <w:r>
              <w:rPr>
                <w:sz w:val="19"/>
              </w:rPr>
              <w:t>2</w:t>
            </w:r>
          </w:p>
        </w:tc>
        <w:tc>
          <w:tcPr>
            <w:tcW w:type="dxa" w:w="1606"/>
          </w:tcPr>
          <w:p>
            <w:pPr>
              <w:spacing w:before="20" w:after="20"/>
            </w:pPr>
            <w:r>
              <w:rPr>
                <w:sz w:val="19"/>
              </w:rPr>
              <w:t>Code</w:t>
            </w:r>
          </w:p>
        </w:tc>
        <w:tc>
          <w:tcPr>
            <w:tcW w:type="dxa" w:w="1606"/>
          </w:tcPr>
          <w:p>
            <w:pPr>
              <w:spacing w:before="20" w:after="20"/>
            </w:pPr>
            <w:r>
              <w:rPr>
                <w:sz w:val="19"/>
              </w:rPr>
              <w:t>Texte libre</w:t>
            </w:r>
          </w:p>
        </w:tc>
        <w:tc>
          <w:tcPr>
            <w:tcW w:type="dxa" w:w="1606"/>
          </w:tcPr>
          <w:p>
            <w:pPr>
              <w:spacing w:before="20" w:after="20"/>
            </w:pPr>
            <w:r>
              <w:rPr>
                <w:sz w:val="19"/>
              </w:rPr>
              <w:t>Oui</w:t>
            </w:r>
          </w:p>
        </w:tc>
        <w:tc>
          <w:tcPr>
            <w:tcW w:type="dxa" w:w="1606"/>
          </w:tcPr>
          <w:p>
            <w:pPr>
              <w:spacing w:before="20" w:after="20"/>
            </w:pPr>
            <w:r>
              <w:rPr>
                <w:sz w:val="19"/>
              </w:rPr>
              <w:t>Vide</w:t>
            </w:r>
          </w:p>
        </w:tc>
        <w:tc>
          <w:tcPr>
            <w:tcW w:type="dxa" w:w="1606"/>
          </w:tcPr>
          <w:p>
            <w:pPr>
              <w:spacing w:before="20" w:after="20"/>
            </w:pPr>
            <w:r>
              <w:rPr>
                <w:sz w:val="19"/>
              </w:rPr>
              <w:t>TAG-URG</w:t>
            </w:r>
          </w:p>
        </w:tc>
      </w:tr>
      <w:tr>
        <w:tc>
          <w:tcPr>
            <w:tcW w:type="dxa" w:w="1606"/>
          </w:tcPr>
          <w:p>
            <w:pPr>
              <w:spacing w:before="20" w:after="20"/>
            </w:pPr>
            <w:r>
              <w:rPr>
                <w:sz w:val="19"/>
              </w:rPr>
              <w:t>3</w:t>
            </w:r>
          </w:p>
        </w:tc>
        <w:tc>
          <w:tcPr>
            <w:tcW w:type="dxa" w:w="1606"/>
          </w:tcPr>
          <w:p>
            <w:pPr>
              <w:spacing w:before="20" w:after="20"/>
            </w:pPr>
            <w:r>
              <w:rPr>
                <w:sz w:val="19"/>
              </w:rPr>
              <w:t>Couleur</w:t>
            </w:r>
          </w:p>
        </w:tc>
        <w:tc>
          <w:tcPr>
            <w:tcW w:type="dxa" w:w="1606"/>
          </w:tcPr>
          <w:p>
            <w:pPr>
              <w:spacing w:before="20" w:after="20"/>
            </w:pPr>
            <w:r>
              <w:rPr>
                <w:sz w:val="19"/>
              </w:rPr>
              <w:t>Code hexadécimal libre, doublé d'un sélecteur de teinte</w:t>
            </w:r>
          </w:p>
        </w:tc>
        <w:tc>
          <w:tcPr>
            <w:tcW w:type="dxa" w:w="1606"/>
          </w:tcPr>
          <w:p>
            <w:pPr>
              <w:spacing w:before="20" w:after="20"/>
            </w:pPr>
            <w:r>
              <w:rPr>
                <w:sz w:val="19"/>
              </w:rPr>
              <w:t>Oui</w:t>
            </w:r>
          </w:p>
        </w:tc>
        <w:tc>
          <w:tcPr>
            <w:tcW w:type="dxa" w:w="1606"/>
          </w:tcPr>
          <w:p>
            <w:pPr>
              <w:spacing w:before="20" w:after="20"/>
            </w:pPr>
            <w:r>
              <w:rPr>
                <w:sz w:val="19"/>
              </w:rPr>
              <w:t>Une teinte de la marque est pré-remplie</w:t>
            </w:r>
          </w:p>
        </w:tc>
        <w:tc>
          <w:tcPr>
            <w:tcW w:type="dxa" w:w="1606"/>
          </w:tcPr>
          <w:p>
            <w:pPr>
              <w:spacing w:before="20" w:after="20"/>
            </w:pPr>
            <w:r>
              <w:rPr>
                <w:sz w:val="19"/>
              </w:rPr>
              <w:t>#c0392b</w:t>
            </w:r>
          </w:p>
        </w:tc>
      </w:tr>
    </w:tbl>
    <w:p>
      <w:pPr>
        <w:spacing w:after="40"/>
      </w:pPr>
    </w:p>
    <w:p>
      <w:pPr>
        <w:pStyle w:val="Heading2"/>
      </w:pPr>
      <w:r>
        <w:t>5.1 Les champs qui demandent une explication</w:t>
      </w:r>
    </w:p>
    <w:p>
      <w:pPr>
        <w:pStyle w:val="Heading3"/>
      </w:pPr>
      <w:r>
        <w:t>Étiquette — le libellé, saisi en premier</w:t>
      </w:r>
    </w:p>
    <w:p>
      <w:pPr/>
      <w:r>
        <w:t>L'ordre n'est pas indifférent. On crée une étiquette parce qu'on a un mot en tête — « Urgent » — pas parce qu'on a un identifiant. Demander le code d'abord obligerait à inventer un code pour une notion qui n'a pas encore été nommée, ce qui est un exercice artificiel. Le formulaire suit donc l'ordre de la pensée, et non celui du tableau.</w:t>
      </w:r>
    </w:p>
    <w:p>
      <w:pPr/>
      <w:r>
        <w:t>Le libellé doit être court : il s'affiche sur une pastille, dans une colonne de tableau et dans un sélecteur. Un libellé de plusieurs mots produit une pastille qui déborde et devient illisible. Un mot, deux au maximum.</w:t>
      </w:r>
    </w:p>
    <w:p>
      <w:pPr>
        <w:pStyle w:val="Heading3"/>
      </w:pPr>
      <w:r>
        <w:t>Code</w:t>
      </w:r>
    </w:p>
    <w:p>
      <w:pPr/>
      <w:r>
        <w:t>Le code doit être unique dans toute l'application, sans distinction de casse. Un code déjà pris provoque un refus au moment de l'enregistrement, avec un message qui reprend la valeur fautive. Le code n'est jamais montré à l'opérateur qui dépose : celui-ci ne voit que le libellé et la couleur.</w:t>
      </w:r>
    </w:p>
    <w:p>
      <w:pPr>
        <w:pStyle w:val="Heading3"/>
      </w:pPr>
      <w:r>
        <w:t>Couleur</w:t>
      </w:r>
    </w:p>
    <w:p>
      <w:pPr/>
      <w:r>
        <w:t>La couleur est un champ libre, et non une liste fermée de teintes imposées. Ce choix permet d'aligner les étiquettes sur un code couleur d'entreprise déjà en vigueur — le rouge de l'urgence, le vert de la validation — plutôt que d'imposer une palette qui entrerait en conflit avec les habitudes.</w:t>
      </w:r>
    </w:p>
    <w:p>
      <w:pPr/>
      <w:r>
        <w:t>Le champ est pré-rempli avec une teinte de la marque. Ce n'est pas une commodité : un enregistrement fait sans choix conscient doit produire une étiquette lisible, pas une étiquette invisible. Une couleur par défaut vide ou blanche produirait des pastilles indiscernables du fond du tableau.</w:t>
      </w:r>
    </w:p>
    <w:p>
      <w:pPr/>
      <w:r>
        <w:t>Deux commandes agissent sur la même valeur : un sélecteur de teinte, qui ouvre la palette du système d'exploitation, et un champ de saisie du code hexadécimal, qui permet de coller une valeur exacte issue d'une charte graphique. La pastille d'aperçu reflète immédiatement le résultat.</w:t>
      </w:r>
    </w:p>
    <w:p>
      <w:pPr/>
      <w:r>
        <w:t>Aucun champ « valeur » n'est proposé et il ne doit pas en exister : une étiquette ne porte rien. Si un besoin de valeur apparaît — un montant, une date, un numéro — c'est qu'il s'agit d'un index, et l'écran concerné est celui des index.</w:t>
      </w:r>
    </w:p>
    <w:p>
      <w:pPr>
        <w:pStyle w:val="Heading1"/>
      </w:pPr>
      <w:r>
        <w:t>6. Les règles de gestion</w:t>
      </w:r>
    </w:p>
    <w:p>
      <w:pPr>
        <w:pStyle w:val="ListNumber"/>
        <w:numPr>
          <w:ilvl w:val="0"/>
          <w:numId w:val="16"/>
        </w:numPr>
      </w:pPr>
      <w:r>
        <w:t>Le libellé de l'étiquette est obligatoire. Pourquoi : C'est le seul élément que l'opérateur lit dans le sélecteur du dépôt et sur les documents. Une étiquette sans libellé serait une pastille colorée sans signification.</w:t>
      </w:r>
    </w:p>
    <w:p>
      <w:pPr>
        <w:pStyle w:val="ListNumber"/>
        <w:numPr>
          <w:ilvl w:val="0"/>
          <w:numId w:val="16"/>
        </w:numPr>
      </w:pPr>
      <w:r>
        <w:t>Le code est obligatoire et unique dans toute l'application, sans distinction de casse. Pourquoi : Le code est le point d'ancrage stable de l'étiquette lors des reprises de données et des échanges entre environnements ; un doublon rendrait cet ancrage inutilisable.</w:t>
      </w:r>
    </w:p>
    <w:p>
      <w:pPr>
        <w:pStyle w:val="ListNumber"/>
        <w:numPr>
          <w:ilvl w:val="0"/>
          <w:numId w:val="16"/>
        </w:numPr>
      </w:pPr>
      <w:r>
        <w:t>La couleur est obligatoire, et elle est pré-remplie. Pourquoi : Une étiquette sans couleur serait indiscernable du fond du tableau, ce qui la priverait de sa principale utilité : le repérage visuel immédiat. Le pré-remplissage garantit qu'un enregistrement fait sans choix conscient produise malgré tout une étiquette lisible.</w:t>
      </w:r>
    </w:p>
    <w:p>
      <w:pPr>
        <w:pStyle w:val="ListNumber"/>
        <w:numPr>
          <w:ilvl w:val="0"/>
          <w:numId w:val="16"/>
        </w:numPr>
      </w:pPr>
      <w:r>
        <w:t>La couleur est un champ libre, et non une liste fermée de teintes imposées. Pourquoi : Les entreprises disposent le plus souvent d'un code couleur préexistant. Imposer une palette obligerait à trahir ce code, ou à renoncer à la couleur comme signal.</w:t>
      </w:r>
    </w:p>
    <w:p>
      <w:pPr>
        <w:pStyle w:val="ListNumber"/>
        <w:numPr>
          <w:ilvl w:val="0"/>
          <w:numId w:val="16"/>
        </w:numPr>
      </w:pPr>
      <w:r>
        <w:t>Une étiquette ne porte aucune valeur. Pourquoi : C'est ce qui la distingue d'un index et ce qui fait son utilité : elle se pose d'un clic, sans saisie, ce qui la rend compatible avec un usage quotidien et spontané. Ajouter un champ de valeur en ferait un index mal conçu.</w:t>
      </w:r>
    </w:p>
    <w:p>
      <w:pPr>
        <w:pStyle w:val="ListNumber"/>
        <w:numPr>
          <w:ilvl w:val="0"/>
          <w:numId w:val="16"/>
        </w:numPr>
      </w:pPr>
      <w:r>
        <w:t>Le libellé se saisit avant le code. Pourquoi : On crée une étiquette parce qu'on a un mot en tête, pas un identifiant. Demander le code d'abord obligerait à inventer un code pour une notion pas encore nommée.</w:t>
      </w:r>
    </w:p>
    <w:p>
      <w:pPr>
        <w:pStyle w:val="ListNumber"/>
        <w:numPr>
          <w:ilvl w:val="0"/>
          <w:numId w:val="16"/>
        </w:numPr>
      </w:pPr>
      <w:r>
        <w:t>La pastille de couleur et le code hexadécimal affichés dans la liste sont dessinés à partir de la même valeur enregistrée. Pourquoi : Deux sources entretenues séparément finiraient par diverger, et l'utilisateur ne saurait plus laquelle croire : la couleur qu'il voit ou le code qu'il lit.</w:t>
      </w:r>
    </w:p>
    <w:p>
      <w:pPr>
        <w:pStyle w:val="ListNumber"/>
        <w:numPr>
          <w:ilvl w:val="0"/>
          <w:numId w:val="16"/>
        </w:numPr>
      </w:pPr>
      <w:r>
        <w:t>Une étiquette est posée par l'opérateur au moment du dépôt, jamais par le paramétrage. Pourquoi : L'étiquette est un jugement porté sur un document précis. Le paramétrage ne peut pas savoir à l'avance quel document sera urgent ou confidentiel.</w:t>
      </w:r>
    </w:p>
    <w:p>
      <w:pPr>
        <w:pStyle w:val="ListNumber"/>
        <w:numPr>
          <w:ilvl w:val="0"/>
          <w:numId w:val="16"/>
        </w:numPr>
      </w:pPr>
      <w:r>
        <w:t>Un document peut porter autant d'étiquettes que voulu, y compris aucune. Pourquoi : Le champ est explicitement facultatif au dépôt, et son intitulé le dit. Rendre une étiquette obligatoire reviendrait à en faire un index déguisé.</w:t>
      </w:r>
    </w:p>
    <w:p>
      <w:pPr>
        <w:pStyle w:val="ListNumber"/>
        <w:numPr>
          <w:ilvl w:val="0"/>
          <w:numId w:val="16"/>
        </w:numPr>
      </w:pPr>
      <w:r>
        <w:t>Le champ des étiquettes n'apparaît pas au dépôt lorsque le référentiel est vide. Pourquoi : Un sélecteur vide laisserait croire à une panne ou à un défaut de chargement. L'absence de champ dit clairement qu'il n'y a rien à proposer.</w:t>
      </w:r>
    </w:p>
    <w:p>
      <w:pPr>
        <w:pStyle w:val="ListNumber"/>
        <w:numPr>
          <w:ilvl w:val="0"/>
          <w:numId w:val="16"/>
        </w:numPr>
      </w:pPr>
      <w:r>
        <w:t>Supprimer une étiquette ne supprime aucun document. Pourquoi : L'étiquette est une marque posée sur le document, pas une partie du document. La supprimer retire la marque du référentiel, elle ne touche pas à la pièce.</w:t>
      </w:r>
    </w:p>
    <w:p>
      <w:pPr>
        <w:pStyle w:val="ListNumber"/>
        <w:numPr>
          <w:ilvl w:val="0"/>
          <w:numId w:val="16"/>
        </w:numPr>
      </w:pPr>
      <w:r>
        <w:t>Restaurer une étiquette est immédiat et ne demande aucune confirmation, alors qu'une restauration en lot en demande une. Pourquoi : Restaurer un élément est un geste sans risque : le confirmer alourdirait l'écran sans rien protéger. Une action groupée, en revanche, porte sur un nombre que l'utilisateur doit pouvoir vérifier avant de la lancer.</w:t>
      </w:r>
    </w:p>
    <w:p>
      <w:pPr>
        <w:pStyle w:val="ListNumber"/>
        <w:numPr>
          <w:ilvl w:val="0"/>
          <w:numId w:val="16"/>
        </w:numPr>
      </w:pPr>
      <w:r>
        <w:t>L'onglet des éléments non supprimés s'intitule « Actifs », au masculin. Pourquoi : La cohérence avec les sept autres écrans de liste prime sur l'accord grammatical : l'utilisateur doit reconnaître le même repère partout, quel que soit le genre de l'objet manipulé.</w:t>
      </w:r>
    </w:p>
    <w:p>
      <w:pPr>
        <w:pStyle w:val="Heading1"/>
      </w:pPr>
      <w:r>
        <w:t>7. Les contrôles et les refus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Message exact affiché</w:t>
            </w:r>
          </w:p>
        </w:tc>
        <w:tc>
          <w:tcPr>
            <w:tcW w:type="dxa" w:w="3213"/>
          </w:tcPr>
          <w:p>
            <w:pPr>
              <w:spacing w:before="20" w:after="20"/>
            </w:pPr>
            <w:r>
              <w:rPr>
                <w:b/>
                <w:sz w:val="19"/>
              </w:rPr>
              <w:t>Conséquence pour l'utilisateur</w:t>
            </w:r>
          </w:p>
        </w:tc>
      </w:tr>
      <w:tr>
        <w:tc>
          <w:tcPr>
            <w:tcW w:type="dxa" w:w="3213"/>
          </w:tcPr>
          <w:p>
            <w:pPr>
              <w:spacing w:before="20" w:after="20"/>
            </w:pPr>
            <w:r>
              <w:rPr>
                <w:sz w:val="19"/>
              </w:rPr>
              <w:t>Le libellé est laissé vide et l'utilisateur valide.</w:t>
            </w:r>
          </w:p>
        </w:tc>
        <w:tc>
          <w:tcPr>
            <w:tcW w:type="dxa" w:w="3213"/>
          </w:tcPr>
          <w:p>
            <w:pPr>
              <w:spacing w:before="20" w:after="20"/>
            </w:pPr>
            <w:r>
              <w:rPr>
                <w:sz w:val="19"/>
              </w:rPr>
              <w:t>Le libellé est obligatoire</w:t>
            </w:r>
          </w:p>
        </w:tc>
        <w:tc>
          <w:tcPr>
            <w:tcW w:type="dxa" w:w="3213"/>
          </w:tcPr>
          <w:p>
            <w:pPr>
              <w:spacing w:before="20" w:after="20"/>
            </w:pPr>
            <w:r>
              <w:rPr>
                <w:sz w:val="19"/>
              </w:rPr>
              <w:t>Le message s'affiche sous le champ « Étiquette ». La fenêtre reste ouverte, rien n'est enregistré, la saisie est conservée.</w:t>
            </w:r>
          </w:p>
        </w:tc>
      </w:tr>
      <w:tr>
        <w:tc>
          <w:tcPr>
            <w:tcW w:type="dxa" w:w="3213"/>
          </w:tcPr>
          <w:p>
            <w:pPr>
              <w:spacing w:before="20" w:after="20"/>
            </w:pPr>
            <w:r>
              <w:rPr>
                <w:sz w:val="19"/>
              </w:rPr>
              <w:t>Le code est laissé vide et l'utilisateur valide.</w:t>
            </w:r>
          </w:p>
        </w:tc>
        <w:tc>
          <w:tcPr>
            <w:tcW w:type="dxa" w:w="3213"/>
          </w:tcPr>
          <w:p>
            <w:pPr>
              <w:spacing w:before="20" w:after="20"/>
            </w:pPr>
            <w:r>
              <w:rPr>
                <w:sz w:val="19"/>
              </w:rPr>
              <w:t>Le code est obligatoire</w:t>
            </w:r>
          </w:p>
        </w:tc>
        <w:tc>
          <w:tcPr>
            <w:tcW w:type="dxa" w:w="3213"/>
          </w:tcPr>
          <w:p>
            <w:pPr>
              <w:spacing w:before="20" w:after="20"/>
            </w:pPr>
            <w:r>
              <w:rPr>
                <w:sz w:val="19"/>
              </w:rPr>
              <w:t>Même comportement : refus, fenêtre conservée, saisie intacte.</w:t>
            </w:r>
          </w:p>
        </w:tc>
      </w:tr>
      <w:tr>
        <w:tc>
          <w:tcPr>
            <w:tcW w:type="dxa" w:w="3213"/>
          </w:tcPr>
          <w:p>
            <w:pPr>
              <w:spacing w:before="20" w:after="20"/>
            </w:pPr>
            <w:r>
              <w:rPr>
                <w:sz w:val="19"/>
              </w:rPr>
              <w:t>La couleur est vide.</w:t>
            </w:r>
          </w:p>
        </w:tc>
        <w:tc>
          <w:tcPr>
            <w:tcW w:type="dxa" w:w="3213"/>
          </w:tcPr>
          <w:p>
            <w:pPr>
              <w:spacing w:before="20" w:after="20"/>
            </w:pPr>
            <w:r>
              <w:rPr>
                <w:sz w:val="19"/>
              </w:rPr>
              <w:t>La couleur est obligatoire</w:t>
            </w:r>
          </w:p>
        </w:tc>
        <w:tc>
          <w:tcPr>
            <w:tcW w:type="dxa" w:w="3213"/>
          </w:tcPr>
          <w:p>
            <w:pPr>
              <w:spacing w:before="20" w:after="20"/>
            </w:pPr>
            <w:r>
              <w:rPr>
                <w:sz w:val="19"/>
              </w:rPr>
              <w:t>Refus opposé à l'enregistrement. Situation rare : le champ est pré-rempli et le sélecteur de teinte natif ne permet pas de le vider.</w:t>
            </w:r>
          </w:p>
        </w:tc>
      </w:tr>
      <w:tr>
        <w:tc>
          <w:tcPr>
            <w:tcW w:type="dxa" w:w="3213"/>
          </w:tcPr>
          <w:p>
            <w:pPr>
              <w:spacing w:before="20" w:after="20"/>
            </w:pPr>
            <w:r>
              <w:rPr>
                <w:sz w:val="19"/>
              </w:rPr>
              <w:t>Le code saisi est déjà porté par une autre étiquette.</w:t>
            </w:r>
          </w:p>
        </w:tc>
        <w:tc>
          <w:tcPr>
            <w:tcW w:type="dxa" w:w="3213"/>
          </w:tcPr>
          <w:p>
            <w:pPr>
              <w:spacing w:before="20" w:after="20"/>
            </w:pPr>
            <w:r>
              <w:rPr>
                <w:sz w:val="19"/>
              </w:rPr>
              <w:t>Le code « TAG-URG » est déjà utilisé</w:t>
            </w:r>
          </w:p>
        </w:tc>
        <w:tc>
          <w:tcPr>
            <w:tcW w:type="dxa" w:w="3213"/>
          </w:tcPr>
          <w:p>
            <w:pPr>
              <w:spacing w:before="20" w:after="20"/>
            </w:pPr>
            <w:r>
              <w:rPr>
                <w:sz w:val="19"/>
              </w:rPr>
              <w:t>Le refus est signalé dans un bandeau au bas du formulaire. Le message reprend le code fautif.</w:t>
            </w:r>
          </w:p>
        </w:tc>
      </w:tr>
      <w:tr>
        <w:tc>
          <w:tcPr>
            <w:tcW w:type="dxa" w:w="3213"/>
          </w:tcPr>
          <w:p>
            <w:pPr>
              <w:spacing w:before="20" w:after="20"/>
            </w:pPr>
            <w:r>
              <w:rPr>
                <w:sz w:val="19"/>
              </w:rPr>
              <w:t>L'étiquette que l'on tente de modifier n'existe plus.</w:t>
            </w:r>
          </w:p>
        </w:tc>
        <w:tc>
          <w:tcPr>
            <w:tcW w:type="dxa" w:w="3213"/>
          </w:tcPr>
          <w:p>
            <w:pPr>
              <w:spacing w:before="20" w:after="20"/>
            </w:pPr>
            <w:r>
              <w:rPr>
                <w:sz w:val="19"/>
              </w:rPr>
              <w:t>Étiquette introuvable : 7</w:t>
            </w:r>
          </w:p>
        </w:tc>
        <w:tc>
          <w:tcPr>
            <w:tcW w:type="dxa" w:w="3213"/>
          </w:tcPr>
          <w:p>
            <w:pPr>
              <w:spacing w:before="20" w:after="20"/>
            </w:pPr>
            <w:r>
              <w:rPr>
                <w:sz w:val="19"/>
              </w:rPr>
              <w:t>Refus opposé à l'enregistrement, provoqué par une suppression faite en parallèle.</w:t>
            </w:r>
          </w:p>
        </w:tc>
      </w:tr>
      <w:tr>
        <w:tc>
          <w:tcPr>
            <w:tcW w:type="dxa" w:w="3213"/>
          </w:tcPr>
          <w:p>
            <w:pPr>
              <w:spacing w:before="20" w:after="20"/>
            </w:pPr>
            <w:r>
              <w:rPr>
                <w:sz w:val="19"/>
              </w:rPr>
              <w:t>L'enregistrement échoue pour une raison non interprétée.</w:t>
            </w:r>
          </w:p>
        </w:tc>
        <w:tc>
          <w:tcPr>
            <w:tcW w:type="dxa" w:w="3213"/>
          </w:tcPr>
          <w:p>
            <w:pPr>
              <w:spacing w:before="20" w:after="20"/>
            </w:pPr>
            <w:r>
              <w:rPr>
                <w:sz w:val="19"/>
              </w:rPr>
              <w:t>Une erreur est survenue.</w:t>
            </w:r>
          </w:p>
        </w:tc>
        <w:tc>
          <w:tcPr>
            <w:tcW w:type="dxa" w:w="3213"/>
          </w:tcPr>
          <w:p>
            <w:pPr>
              <w:spacing w:before="20" w:after="20"/>
            </w:pPr>
            <w:r>
              <w:rPr>
                <w:sz w:val="19"/>
              </w:rPr>
              <w:t>Message générique volontaire ; aucun détail technique n'est présenté.</w:t>
            </w:r>
          </w:p>
        </w:tc>
      </w:tr>
      <w:tr>
        <w:tc>
          <w:tcPr>
            <w:tcW w:type="dxa" w:w="3213"/>
          </w:tcPr>
          <w:p>
            <w:pPr>
              <w:spacing w:before="20" w:after="20"/>
            </w:pPr>
            <w:r>
              <w:rPr>
                <w:sz w:val="19"/>
              </w:rPr>
              <w:t>La liste ne peut pas être chargée.</w:t>
            </w:r>
          </w:p>
        </w:tc>
        <w:tc>
          <w:tcPr>
            <w:tcW w:type="dxa" w:w="3213"/>
          </w:tcPr>
          <w:p>
            <w:pPr>
              <w:spacing w:before="20" w:after="20"/>
            </w:pPr>
            <w:r>
              <w:rPr>
                <w:sz w:val="19"/>
              </w:rPr>
              <w:t>Chargement impossible.</w:t>
            </w:r>
          </w:p>
        </w:tc>
        <w:tc>
          <w:tcPr>
            <w:tcW w:type="dxa" w:w="3213"/>
          </w:tcPr>
          <w:p>
            <w:pPr>
              <w:spacing w:before="20" w:after="20"/>
            </w:pPr>
            <w:r>
              <w:rPr>
                <w:sz w:val="19"/>
              </w:rPr>
              <w:t>Le tableau reste vide ; le bouton Rafraîchir permet de retenter.</w:t>
            </w:r>
          </w:p>
        </w:tc>
      </w:tr>
      <w:tr>
        <w:tc>
          <w:tcPr>
            <w:tcW w:type="dxa" w:w="3213"/>
          </w:tcPr>
          <w:p>
            <w:pPr>
              <w:spacing w:before="20" w:after="20"/>
            </w:pPr>
            <w:r>
              <w:rPr>
                <w:sz w:val="19"/>
              </w:rPr>
              <w:t>La suppression échoue.</w:t>
            </w:r>
          </w:p>
        </w:tc>
        <w:tc>
          <w:tcPr>
            <w:tcW w:type="dxa" w:w="3213"/>
          </w:tcPr>
          <w:p>
            <w:pPr>
              <w:spacing w:before="20" w:after="20"/>
            </w:pPr>
            <w:r>
              <w:rPr>
                <w:sz w:val="19"/>
              </w:rPr>
              <w:t>Suppression impossible.</w:t>
            </w:r>
          </w:p>
        </w:tc>
        <w:tc>
          <w:tcPr>
            <w:tcW w:type="dxa" w:w="3213"/>
          </w:tcPr>
          <w:p>
            <w:pPr>
              <w:spacing w:before="20" w:after="20"/>
            </w:pPr>
            <w:r>
              <w:rPr>
                <w:sz w:val="19"/>
              </w:rPr>
              <w:t>L'étiquette reste dans la vue Actifs.</w:t>
            </w:r>
          </w:p>
        </w:tc>
      </w:tr>
      <w:tr>
        <w:tc>
          <w:tcPr>
            <w:tcW w:type="dxa" w:w="3213"/>
          </w:tcPr>
          <w:p>
            <w:pPr>
              <w:spacing w:before="20" w:after="20"/>
            </w:pPr>
            <w:r>
              <w:rPr>
                <w:sz w:val="19"/>
              </w:rPr>
              <w:t>La restauration échoue.</w:t>
            </w:r>
          </w:p>
        </w:tc>
        <w:tc>
          <w:tcPr>
            <w:tcW w:type="dxa" w:w="3213"/>
          </w:tcPr>
          <w:p>
            <w:pPr>
              <w:spacing w:before="20" w:after="20"/>
            </w:pPr>
            <w:r>
              <w:rPr>
                <w:sz w:val="19"/>
              </w:rPr>
              <w:t>Restauration impossible.</w:t>
            </w:r>
          </w:p>
        </w:tc>
        <w:tc>
          <w:tcPr>
            <w:tcW w:type="dxa" w:w="3213"/>
          </w:tcPr>
          <w:p>
            <w:pPr>
              <w:spacing w:before="20" w:after="20"/>
            </w:pPr>
            <w:r>
              <w:rPr>
                <w:sz w:val="19"/>
              </w:rPr>
              <w:t>L'étiquette reste dans l'archive.</w:t>
            </w:r>
          </w:p>
        </w:tc>
      </w:tr>
      <w:tr>
        <w:tc>
          <w:tcPr>
            <w:tcW w:type="dxa" w:w="3213"/>
          </w:tcPr>
          <w:p>
            <w:pPr>
              <w:spacing w:before="20" w:after="20"/>
            </w:pPr>
            <w:r>
              <w:rPr>
                <w:sz w:val="19"/>
              </w:rPr>
              <w:t>Une action groupée échoue.</w:t>
            </w:r>
          </w:p>
        </w:tc>
        <w:tc>
          <w:tcPr>
            <w:tcW w:type="dxa" w:w="3213"/>
          </w:tcPr>
          <w:p>
            <w:pPr>
              <w:spacing w:before="20" w:after="20"/>
            </w:pPr>
            <w:r>
              <w:rPr>
                <w:sz w:val="19"/>
              </w:rPr>
              <w:t>Opération impossible.</w:t>
            </w:r>
          </w:p>
        </w:tc>
        <w:tc>
          <w:tcPr>
            <w:tcW w:type="dxa" w:w="3213"/>
          </w:tcPr>
          <w:p>
            <w:pPr>
              <w:spacing w:before="20" w:after="20"/>
            </w:pPr>
            <w:r>
              <w:rPr>
                <w:sz w:val="19"/>
              </w:rPr>
              <w:t>Aucune ligne n'est présumée traitée ; il convient de recharger la liste.</w:t>
            </w:r>
          </w:p>
        </w:tc>
      </w:tr>
    </w:tbl>
    <w:p>
      <w:pPr>
        <w:spacing w:after="40"/>
      </w:pPr>
    </w:p>
    <w:p>
      <w:pPr>
        <w:pStyle w:val="Heading2"/>
      </w:pPr>
      <w:r>
        <w:t>7.1 Les demandes de confirmation</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Geste</w:t>
            </w:r>
          </w:p>
        </w:tc>
        <w:tc>
          <w:tcPr>
            <w:tcW w:type="dxa" w:w="3213"/>
          </w:tcPr>
          <w:p>
            <w:pPr>
              <w:spacing w:before="20" w:after="20"/>
            </w:pPr>
            <w:r>
              <w:rPr>
                <w:b/>
                <w:sz w:val="19"/>
              </w:rPr>
              <w:t>Titre de la fenêtre</w:t>
            </w:r>
          </w:p>
        </w:tc>
        <w:tc>
          <w:tcPr>
            <w:tcW w:type="dxa" w:w="3213"/>
          </w:tcPr>
          <w:p>
            <w:pPr>
              <w:spacing w:before="20" w:after="20"/>
            </w:pPr>
            <w:r>
              <w:rPr>
                <w:b/>
                <w:sz w:val="19"/>
              </w:rPr>
              <w:t>Message exact</w:t>
            </w:r>
          </w:p>
        </w:tc>
      </w:tr>
      <w:tr>
        <w:tc>
          <w:tcPr>
            <w:tcW w:type="dxa" w:w="3213"/>
          </w:tcPr>
          <w:p>
            <w:pPr>
              <w:spacing w:before="20" w:after="20"/>
            </w:pPr>
            <w:r>
              <w:rPr>
                <w:sz w:val="19"/>
              </w:rPr>
              <w:t>Supprimer une étiquette</w:t>
            </w:r>
          </w:p>
        </w:tc>
        <w:tc>
          <w:tcPr>
            <w:tcW w:type="dxa" w:w="3213"/>
          </w:tcPr>
          <w:p>
            <w:pPr>
              <w:spacing w:before="20" w:after="20"/>
            </w:pPr>
            <w:r>
              <w:rPr>
                <w:sz w:val="19"/>
              </w:rPr>
              <w:t>Supprimer cette étiquette</w:t>
            </w:r>
          </w:p>
        </w:tc>
        <w:tc>
          <w:tcPr>
            <w:tcW w:type="dxa" w:w="3213"/>
          </w:tcPr>
          <w:p>
            <w:pPr>
              <w:spacing w:before="20" w:after="20"/>
            </w:pPr>
            <w:r>
              <w:rPr>
                <w:sz w:val="19"/>
              </w:rPr>
              <w:t>« Urgent » sera déplacée vers la corbeille.</w:t>
            </w:r>
          </w:p>
        </w:tc>
      </w:tr>
      <w:tr>
        <w:tc>
          <w:tcPr>
            <w:tcW w:type="dxa" w:w="3213"/>
          </w:tcPr>
          <w:p>
            <w:pPr>
              <w:spacing w:before="20" w:after="20"/>
            </w:pPr>
            <w:r>
              <w:rPr>
                <w:sz w:val="19"/>
              </w:rPr>
              <w:t>Supprimer une sélection</w:t>
            </w:r>
          </w:p>
        </w:tc>
        <w:tc>
          <w:tcPr>
            <w:tcW w:type="dxa" w:w="3213"/>
          </w:tcPr>
          <w:p>
            <w:pPr>
              <w:spacing w:before="20" w:after="20"/>
            </w:pPr>
            <w:r>
              <w:rPr>
                <w:sz w:val="19"/>
              </w:rPr>
              <w:t>Supprimer la sélection</w:t>
            </w:r>
          </w:p>
        </w:tc>
        <w:tc>
          <w:tcPr>
            <w:tcW w:type="dxa" w:w="3213"/>
          </w:tcPr>
          <w:p>
            <w:pPr>
              <w:spacing w:before="20" w:after="20"/>
            </w:pPr>
            <w:r>
              <w:rPr>
                <w:sz w:val="19"/>
              </w:rPr>
              <w:t>Voulez-vous supprimer 2 étiquette(s) ?</w:t>
            </w:r>
          </w:p>
        </w:tc>
      </w:tr>
      <w:tr>
        <w:tc>
          <w:tcPr>
            <w:tcW w:type="dxa" w:w="3213"/>
          </w:tcPr>
          <w:p>
            <w:pPr>
              <w:spacing w:before="20" w:after="20"/>
            </w:pPr>
            <w:r>
              <w:rPr>
                <w:sz w:val="19"/>
              </w:rPr>
              <w:t>Restaurer une sélection</w:t>
            </w:r>
          </w:p>
        </w:tc>
        <w:tc>
          <w:tcPr>
            <w:tcW w:type="dxa" w:w="3213"/>
          </w:tcPr>
          <w:p>
            <w:pPr>
              <w:spacing w:before="20" w:after="20"/>
            </w:pPr>
            <w:r>
              <w:rPr>
                <w:sz w:val="19"/>
              </w:rPr>
              <w:t>Restaurer la sélection</w:t>
            </w:r>
          </w:p>
        </w:tc>
        <w:tc>
          <w:tcPr>
            <w:tcW w:type="dxa" w:w="3213"/>
          </w:tcPr>
          <w:p>
            <w:pPr>
              <w:spacing w:before="20" w:after="20"/>
            </w:pPr>
            <w:r>
              <w:rPr>
                <w:sz w:val="19"/>
              </w:rPr>
              <w:t>Voulez-vous restaurer 2 étiquette(s) ?</w:t>
            </w:r>
          </w:p>
        </w:tc>
      </w:tr>
      <w:tr>
        <w:tc>
          <w:tcPr>
            <w:tcW w:type="dxa" w:w="3213"/>
          </w:tcPr>
          <w:p>
            <w:pPr>
              <w:spacing w:before="20" w:after="20"/>
            </w:pPr>
            <w:r>
              <w:rPr>
                <w:sz w:val="19"/>
              </w:rPr>
              <w:t>Restaurer une étiquette</w:t>
            </w:r>
          </w:p>
        </w:tc>
        <w:tc>
          <w:tcPr>
            <w:tcW w:type="dxa" w:w="3213"/>
          </w:tcPr>
          <w:p>
            <w:pPr>
              <w:spacing w:before="20" w:after="20"/>
            </w:pPr>
            <w:r>
              <w:rPr>
                <w:sz w:val="19"/>
              </w:rPr>
              <w:t>— aucune confirmation —</w:t>
            </w:r>
          </w:p>
        </w:tc>
        <w:tc>
          <w:tcPr>
            <w:tcW w:type="dxa" w:w="3213"/>
          </w:tcPr>
          <w:p>
            <w:pPr>
              <w:spacing w:before="20" w:after="20"/>
            </w:pPr>
            <w:r>
              <w:rPr>
                <w:sz w:val="19"/>
              </w:rPr>
              <w:t>L'action est immédiate.</w:t>
            </w:r>
          </w:p>
        </w:tc>
      </w:tr>
    </w:tbl>
    <w:p>
      <w:pPr>
        <w:spacing w:after="40"/>
      </w:pPr>
    </w:p>
    <w:p>
      <w:pPr/>
      <w:r>
        <w:t>Le message de suppression à l'unité s'accorde au féminin — « sera déplacée » — contrairement à celui des autres écrans du lot, qui emploient le masculin.</w:t>
      </w:r>
    </w:p>
    <w:p>
      <w:pPr>
        <w:pStyle w:val="Heading2"/>
      </w:pPr>
      <w:r>
        <w:t>7.2 Les messages de réussite</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Action</w:t>
            </w:r>
          </w:p>
        </w:tc>
        <w:tc>
          <w:tcPr>
            <w:tcW w:type="dxa" w:w="4819"/>
          </w:tcPr>
          <w:p>
            <w:pPr>
              <w:spacing w:before="20" w:after="20"/>
            </w:pPr>
            <w:r>
              <w:rPr>
                <w:b/>
                <w:sz w:val="19"/>
              </w:rPr>
              <w:t>Message exact</w:t>
            </w:r>
          </w:p>
        </w:tc>
      </w:tr>
      <w:tr>
        <w:tc>
          <w:tcPr>
            <w:tcW w:type="dxa" w:w="4819"/>
          </w:tcPr>
          <w:p>
            <w:pPr>
              <w:spacing w:before="20" w:after="20"/>
            </w:pPr>
            <w:r>
              <w:rPr>
                <w:sz w:val="19"/>
              </w:rPr>
              <w:t>Création</w:t>
            </w:r>
          </w:p>
        </w:tc>
        <w:tc>
          <w:tcPr>
            <w:tcW w:type="dxa" w:w="4819"/>
          </w:tcPr>
          <w:p>
            <w:pPr>
              <w:spacing w:before="20" w:after="20"/>
            </w:pPr>
            <w:r>
              <w:rPr>
                <w:sz w:val="19"/>
              </w:rPr>
              <w:t>Étiquette créée.</w:t>
            </w:r>
          </w:p>
        </w:tc>
      </w:tr>
      <w:tr>
        <w:tc>
          <w:tcPr>
            <w:tcW w:type="dxa" w:w="4819"/>
          </w:tcPr>
          <w:p>
            <w:pPr>
              <w:spacing w:before="20" w:after="20"/>
            </w:pPr>
            <w:r>
              <w:rPr>
                <w:sz w:val="19"/>
              </w:rPr>
              <w:t>Modification</w:t>
            </w:r>
          </w:p>
        </w:tc>
        <w:tc>
          <w:tcPr>
            <w:tcW w:type="dxa" w:w="4819"/>
          </w:tcPr>
          <w:p>
            <w:pPr>
              <w:spacing w:before="20" w:after="20"/>
            </w:pPr>
            <w:r>
              <w:rPr>
                <w:sz w:val="19"/>
              </w:rPr>
              <w:t>Étiquette modifiée.</w:t>
            </w:r>
          </w:p>
        </w:tc>
      </w:tr>
      <w:tr>
        <w:tc>
          <w:tcPr>
            <w:tcW w:type="dxa" w:w="4819"/>
          </w:tcPr>
          <w:p>
            <w:pPr>
              <w:spacing w:before="20" w:after="20"/>
            </w:pPr>
            <w:r>
              <w:rPr>
                <w:sz w:val="19"/>
              </w:rPr>
              <w:t>Suppression</w:t>
            </w:r>
          </w:p>
        </w:tc>
        <w:tc>
          <w:tcPr>
            <w:tcW w:type="dxa" w:w="4819"/>
          </w:tcPr>
          <w:p>
            <w:pPr>
              <w:spacing w:before="20" w:after="20"/>
            </w:pPr>
            <w:r>
              <w:rPr>
                <w:sz w:val="19"/>
              </w:rPr>
              <w:t>Étiquette supprimée.</w:t>
            </w:r>
          </w:p>
        </w:tc>
      </w:tr>
      <w:tr>
        <w:tc>
          <w:tcPr>
            <w:tcW w:type="dxa" w:w="4819"/>
          </w:tcPr>
          <w:p>
            <w:pPr>
              <w:spacing w:before="20" w:after="20"/>
            </w:pPr>
            <w:r>
              <w:rPr>
                <w:sz w:val="19"/>
              </w:rPr>
              <w:t>Restauration</w:t>
            </w:r>
          </w:p>
        </w:tc>
        <w:tc>
          <w:tcPr>
            <w:tcW w:type="dxa" w:w="4819"/>
          </w:tcPr>
          <w:p>
            <w:pPr>
              <w:spacing w:before="20" w:after="20"/>
            </w:pPr>
            <w:r>
              <w:rPr>
                <w:sz w:val="19"/>
              </w:rPr>
              <w:t>Étiquette restaurée.</w:t>
            </w:r>
          </w:p>
        </w:tc>
      </w:tr>
      <w:tr>
        <w:tc>
          <w:tcPr>
            <w:tcW w:type="dxa" w:w="4819"/>
          </w:tcPr>
          <w:p>
            <w:pPr>
              <w:spacing w:before="20" w:after="20"/>
            </w:pPr>
            <w:r>
              <w:rPr>
                <w:sz w:val="19"/>
              </w:rPr>
              <w:t>Suppression en lot</w:t>
            </w:r>
          </w:p>
        </w:tc>
        <w:tc>
          <w:tcPr>
            <w:tcW w:type="dxa" w:w="4819"/>
          </w:tcPr>
          <w:p>
            <w:pPr>
              <w:spacing w:before="20" w:after="20"/>
            </w:pPr>
            <w:r>
              <w:rPr>
                <w:sz w:val="19"/>
              </w:rPr>
              <w:t>2 étiquette(s) supprimée(s).</w:t>
            </w:r>
          </w:p>
        </w:tc>
      </w:tr>
      <w:tr>
        <w:tc>
          <w:tcPr>
            <w:tcW w:type="dxa" w:w="4819"/>
          </w:tcPr>
          <w:p>
            <w:pPr>
              <w:spacing w:before="20" w:after="20"/>
            </w:pPr>
            <w:r>
              <w:rPr>
                <w:sz w:val="19"/>
              </w:rPr>
              <w:t>Restauration en lot</w:t>
            </w:r>
          </w:p>
        </w:tc>
        <w:tc>
          <w:tcPr>
            <w:tcW w:type="dxa" w:w="4819"/>
          </w:tcPr>
          <w:p>
            <w:pPr>
              <w:spacing w:before="20" w:after="20"/>
            </w:pPr>
            <w:r>
              <w:rPr>
                <w:sz w:val="19"/>
              </w:rPr>
              <w:t>2 étiquette(s) restaurée(s).</w:t>
            </w:r>
          </w:p>
        </w:tc>
      </w:tr>
    </w:tbl>
    <w:p>
      <w:pPr>
        <w:spacing w:after="40"/>
      </w:pPr>
    </w:p>
    <w:p>
      <w:pPr>
        <w:pStyle w:val="Heading1"/>
      </w:pPr>
      <w:r>
        <w:t>8. Les cas particuliers</w:t>
      </w:r>
    </w:p>
    <w:p>
      <w:pPr>
        <w:pStyle w:val="Heading2"/>
      </w:pPr>
      <w:r>
        <w:t>8.1 Ce que devient une étiquette supprimée sur les documents qui la portaient</w:t>
      </w:r>
    </w:p>
    <w:p>
      <w:pPr/>
      <w:r>
        <w:t>Ce cas est le plus important de l'écran, et son comportement réel doit être connu précisément.</w:t>
      </w:r>
    </w:p>
    <w:p>
      <w:pPr>
        <w:pStyle w:val="Heading3"/>
      </w:pPr>
      <w:r>
        <w:t>Ce que la suppression retire</w:t>
      </w:r>
    </w:p>
    <w:p>
      <w:pPr/>
      <w:r>
        <w:t>Supprimer une étiquette la retire du référentiel : elle disparaît de la liste des étiquettes actives et cesse d'être proposée dans le sélecteur de l'écran de dépôt. En revanche, le lien qui l'unit aux documents déjà marqués n'est pas rompu. Un document qui portait l'étiquette « Urgent » continue de l'afficher dans la liste des documents après que cette étiquette a été mise à la corbeille.</w:t>
      </w:r>
    </w:p>
    <w:p>
      <w:pPr>
        <w:pStyle w:val="Heading3"/>
      </w:pPr>
      <w:r>
        <w:t>Ce que la suppression laisse en place</w:t>
      </w:r>
    </w:p>
    <w:p>
      <w:pPr/>
      <w:r>
        <w:t>Le résultat pratique est le suivant : l'étiquette reste visible là où elle a déjà été posée, mais ne peut plus être posée ailleurs. Cette situation est réversible sans aucune perte — restaurer l'étiquette rétablit intégralement son usage — mais elle peut dérouter, car la marque semble subsister alors qu'on croyait l'avoir supprimée.</w:t>
      </w:r>
    </w:p>
    <w:p>
      <w:pPr>
        <w:spacing w:before="0" w:after="0"/>
        <w:ind w:left="113"/>
      </w:pPr>
      <w:r>
        <w:rPr>
          <w:rFonts w:ascii="Consolas" w:hAnsi="Consolas" w:cs="Consolas"/>
          <w:sz w:val="18"/>
        </w:rPr>
        <w:t xml:space="preserve">  SUPPRESSION D'UNE ÉTIQUETTE — ce qui change et ce qui ne change pas</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AVANT                                    APRÈS suppression</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Écran Étiquettes, vue Actifs             Écran Étiquettes, vue ARCHIVE</w:t>
      </w:r>
    </w:p>
    <w:p>
      <w:pPr>
        <w:spacing w:before="0" w:after="0"/>
        <w:ind w:left="113"/>
      </w:pPr>
      <w:r>
        <w:rPr>
          <w:rFonts w:ascii="Consolas" w:hAnsi="Consolas" w:cs="Consolas"/>
          <w:sz w:val="18"/>
        </w:rPr>
        <w:t xml:space="preserve">     ( Urgent )  visible                      ( Urgent )  visible ici seulement</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Écran de dépôt                           Écran de dépôt</w:t>
      </w:r>
    </w:p>
    <w:p>
      <w:pPr>
        <w:spacing w:before="0" w:after="0"/>
        <w:ind w:left="113"/>
      </w:pPr>
      <w:r>
        <w:rPr>
          <w:rFonts w:ascii="Consolas" w:hAnsi="Consolas" w:cs="Consolas"/>
          <w:sz w:val="18"/>
        </w:rPr>
        <w:t xml:space="preserve">     [ (o) Urgent  ... ]  proposée            ( Urgent )  N'EST PLUS proposée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Liste des documents                      Liste des documents</w:t>
      </w:r>
    </w:p>
    <w:p>
      <w:pPr>
        <w:spacing w:before="0" w:after="0"/>
        <w:ind w:left="113"/>
      </w:pPr>
      <w:r>
        <w:rPr>
          <w:rFonts w:ascii="Consolas" w:hAnsi="Consolas" w:cs="Consolas"/>
          <w:sz w:val="18"/>
        </w:rPr>
        <w:t xml:space="preserve">     facture 2026003  ( Urgent )              facture 2026003  ( Urgent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la marque SUBSISTE sur les</w:t>
      </w:r>
    </w:p>
    <w:p>
      <w:pPr>
        <w:spacing w:before="0" w:after="0"/>
        <w:ind w:left="113"/>
      </w:pPr>
      <w:r>
        <w:rPr>
          <w:rFonts w:ascii="Consolas" w:hAnsi="Consolas" w:cs="Consolas"/>
          <w:sz w:val="18"/>
        </w:rPr>
        <w:t xml:space="preserve">                                             documents déjà marqués</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Restaurer l'étiquette rétablit intégralement la situation initiale.</w:t>
      </w:r>
    </w:p>
    <w:p>
      <w:pPr>
        <w:spacing w:after="40"/>
      </w:pPr>
    </w:p>
    <w:p>
      <w:pPr>
        <w:pStyle w:val="Heading2"/>
      </w:pPr>
      <w:r>
        <w:t>8.2 La couleur peut être saisie hors format</w:t>
      </w:r>
    </w:p>
    <w:p>
      <w:pPr/>
      <w:r>
        <w:t>Le champ de saisie du code hexadécimal accepte n'importe quel texte : l'application ne vérifie que la présence d'une valeur, pas sa forme. Saisir un mot ou un code incomplet est donc accepté à l'enregistrement. Deux conséquences visibles : le sélecteur de teinte, incapable d'interpréter la valeur, cesse de refléter la couleur ; et la pastille affichée dans la liste ne rend pas la teinte attendue. La correction consiste à rouvrir l'étiquette et à repasser par le sélecteur de teinte, qui produit toujours une valeur valide.</w:t>
      </w:r>
    </w:p>
    <w:p>
      <w:pPr>
        <w:pStyle w:val="Heading2"/>
      </w:pPr>
      <w:r>
        <w:t>8.3 Une couleur trop claire rend le libellé illisible</w:t>
      </w:r>
    </w:p>
    <w:p>
      <w:pPr/>
      <w:r>
        <w:t>Le libellé s'affiche en surimpression sur la couleur retenue, sans que l'application n'ajuste la teinte du texte en fonction de la clarté du fond. Une couleur très claire produit donc une pastille dont le texte est difficile à lire. La pastille d'aperçu du formulaire est faite pour repérer ce défaut avant l'enregistrement : elle montre le rendu exact.</w:t>
      </w:r>
    </w:p>
    <w:p>
      <w:pPr>
        <w:pStyle w:val="Heading2"/>
      </w:pPr>
      <w:r>
        <w:t>8.4 Modifier une étiquette modifie tous les documents qui la portent</w:t>
      </w:r>
    </w:p>
    <w:p>
      <w:pPr/>
      <w:r>
        <w:t>L'étiquette est un objet unique référencé par les documents, et non une copie apposée sur chacun. Renommer « Urgent » en « Prioritaire » change donc l'affichage sur l'ensemble des documents concernés, y compris ceux déposés il y a des mois. Il n'existe aucun moyen de renommer une étiquette pour l'avenir seulement. Lorsque la distinction importe, la pratique consiste à créer une nouvelle étiquette et à laisser l'ancienne en place.</w:t>
      </w:r>
    </w:p>
    <w:p>
      <w:pPr>
        <w:pStyle w:val="Heading2"/>
      </w:pPr>
      <w:r>
        <w:t>8.5 Le nombre d'étiquettes proposées au dépôt est plafonné</w:t>
      </w:r>
    </w:p>
    <w:p>
      <w:pPr/>
      <w:r>
        <w:t>L'écran de dépôt charge les étiquettes par lot et n'en présente qu'un nombre limité, de l'ordre de deux cents. Au-delà, les étiquettes les plus anciennes ne sont plus proposées dans le sélecteur, sans qu'aucun message ne le signale. Ce plafond est très au-dessus d'un usage raisonnable — un référentiel d'étiquettes sain compte quelques dizaines d'entrées — mais il constitue une limite à connaître.</w:t>
      </w:r>
    </w:p>
    <w:p>
      <w:pPr>
        <w:pStyle w:val="Heading2"/>
      </w:pPr>
      <w:r>
        <w:t>8.6 Deux étiquettes peuvent porter le même libellé</w:t>
      </w:r>
    </w:p>
    <w:p>
      <w:pPr/>
      <w:r>
        <w:t>Seul le code est contrôlé en unicité. Rien n'empêche de créer deux étiquettes « Urgent » avec des codes différents, éventuellement de couleurs distinctes. Elles apparaîtront toutes deux dans le sélecteur du dépôt, où seule la couleur permettra de les distinguer, et les documents se répartiront arbitrairement entre les deux — ce qui ruine précisément la fonction de regroupement recherchée.</w:t>
      </w:r>
    </w:p>
    <w:p>
      <w:pPr>
        <w:pStyle w:val="Heading2"/>
      </w:pPr>
      <w:r>
        <w:t>8.7 Une recherche sans résultat</w:t>
      </w:r>
    </w:p>
    <w:p>
      <w:pPr/>
      <w:r>
        <w:t>Lorsqu'un terme de recherche ne correspond à aucune étiquette, le tableau affiche l'état vierge « Aucune étiquette » accompagné de l'invitation à créer la première. Le terme saisi n'est pas repris et la situation n'est pas distinguée de celle d'un référentiel réellement vide. La recherche porte par ailleurs sur le seul libellé : chercher par code ou par couleur ne ramène rien.</w:t>
      </w:r>
    </w:p>
    <w:p>
      <w:pPr>
        <w:pStyle w:val="Heading2"/>
      </w:pPr>
      <w:r>
        <w:t>8.8 Aucune étiquette n'est posée automatiquement</w:t>
      </w:r>
    </w:p>
    <w:p>
      <w:pPr/>
      <w:r>
        <w:t>L'application ne pose jamais d'étiquette d'elle-même : ni à l'issue d'un circuit de validation, ni au terme d'un délai, ni en fonction d'une valeur d'index. Toute étiquette présente sur un document y a été mise à la main par un opérateur. Cette limite doit être énoncée avant de bâtir une organisation qui reposerait sur un marquage automatique.</w:t>
      </w:r>
    </w:p>
    <w:p>
      <w:pPr>
        <w:pStyle w:val="Heading1"/>
      </w:pPr>
      <w:r>
        <w:t>9. Enchaînement avec les autres interfaces</w:t>
      </w:r>
    </w:p>
    <w:p>
      <w:pPr>
        <w:pStyle w:val="Heading2"/>
      </w:pPr>
      <w:r>
        <w:t>9.1 En amont</w:t>
      </w:r>
    </w:p>
    <w:p>
      <w:pPr/>
      <w:r>
        <w:t>Aucun prérequis. C'est, avec la connexion et le profil, l'un des rares écrans que l'on peut renseigner à n'importe quel moment du projet. Il ne consomme ni index, ni plan, ni type, ni espace de travail.</w:t>
      </w:r>
    </w:p>
    <w:p>
      <w:pPr>
        <w:pStyle w:val="Heading2"/>
      </w:pPr>
      <w:r>
        <w:t>9.2 En aval</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Interface</w:t>
            </w:r>
          </w:p>
        </w:tc>
        <w:tc>
          <w:tcPr>
            <w:tcW w:type="dxa" w:w="3213"/>
          </w:tcPr>
          <w:p>
            <w:pPr>
              <w:spacing w:before="20" w:after="20"/>
            </w:pPr>
            <w:r>
              <w:rPr>
                <w:b/>
                <w:sz w:val="19"/>
              </w:rPr>
              <w:t>Ce qu'elle reçoit de l'écran Étiquettes</w:t>
            </w:r>
          </w:p>
        </w:tc>
        <w:tc>
          <w:tcPr>
            <w:tcW w:type="dxa" w:w="3213"/>
          </w:tcPr>
          <w:p>
            <w:pPr>
              <w:spacing w:before="20" w:after="20"/>
            </w:pPr>
            <w:r>
              <w:rPr>
                <w:b/>
                <w:sz w:val="19"/>
              </w:rPr>
              <w:t>Ce qui se passe si le référentiel est vide</w:t>
            </w:r>
          </w:p>
        </w:tc>
      </w:tr>
      <w:tr>
        <w:tc>
          <w:tcPr>
            <w:tcW w:type="dxa" w:w="3213"/>
          </w:tcPr>
          <w:p>
            <w:pPr>
              <w:spacing w:before="20" w:after="20"/>
            </w:pPr>
            <w:r>
              <w:rPr>
                <w:sz w:val="19"/>
              </w:rPr>
              <w:t>11 — Dépôt et indexation</w:t>
            </w:r>
          </w:p>
        </w:tc>
        <w:tc>
          <w:tcPr>
            <w:tcW w:type="dxa" w:w="3213"/>
          </w:tcPr>
          <w:p>
            <w:pPr>
              <w:spacing w:before="20" w:after="20"/>
            </w:pPr>
            <w:r>
              <w:rPr>
                <w:sz w:val="19"/>
              </w:rPr>
              <w:t>Un champ facultatif « Étiquettes (optionnel) » proposant la liste des étiquettes actives, chacune précédée d'une pastille de sa couleur.</w:t>
            </w:r>
          </w:p>
        </w:tc>
        <w:tc>
          <w:tcPr>
            <w:tcW w:type="dxa" w:w="3213"/>
          </w:tcPr>
          <w:p>
            <w:pPr>
              <w:spacing w:before="20" w:after="20"/>
            </w:pPr>
            <w:r>
              <w:rPr>
                <w:sz w:val="19"/>
              </w:rPr>
              <w:t>Le champ n'apparaît pas du tout. Le dépôt fonctionne normalement, sans marquage possible.</w:t>
            </w:r>
          </w:p>
        </w:tc>
      </w:tr>
      <w:tr>
        <w:tc>
          <w:tcPr>
            <w:tcW w:type="dxa" w:w="3213"/>
          </w:tcPr>
          <w:p>
            <w:pPr>
              <w:spacing w:before="20" w:after="20"/>
            </w:pPr>
            <w:r>
              <w:rPr>
                <w:sz w:val="19"/>
              </w:rPr>
              <w:t>10 — Documents</w:t>
            </w:r>
          </w:p>
        </w:tc>
        <w:tc>
          <w:tcPr>
            <w:tcW w:type="dxa" w:w="3213"/>
          </w:tcPr>
          <w:p>
            <w:pPr>
              <w:spacing w:before="20" w:after="20"/>
            </w:pPr>
            <w:r>
              <w:rPr>
                <w:sz w:val="19"/>
              </w:rPr>
              <w:t>Les étiquettes posées s'affichent sur la ligne de chaque document, sous forme de pastilles colorées portant leur libellé.</w:t>
            </w:r>
          </w:p>
        </w:tc>
        <w:tc>
          <w:tcPr>
            <w:tcW w:type="dxa" w:w="3213"/>
          </w:tcPr>
          <w:p>
            <w:pPr>
              <w:spacing w:before="20" w:after="20"/>
            </w:pPr>
            <w:r>
              <w:rPr>
                <w:sz w:val="19"/>
              </w:rPr>
              <w:t>Aucune pastille n'apparaît ; la liste des documents reste complète et fonctionnelle.</w:t>
            </w:r>
          </w:p>
        </w:tc>
      </w:tr>
    </w:tbl>
    <w:p>
      <w:pPr>
        <w:spacing w:after="40"/>
      </w:pPr>
    </w:p>
    <w:p>
      <w:pPr>
        <w:pStyle w:val="Heading2"/>
      </w:pPr>
      <w:r>
        <w:t>9.3 Ce qui ne dépend pas de cet écran</w:t>
      </w:r>
    </w:p>
    <w:p>
      <w:pPr/>
      <w:r>
        <w:t>Il est utile de préciser ce que les étiquettes ne conditionnent pas, car leur nom suggère parfois davantage qu'elles ne font :</w:t>
      </w:r>
    </w:p>
    <w:p>
      <w:pPr>
        <w:pStyle w:val="ListBullet"/>
      </w:pPr>
      <w:r>
        <w:t>Elles ne participent pas à la composition du nom des documents : seule la charte du plan d'indexation le fait.</w:t>
      </w:r>
    </w:p>
    <w:p>
      <w:pPr>
        <w:pStyle w:val="ListBullet"/>
      </w:pPr>
      <w:r>
        <w:t>Elles n'interviennent pas dans les circuits de validation : aucun approbateur n'est désigné en fonction d'une étiquette.</w:t>
      </w:r>
    </w:p>
    <w:p>
      <w:pPr>
        <w:pStyle w:val="ListBullet"/>
      </w:pPr>
      <w:r>
        <w:t>Elles ne conditionnent aucun accès : l'application ne comporte qu'un compte, celui de l'administrateur, et aucune notion de droit par objet.</w:t>
      </w:r>
    </w:p>
    <w:p>
      <w:pPr>
        <w:pStyle w:val="ListBullet"/>
      </w:pPr>
      <w:r>
        <w:t>Elles ne déclenchent aucune alerte ni aucune notification : marquer un document « Urgent » ne prévient personne.</w:t>
      </w:r>
    </w:p>
    <w:p>
      <w:pPr>
        <w:pStyle w:val="Heading2"/>
      </w:pPr>
      <w:r>
        <w:t>9.4 Ordre de construction recommandé</w:t>
      </w:r>
    </w:p>
    <w:p>
      <w:pPr/>
      <w:r>
        <w:t>L'écran peut être renseigné à tout moment, mais il gagne à l'être après les premiers dépôts réels plutôt qu'avant. Les étiquettes utiles se révèlent à l'usage : ce sont les besoins de regroupement que la structure en dossiers ne satisfait pas. Les créer a priori conduit le plus souvent à un référentiel encombré d'étiquettes que personne ne pose.</w:t>
      </w:r>
    </w:p>
    <w:p>
      <w:pPr>
        <w:pStyle w:val="Heading1"/>
      </w:pPr>
      <w:r>
        <w:t>10. Points de vigilance</w:t>
      </w:r>
    </w:p>
    <w:p>
      <w:pPr>
        <w:pStyle w:val="Heading2"/>
      </w:pPr>
      <w:r>
        <w:t>10.1 Ce qui est régulièrement mal compris</w:t>
      </w:r>
    </w:p>
    <w:p>
      <w:pPr>
        <w:pStyle w:val="ListBullet"/>
      </w:pPr>
      <w:r>
        <w:t>Une étiquette ne porte aucune valeur. Si l'on cherche à y inscrire un montant, une date ou un numéro, c'est qu'il fallait créer un index.</w:t>
      </w:r>
    </w:p>
    <w:p>
      <w:pPr>
        <w:pStyle w:val="ListBullet"/>
      </w:pPr>
      <w:r>
        <w:t>Une étiquette n'est pas un statut. Elle ne suit pas le circuit de validation et ne change jamais d'elle-même.</w:t>
      </w:r>
    </w:p>
    <w:p>
      <w:pPr>
        <w:pStyle w:val="ListBullet"/>
      </w:pPr>
      <w:r>
        <w:t>Une étiquette n'accorde aucun droit et ne restreint aucun accès. Créer une étiquette « Confidentiel » n'empêche personne de consulter le document : elle signale, elle ne protège pas.</w:t>
      </w:r>
    </w:p>
    <w:p>
      <w:pPr>
        <w:pStyle w:val="ListBullet"/>
      </w:pPr>
      <w:r>
        <w:t>Le libellé se saisit avant le code, contrairement à l'ordre du tableau. Ce n'est pas une incohérence mais un choix délibéré.</w:t>
      </w:r>
    </w:p>
    <w:p>
      <w:pPr>
        <w:pStyle w:val="ListBullet"/>
      </w:pPr>
      <w:r>
        <w:t>L'onglet s'intitule « Actifs » au masculin bien que l'objet soit féminin : c'est une cohérence assumée avec les autres écrans, pas une faute d'accord.</w:t>
      </w:r>
    </w:p>
    <w:p>
      <w:pPr>
        <w:pStyle w:val="ListBullet"/>
      </w:pPr>
      <w:r>
        <w:t>Une étiquette supprimée reste visible sur les documents qui la portaient déjà.</w:t>
      </w:r>
    </w:p>
    <w:p>
      <w:pPr>
        <w:pStyle w:val="Heading2"/>
      </w:pPr>
      <w:r>
        <w:t>10.2 Ce qui a déjà causé des erreurs</w:t>
      </w:r>
    </w:p>
    <w:p>
      <w:pPr>
        <w:pStyle w:val="ListBullet"/>
      </w:pPr>
      <w:r>
        <w:t>Créer une étiquette « Confidentiel » en croyant restreindre l'accès au document. L'application n'a qu'un seul utilisateur et aucune notion de permission : la marque est purement informative.</w:t>
      </w:r>
    </w:p>
    <w:p>
      <w:pPr>
        <w:pStyle w:val="ListBullet"/>
      </w:pPr>
      <w:r>
        <w:t>Multiplier les étiquettes au point que le sélecteur du dépôt devienne impraticable. Au-delà d'une vingtaine, l'opérateur ne choisit plus, il coche la première plausible ou n'en coche aucune.</w:t>
      </w:r>
    </w:p>
    <w:p>
      <w:pPr>
        <w:pStyle w:val="ListBullet"/>
      </w:pPr>
      <w:r>
        <w:t>Créer des étiquettes qui recouvrent une information déjà portée par un index — un fournisseur, un exercice comptable, un service. L'information se retrouve alors à deux endroits, entretenue deux fois, et les deux finissent par diverger.</w:t>
      </w:r>
    </w:p>
    <w:p>
      <w:pPr>
        <w:pStyle w:val="ListBullet"/>
      </w:pPr>
      <w:r>
        <w:t>Renommer une étiquette largement employée sans mesurer que le changement s'applique rétroactivement à tous les documents marqués.</w:t>
      </w:r>
    </w:p>
    <w:p>
      <w:pPr>
        <w:pStyle w:val="ListBullet"/>
      </w:pPr>
      <w:r>
        <w:t>Attribuer des couleurs trop proches les unes des autres. La couleur cesse d'être un signal et redevient une décoration : il faut lire chaque libellé, ce qui annule le bénéfice.</w:t>
      </w:r>
    </w:p>
    <w:p>
      <w:pPr>
        <w:pStyle w:val="ListBullet"/>
      </w:pPr>
      <w:r>
        <w:t>Créer deux étiquettes de même libellé et de codes différents : le regroupement se scinde en deux, et l'utilisateur croit à une perte de documents.</w:t>
      </w:r>
    </w:p>
    <w:p>
      <w:pPr>
        <w:pStyle w:val="Heading2"/>
      </w:pPr>
      <w:r>
        <w:t>10.3 Ce que l'application ne fait pas</w:t>
      </w:r>
    </w:p>
    <w:p>
      <w:pPr>
        <w:pStyle w:val="Heading3"/>
      </w:pPr>
      <w:r>
        <w:t>Sur la suppression et sur l'archive</w:t>
      </w:r>
    </w:p>
    <w:p>
      <w:pPr>
        <w:pStyle w:val="ListBullet"/>
      </w:pPr>
      <w:r>
        <w:t>Elle ne vérifie pas, avant de supprimer une étiquette, si des documents la portent. La confirmation nomme l'étiquette mais n'annonce aucune dépendance.</w:t>
      </w:r>
    </w:p>
    <w:p>
      <w:pPr>
        <w:pStyle w:val="ListBullet"/>
      </w:pPr>
      <w:r>
        <w:t>Elle ne retire pas l'étiquette des documents qui la portaient : la marque subsiste sur ces documents après suppression.</w:t>
      </w:r>
    </w:p>
    <w:p>
      <w:pPr>
        <w:pStyle w:val="Heading3"/>
      </w:pPr>
      <w:r>
        <w:t>Sur la couleur et sur le libellé</w:t>
      </w:r>
    </w:p>
    <w:p>
      <w:pPr>
        <w:pStyle w:val="ListBullet"/>
      </w:pPr>
      <w:r>
        <w:t>Elle ne contrôle pas la forme du code couleur saisi : seule sa présence est exigée.</w:t>
      </w:r>
    </w:p>
    <w:p>
      <w:pPr>
        <w:pStyle w:val="ListBullet"/>
      </w:pPr>
      <w:r>
        <w:t>Elle n'adapte pas la couleur du texte à la clarté du fond : une teinte trop claire produit une pastille peu lisible sans avertissement.</w:t>
      </w:r>
    </w:p>
    <w:p>
      <w:pPr>
        <w:pStyle w:val="ListBullet"/>
      </w:pPr>
      <w:r>
        <w:t>Elle n'empêche pas deux étiquettes de porter le même libellé.</w:t>
      </w:r>
    </w:p>
    <w:p>
      <w:pPr>
        <w:pStyle w:val="ListBullet"/>
      </w:pPr>
      <w:r>
        <w:t>Elle ne pose aucune étiquette automatiquement, quelles que soient les circonstances.</w:t>
      </w:r>
    </w:p>
    <w:p>
      <w:pPr>
        <w:pStyle w:val="Heading3"/>
      </w:pPr>
      <w:r>
        <w:t>Sur la pose en masse et sur le dénombrement</w:t>
      </w:r>
    </w:p>
    <w:p>
      <w:pPr>
        <w:pStyle w:val="ListBullet"/>
      </w:pPr>
      <w:r>
        <w:t>Elle ne permet pas de poser ou de retirer une étiquette en lot sur plusieurs documents depuis cet écran : la pose se fait document par document.</w:t>
      </w:r>
    </w:p>
    <w:p>
      <w:pPr>
        <w:pStyle w:val="ListBullet"/>
      </w:pPr>
      <w:r>
        <w:t>Elle n'indique nulle part combien de documents portent une étiquette donnée, ce qui prive d'un critère objectif pour décider de sa suppression.</w:t>
      </w:r>
    </w:p>
    <w:p>
      <w:pPr>
        <w:pStyle w:val="Heading3"/>
      </w:pPr>
      <w:r>
        <w:t>Sur les états de la liste</w:t>
      </w:r>
    </w:p>
    <w:p>
      <w:pPr>
        <w:pStyle w:val="ListBullet"/>
      </w:pPr>
      <w:r>
        <w:t>Elle ne distingue pas, dans l'affichage du tableau, une recherche sans résultat d'un référentiel vide, et ne reprend pas le terme cherché.</w:t>
      </w:r>
    </w:p>
    <w:p>
      <w:pPr>
        <w:pStyle w:val="ListBullet"/>
      </w:pPr>
      <w:r>
        <w:t>Elle ne propose pas de purge définitive de l'archive : une étiquette supprimée y demeure indéfiniment.</w:t>
      </w:r>
    </w:p>
    <w:p>
      <w:pPr>
        <w:pStyle w:val="Heading2"/>
      </w:pPr>
      <w:r>
        <w:t>10.4 Recommandations de paramétrage</w:t>
      </w:r>
    </w:p>
    <w:p>
      <w:pPr>
        <w:pStyle w:val="Heading3"/>
      </w:pPr>
      <w:r>
        <w:t>Choisir ce que l'on étiquette</w:t>
      </w:r>
    </w:p>
    <w:p>
      <w:pPr>
        <w:pStyle w:val="ListNumber"/>
        <w:numPr>
          <w:ilvl w:val="0"/>
          <w:numId w:val="17"/>
        </w:numPr>
      </w:pPr>
      <w:r>
        <w:t>Réserver les étiquettes aux regroupements que la structure en dossiers ne peut pas produire. Si un besoin est satisfait par un dossier ou par un index, il ne relève pas d'une étiquette.</w:t>
      </w:r>
    </w:p>
    <w:p>
      <w:pPr>
        <w:pStyle w:val="ListNumber"/>
        <w:numPr>
          <w:ilvl w:val="0"/>
          <w:numId w:val="17"/>
        </w:numPr>
      </w:pPr>
      <w:r>
        <w:t>Limiter le référentiel à une quinzaine d'étiquettes. Un sélecteur court est un sélecteur utilisé.</w:t>
      </w:r>
    </w:p>
    <w:p>
      <w:pPr>
        <w:pStyle w:val="Heading3"/>
      </w:pPr>
      <w:r>
        <w:t>Choisir les libellés et les couleurs</w:t>
      </w:r>
    </w:p>
    <w:p>
      <w:pPr>
        <w:pStyle w:val="ListNumber"/>
        <w:numPr>
          <w:ilvl w:val="0"/>
          <w:numId w:val="17"/>
        </w:numPr>
      </w:pPr>
      <w:r>
        <w:t>Adopter des libellés d'un seul mot, qui tiennent sur une pastille sans déborder.</w:t>
      </w:r>
    </w:p>
    <w:p>
      <w:pPr>
        <w:pStyle w:val="ListNumber"/>
        <w:numPr>
          <w:ilvl w:val="0"/>
          <w:numId w:val="17"/>
        </w:numPr>
      </w:pPr>
      <w:r>
        <w:t>Choisir des couleurs franchement contrastées entre elles, et suffisamment sombres pour que le libellé reste lisible en surimpression. Vérifier systématiquement le rendu sur la pastille d'aperçu avant d'enregistrer.</w:t>
      </w:r>
    </w:p>
    <w:p>
      <w:pPr>
        <w:pStyle w:val="ListNumber"/>
        <w:numPr>
          <w:ilvl w:val="0"/>
          <w:numId w:val="17"/>
        </w:numPr>
      </w:pPr>
      <w:r>
        <w:t>Aligner les teintes sur le code couleur de l'entreprise lorsqu'il en existe un : le rouge de l'urgence, le vert de la validation, l'ambre de la vérification.</w:t>
      </w:r>
    </w:p>
    <w:p>
      <w:pPr>
        <w:pStyle w:val="ListNumber"/>
        <w:numPr>
          <w:ilvl w:val="0"/>
          <w:numId w:val="17"/>
        </w:numPr>
      </w:pPr>
      <w:r>
        <w:t>Adopter une convention de code stable, par exemple un préfixe commun suivi d'une abréviation du libellé.</w:t>
      </w:r>
    </w:p>
    <w:p>
      <w:pPr>
        <w:pStyle w:val="Heading3"/>
      </w:pPr>
      <w:r>
        <w:t>Entretenir le référentiel dans la durée</w:t>
      </w:r>
    </w:p>
    <w:p>
      <w:pPr>
        <w:pStyle w:val="ListNumber"/>
        <w:numPr>
          <w:ilvl w:val="0"/>
          <w:numId w:val="17"/>
        </w:numPr>
      </w:pPr>
      <w:r>
        <w:t>Créer les étiquettes après les premiers dépôts réels, à partir des besoins de regroupement effectivement rencontrés, plutôt que d'anticiper.</w:t>
      </w:r>
    </w:p>
    <w:p>
      <w:pPr>
        <w:pStyle w:val="ListNumber"/>
        <w:numPr>
          <w:ilvl w:val="0"/>
          <w:numId w:val="17"/>
        </w:numPr>
      </w:pPr>
      <w:r>
        <w:t>Réexaminer périodiquement le référentiel et archiver les étiquettes devenues sans objet, en gardant à l'esprit qu'elles resteront visibles sur les documents déjà marqués.</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GED Marchica Med — 09 Étiquettes — volet fonctionnel  —  page </w:t>
    </w:r>
    <w:r>
      <w:rPr>
        <w:color w:val="606060"/>
        <w:sz w:val="16"/>
      </w:rPr>
      <w:fldChar w:fldCharType="begin"/>
    </w:r>
    <w:r>
      <w:rPr>
        <w:color w:val="606060"/>
        <w:sz w:val="16"/>
      </w:rPr>
      <w:instrText xml:space="preserve">PAGE</w:instrText>
    </w:r>
    <w:r>
      <w:rPr>
        <w:color w:val="60606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55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44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