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11 — Dépôt et indexation</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11 — Dépôt et indexation</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Pourquoi cet écran est le plus important du produit et ce qu'il consomme de toute la chaîne.</w:t>
            </w:r>
          </w:p>
        </w:tc>
      </w:tr>
      <w:tr>
        <w:tc>
          <w:tcPr>
            <w:tcW w:type="dxa" w:w="4819"/>
          </w:tcPr>
          <w:p>
            <w:pPr>
              <w:spacing w:before="20" w:after="20"/>
            </w:pPr>
            <w:r>
              <w:rPr>
                <w:sz w:val="19"/>
              </w:rPr>
              <w:t>2. Les notions manipulées</w:t>
            </w:r>
          </w:p>
        </w:tc>
        <w:tc>
          <w:tcPr>
            <w:tcW w:type="dxa" w:w="4819"/>
          </w:tcPr>
          <w:p>
            <w:pPr>
              <w:spacing w:before="20" w:after="20"/>
            </w:pPr>
            <w:r>
              <w:rPr>
                <w:sz w:val="19"/>
              </w:rPr>
              <w:t>Type, plan, index, charte, séparateur, référence, nom, provenance, reconnaissance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La fenêtre unique, ses blocs successifs, ses compteurs, ses avertissements et son pied.</w:t>
            </w:r>
          </w:p>
        </w:tc>
      </w:tr>
      <w:tr>
        <w:tc>
          <w:tcPr>
            <w:tcW w:type="dxa" w:w="4819"/>
          </w:tcPr>
          <w:p>
            <w:pPr>
              <w:spacing w:before="20" w:after="20"/>
            </w:pPr>
            <w:r>
              <w:rPr>
                <w:sz w:val="19"/>
              </w:rPr>
              <w:t>4. Le processus, étape par étape</w:t>
            </w:r>
          </w:p>
        </w:tc>
        <w:tc>
          <w:tcPr>
            <w:tcW w:type="dxa" w:w="4819"/>
          </w:tcPr>
          <w:p>
            <w:pPr>
              <w:spacing w:before="20" w:after="20"/>
            </w:pPr>
            <w:r>
              <w:rPr>
                <w:sz w:val="19"/>
              </w:rPr>
              <w:t>Le parcours nominal et ses variantes, en suites numérotées et en schémas.</w:t>
            </w:r>
          </w:p>
        </w:tc>
      </w:tr>
      <w:tr>
        <w:tc>
          <w:tcPr>
            <w:tcW w:type="dxa" w:w="4819"/>
          </w:tcPr>
          <w:p>
            <w:pPr>
              <w:spacing w:before="20" w:after="20"/>
            </w:pPr>
            <w:r>
              <w:rPr>
                <w:sz w:val="19"/>
              </w:rPr>
              <w:t>5. Les données saisies</w:t>
            </w:r>
          </w:p>
        </w:tc>
        <w:tc>
          <w:tcPr>
            <w:tcW w:type="dxa" w:w="4819"/>
          </w:tcPr>
          <w:p>
            <w:pPr>
              <w:spacing w:before="20" w:after="20"/>
            </w:pPr>
            <w:r>
              <w:rPr>
                <w:sz w:val="19"/>
              </w:rPr>
              <w:t>Chaque champ de la fenêtre : nature, obligation, valeur par défaut, exemple, explication.</w:t>
            </w:r>
          </w:p>
        </w:tc>
      </w:tr>
      <w:tr>
        <w:tc>
          <w:tcPr>
            <w:tcW w:type="dxa" w:w="4819"/>
          </w:tcPr>
          <w:p>
            <w:pPr>
              <w:spacing w:before="20" w:after="20"/>
            </w:pPr>
            <w:r>
              <w:rPr>
                <w:sz w:val="19"/>
              </w:rPr>
              <w:t>6. Les règles de gestion</w:t>
            </w:r>
          </w:p>
        </w:tc>
        <w:tc>
          <w:tcPr>
            <w:tcW w:type="dxa" w:w="4819"/>
          </w:tcPr>
          <w:p>
            <w:pPr>
              <w:spacing w:before="20" w:after="20"/>
            </w:pPr>
            <w:r>
              <w:rPr>
                <w:sz w:val="19"/>
              </w:rPr>
              <w:t>Vingt-quatre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Contrôles immédiats avant envoi, refus opposés au dépôt et à l'indexation, messages exacts et conséquences.</w:t>
            </w:r>
          </w:p>
        </w:tc>
      </w:tr>
      <w:tr>
        <w:tc>
          <w:tcPr>
            <w:tcW w:type="dxa" w:w="4819"/>
          </w:tcPr>
          <w:p>
            <w:pPr>
              <w:spacing w:before="20" w:after="20"/>
            </w:pPr>
            <w:r>
              <w:rPr>
                <w:sz w:val="19"/>
              </w:rPr>
              <w:t>8. Les cas particuliers</w:t>
            </w:r>
          </w:p>
        </w:tc>
        <w:tc>
          <w:tcPr>
            <w:tcW w:type="dxa" w:w="4819"/>
          </w:tcPr>
          <w:p>
            <w:pPr>
              <w:spacing w:before="20" w:after="20"/>
            </w:pPr>
            <w:r>
              <w:rPr>
                <w:sz w:val="19"/>
              </w:rPr>
              <w:t>Les trois cas où le nom n'est pas composé, les échecs partiels, les limites connues.</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Toute la chaîne de paramétrage en amont, le fonds et les signatures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Le dépôt est le point d'entrée unique du fonds documentaire. C'est là qu'un fichier devient un document de la GED : il reçoit un type, un dossier de rangement, un nom, des valeurs d'index, éventuellement des étiquettes et une échéance, et son circuit de validation s'ouvre.</w:t>
      </w:r>
    </w:p>
    <w:p>
      <w:pPr/>
      <w:r>
        <w:t>C'est l'écran le plus important du produit, pour trois raisons. Il est le seul à consommer la totalité de la chaîne de paramétrage : si un maillon manque ou est mal réglé, cela se voit ici et nulle part ailleurs. Il est le seul geste qui crée de la matière : tous les autres écrans rangent, corrigent ou consultent. Et il est le plus répété : un opérateur qui dépose cinquante pièces par jour passe la moitié de son temps dans cette fenêtre.</w:t>
      </w:r>
    </w:p>
    <w:p>
      <w:pPr>
        <w:pStyle w:val="Heading2"/>
      </w:pPr>
      <w:r>
        <w:t>La règle fondatrice</w:t>
      </w:r>
    </w:p>
    <w:p>
      <w:pPr/>
      <w:r>
        <w:rPr>
          <w:b/>
          <w:color w:val="8A3333"/>
          <w:sz w:val="20"/>
        </w:rPr>
        <w:t>Une seule page, un seul bouton</w:t>
      </w:r>
    </w:p>
    <w:p>
      <w:pPr>
        <w:ind w:left="283"/>
      </w:pPr>
      <w:r>
        <w:rPr>
          <w:i/>
          <w:sz w:val="20"/>
        </w:rPr>
        <w:t>Le type, le fichier, le réglage d'indexation, les champs indexés, le nom, les étiquettes et l'échéance tiennent sur la même page. Rien n'est enregistré dans la GED tant que « Téléverser » n'a pas été cliqué.</w:t>
      </w:r>
    </w:p>
    <w:p>
      <w:pPr/>
      <w:r>
        <w:t>Cette règle n'est pas une préférence d'ergonomie : elle corrige deux défauts constatés sur la version antérieure de l'écran, qui fonctionnait en deux étapes avec une seconde fenêtre d'indexation.</w:t>
      </w:r>
    </w:p>
    <w:p>
      <w:pPr>
        <w:pStyle w:val="ListNumber"/>
        <w:numPr>
          <w:ilvl w:val="0"/>
          <w:numId w:val="10"/>
        </w:numPr>
      </w:pPr>
      <w:r>
        <w:rPr>
          <w:b/>
        </w:rPr>
        <w:t>Les valeurs déduites étaient écrites avant toute confirmation.</w:t>
      </w:r>
      <w:r>
        <w:t xml:space="preserve"> Un opérateur qui abandonnait en cours de route laissait derrière lui un document réellement renommé, portant des informations que personne n'avait validées et des points d'interrogation à la place des champs manquants.</w:t>
      </w:r>
    </w:p>
    <w:p>
      <w:pPr>
        <w:pStyle w:val="ListNumber"/>
        <w:numPr>
          <w:ilvl w:val="0"/>
          <w:numId w:val="10"/>
        </w:numPr>
      </w:pPr>
      <w:r>
        <w:rPr>
          <w:b/>
        </w:rPr>
        <w:t>La seconde fenêtre refusait de se fermer.</w:t>
      </w:r>
      <w:r>
        <w:t xml:space="preserve"> La seule sortie était de recharger la page, ce qui laissait le document dans un état intermédiaire.</w:t>
      </w:r>
    </w:p>
    <w:p>
      <w:pPr/>
      <w:r>
        <w:t>La page unique supprime les deux d'un coup : il n'y a plus d'état intermédiaire à écrire, ni de raison de retenir l'opérateur devant un formulaire.</w:t>
      </w:r>
    </w:p>
    <w:p>
      <w:pPr>
        <w:pStyle w:val="Heading2"/>
      </w:pPr>
      <w:r>
        <w:t>Place dans le processus global</w:t>
      </w:r>
    </w:p>
    <w:p>
      <w:pPr>
        <w:spacing w:before="0" w:after="0"/>
        <w:ind w:left="113"/>
      </w:pPr>
      <w:r>
        <w:rPr>
          <w:rFonts w:ascii="Consolas" w:hAnsi="Consolas" w:cs="Consolas"/>
          <w:sz w:val="18"/>
        </w:rPr>
        <w:t xml:space="preserve">   PARAMÉTRAGE (préalable obligatoire)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06 Index ---&gt; 07 Plan d'indexation ---&gt; 08 Type de document</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04 Règle de workflow ---&gt; 03 Espace de travail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11 DÉPÔT (cet écran)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10 DOCUMENTS (le fonds)               12 MES WORKFLOW (les visas)</w:t>
      </w:r>
    </w:p>
    <w:p>
      <w:pPr>
        <w:spacing w:after="40"/>
      </w:pPr>
    </w:p>
    <w:p>
      <w:pPr>
        <w:pStyle w:val="Heading1"/>
      </w:pPr>
      <w:r>
        <w:t>2. Les notions manipulées</w:t>
      </w:r>
    </w:p>
    <w:p>
      <w:pPr/>
      <w:r>
        <w:t>Cet écran manipule sept notions qui se ressemblent et se confondent facilement. Aucune des règles de la section 6 n'est compréhensible sans elles.</w:t>
      </w:r>
    </w:p>
    <w:p>
      <w:pPr>
        <w:pStyle w:val="Heading2"/>
      </w:pPr>
      <w:r>
        <w:t>2.1 Le type de document et le plan d'indexation</w:t>
      </w:r>
    </w:p>
    <w:p>
      <w:pPr/>
      <w:r>
        <w:rPr>
          <w:b/>
        </w:rPr>
        <w:t xml:space="preserve">Le type de document — </w:t>
      </w:r>
      <w:r>
        <w:t xml:space="preserve">la catégorie de la pièce. C'est le </w:t>
      </w:r>
      <w:r>
        <w:rPr>
          <w:b/>
        </w:rPr>
        <w:t>premier geste</w:t>
      </w:r>
      <w:r>
        <w:t xml:space="preserve"> du dépôt, et il commande tout le reste : le dossier dans lequel le document sera rangé, les formats de fichier acceptés, la taille maximale autorisée et le plan d'indexation appliqué. L'aide sous le champ le dit explicitement : « Il commande le dossier, les formats acceptés et les index à renseigner ».</w:t>
      </w:r>
    </w:p>
    <w:p>
      <w:pPr/>
      <w:r>
        <w:rPr>
          <w:b/>
        </w:rPr>
        <w:t xml:space="preserve">Le plan d'indexation — </w:t>
      </w:r>
      <w:r>
        <w:t xml:space="preserve">la liste ordonnée des index attendus pour ce type, accompagnée d'un séparateur, d'une charte de nommage et d'un réglage de casse. </w:t>
      </w:r>
      <w:r>
        <w:rPr>
          <w:b/>
        </w:rPr>
        <w:t>Un type peut ne pas avoir de plan</w:t>
      </w:r>
      <w:r>
        <w:t xml:space="preserve"> : le document est alors déposé sans aucun index, et l'écran le dit avant même que l'opérateur choisisse son fichier.</w:t>
      </w:r>
    </w:p>
    <w:p>
      <w:pPr>
        <w:pStyle w:val="Heading2"/>
      </w:pPr>
      <w:r>
        <w:t>2.2 L'index, sa nature et son caractère obligatoire</w:t>
      </w:r>
    </w:p>
    <w:p>
      <w:pPr/>
      <w:r>
        <w:rPr>
          <w:b/>
        </w:rPr>
        <w:t xml:space="preserve">L'index — </w:t>
      </w:r>
      <w:r>
        <w:t>un champ d'information structuré. Il porte une nature qui décide du contrôle affiché : une zone de texte, un champ numérique, un calendrier ou une liste de valeurs. Il peut être déclaré obligatoire, auquel cas son libellé porte un astérisque et le dépôt est bloqué tant qu'il est vide.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Nature de l'index</w:t>
            </w:r>
          </w:p>
        </w:tc>
        <w:tc>
          <w:tcPr>
            <w:tcW w:type="dxa" w:w="3213"/>
          </w:tcPr>
          <w:p>
            <w:pPr>
              <w:spacing w:before="20" w:after="20"/>
            </w:pPr>
            <w:r>
              <w:rPr>
                <w:b/>
                <w:sz w:val="19"/>
              </w:rPr>
              <w:t>Contrôle affiché</w:t>
            </w:r>
          </w:p>
        </w:tc>
        <w:tc>
          <w:tcPr>
            <w:tcW w:type="dxa" w:w="3213"/>
          </w:tcPr>
          <w:p>
            <w:pPr>
              <w:spacing w:before="20" w:after="20"/>
            </w:pPr>
            <w:r>
              <w:rPr>
                <w:b/>
                <w:sz w:val="19"/>
              </w:rPr>
              <w:t>Ce qui est accepté</w:t>
            </w:r>
          </w:p>
        </w:tc>
      </w:tr>
      <w:tr>
        <w:tc>
          <w:tcPr>
            <w:tcW w:type="dxa" w:w="3213"/>
          </w:tcPr>
          <w:p>
            <w:pPr>
              <w:spacing w:before="20" w:after="20"/>
            </w:pPr>
            <w:r>
              <w:rPr>
                <w:sz w:val="19"/>
              </w:rPr>
              <w:t>Texte</w:t>
            </w:r>
          </w:p>
        </w:tc>
        <w:tc>
          <w:tcPr>
            <w:tcW w:type="dxa" w:w="3213"/>
          </w:tcPr>
          <w:p>
            <w:pPr>
              <w:spacing w:before="20" w:after="20"/>
            </w:pPr>
            <w:r>
              <w:rPr>
                <w:sz w:val="19"/>
              </w:rPr>
              <w:t>Zone de saisie libre</w:t>
            </w:r>
          </w:p>
        </w:tc>
        <w:tc>
          <w:tcPr>
            <w:tcW w:type="dxa" w:w="3213"/>
          </w:tcPr>
          <w:p>
            <w:pPr>
              <w:spacing w:before="20" w:after="20"/>
            </w:pPr>
            <w:r>
              <w:rPr>
                <w:sz w:val="19"/>
              </w:rPr>
              <w:t>Toute valeur.</w:t>
            </w:r>
          </w:p>
        </w:tc>
      </w:tr>
      <w:tr>
        <w:tc>
          <w:tcPr>
            <w:tcW w:type="dxa" w:w="3213"/>
          </w:tcPr>
          <w:p>
            <w:pPr>
              <w:spacing w:before="20" w:after="20"/>
            </w:pPr>
            <w:r>
              <w:rPr>
                <w:sz w:val="19"/>
              </w:rPr>
              <w:t>Nombre</w:t>
            </w:r>
          </w:p>
        </w:tc>
        <w:tc>
          <w:tcPr>
            <w:tcW w:type="dxa" w:w="3213"/>
          </w:tcPr>
          <w:p>
            <w:pPr>
              <w:spacing w:before="20" w:after="20"/>
            </w:pPr>
            <w:r>
              <w:rPr>
                <w:sz w:val="19"/>
              </w:rPr>
              <w:t>Zone de saisie numérique</w:t>
            </w:r>
          </w:p>
        </w:tc>
        <w:tc>
          <w:tcPr>
            <w:tcW w:type="dxa" w:w="3213"/>
          </w:tcPr>
          <w:p>
            <w:pPr>
              <w:spacing w:before="20" w:after="20"/>
            </w:pPr>
            <w:r>
              <w:rPr>
                <w:sz w:val="19"/>
              </w:rPr>
              <w:t>Un nombre. La virgule décimale est acceptée.</w:t>
            </w:r>
          </w:p>
        </w:tc>
      </w:tr>
      <w:tr>
        <w:tc>
          <w:tcPr>
            <w:tcW w:type="dxa" w:w="3213"/>
          </w:tcPr>
          <w:p>
            <w:pPr>
              <w:spacing w:before="20" w:after="20"/>
            </w:pPr>
            <w:r>
              <w:rPr>
                <w:sz w:val="19"/>
              </w:rPr>
              <w:t>Date</w:t>
            </w:r>
          </w:p>
        </w:tc>
        <w:tc>
          <w:tcPr>
            <w:tcW w:type="dxa" w:w="3213"/>
          </w:tcPr>
          <w:p>
            <w:pPr>
              <w:spacing w:before="20" w:after="20"/>
            </w:pPr>
            <w:r>
              <w:rPr>
                <w:sz w:val="19"/>
              </w:rPr>
              <w:t>Calendrier</w:t>
            </w:r>
          </w:p>
        </w:tc>
        <w:tc>
          <w:tcPr>
            <w:tcW w:type="dxa" w:w="3213"/>
          </w:tcPr>
          <w:p>
            <w:pPr>
              <w:spacing w:before="20" w:after="20"/>
            </w:pPr>
            <w:r>
              <w:rPr>
                <w:sz w:val="19"/>
              </w:rPr>
              <w:t>Une date, choisie dans le calendrier. Elle est enregistrée et réaffichée sous la forme année-mois-jour, par exemple 2026-02-02.</w:t>
            </w:r>
          </w:p>
        </w:tc>
      </w:tr>
      <w:tr>
        <w:tc>
          <w:tcPr>
            <w:tcW w:type="dxa" w:w="3213"/>
          </w:tcPr>
          <w:p>
            <w:pPr>
              <w:spacing w:before="20" w:after="20"/>
            </w:pPr>
            <w:r>
              <w:rPr>
                <w:sz w:val="19"/>
              </w:rPr>
              <w:t>Liste</w:t>
            </w:r>
          </w:p>
        </w:tc>
        <w:tc>
          <w:tcPr>
            <w:tcW w:type="dxa" w:w="3213"/>
          </w:tcPr>
          <w:p>
            <w:pPr>
              <w:spacing w:before="20" w:after="20"/>
            </w:pPr>
            <w:r>
              <w:rPr>
                <w:sz w:val="19"/>
              </w:rPr>
              <w:t>Sélecteur, avec une entrée « — » pour ne rien choisir</w:t>
            </w:r>
          </w:p>
        </w:tc>
        <w:tc>
          <w:tcPr>
            <w:tcW w:type="dxa" w:w="3213"/>
          </w:tcPr>
          <w:p>
            <w:pPr>
              <w:spacing w:before="20" w:after="20"/>
            </w:pPr>
            <w:r>
              <w:rPr>
                <w:sz w:val="19"/>
              </w:rPr>
              <w:t>Uniquement l'une des valeurs déclarées sur l'index.</w:t>
            </w:r>
          </w:p>
        </w:tc>
      </w:tr>
    </w:tbl>
    <w:p>
      <w:pPr>
        <w:spacing w:after="40"/>
      </w:pPr>
    </w:p>
    <w:p>
      <w:pPr>
        <w:pStyle w:val="Heading2"/>
      </w:pPr>
      <w:r>
        <w:t>2.3 La charte de nommage, les jetons et le séparateur</w:t>
      </w:r>
    </w:p>
    <w:p>
      <w:pPr/>
      <w:r>
        <w:rPr>
          <w:b/>
        </w:rPr>
        <w:t xml:space="preserve">La charte de nommage — </w:t>
      </w:r>
      <w:r>
        <w:t xml:space="preserve">la recette qui compose le nom du document. Elle énumère des </w:t>
      </w:r>
      <w:r>
        <w:rPr>
          <w:b/>
        </w:rPr>
        <w:t>jetons</w:t>
      </w:r>
      <w:r>
        <w:t xml:space="preserve"> dans un ordre choisi. Un jeton est soit un index du plan, soit un jeton système calculé au moment du dépôt.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Jeton système</w:t>
            </w:r>
          </w:p>
        </w:tc>
        <w:tc>
          <w:tcPr>
            <w:tcW w:type="dxa" w:w="3213"/>
          </w:tcPr>
          <w:p>
            <w:pPr>
              <w:spacing w:before="20" w:after="20"/>
            </w:pPr>
            <w:r>
              <w:rPr>
                <w:b/>
                <w:sz w:val="19"/>
              </w:rPr>
              <w:t>Ce qu'il vaut</w:t>
            </w:r>
          </w:p>
        </w:tc>
        <w:tc>
          <w:tcPr>
            <w:tcW w:type="dxa" w:w="3213"/>
          </w:tcPr>
          <w:p>
            <w:pPr>
              <w:spacing w:before="20" w:after="20"/>
            </w:pPr>
            <w:r>
              <w:rPr>
                <w:b/>
                <w:sz w:val="19"/>
              </w:rPr>
              <w:t>Exemple pour le 28 août 2026 à 10 h 53</w:t>
            </w:r>
          </w:p>
        </w:tc>
      </w:tr>
      <w:tr>
        <w:tc>
          <w:tcPr>
            <w:tcW w:type="dxa" w:w="3213"/>
          </w:tcPr>
          <w:p>
            <w:pPr>
              <w:spacing w:before="20" w:after="20"/>
            </w:pPr>
            <w:r>
              <w:rPr>
                <w:sz w:val="19"/>
              </w:rPr>
              <w:t>Date</w:t>
            </w:r>
          </w:p>
        </w:tc>
        <w:tc>
          <w:tcPr>
            <w:tcW w:type="dxa" w:w="3213"/>
          </w:tcPr>
          <w:p>
            <w:pPr>
              <w:spacing w:before="20" w:after="20"/>
            </w:pPr>
            <w:r>
              <w:rPr>
                <w:sz w:val="19"/>
              </w:rPr>
              <w:t>Année sur deux chiffres, mois, jour</w:t>
            </w:r>
          </w:p>
        </w:tc>
        <w:tc>
          <w:tcPr>
            <w:tcW w:type="dxa" w:w="3213"/>
          </w:tcPr>
          <w:p>
            <w:pPr>
              <w:spacing w:before="20" w:after="20"/>
            </w:pPr>
            <w:r>
              <w:rPr>
                <w:sz w:val="19"/>
              </w:rPr>
              <w:t>260828</w:t>
            </w:r>
          </w:p>
        </w:tc>
      </w:tr>
      <w:tr>
        <w:tc>
          <w:tcPr>
            <w:tcW w:type="dxa" w:w="3213"/>
          </w:tcPr>
          <w:p>
            <w:pPr>
              <w:spacing w:before="20" w:after="20"/>
            </w:pPr>
            <w:r>
              <w:rPr>
                <w:sz w:val="19"/>
              </w:rPr>
              <w:t>Heure</w:t>
            </w:r>
          </w:p>
        </w:tc>
        <w:tc>
          <w:tcPr>
            <w:tcW w:type="dxa" w:w="3213"/>
          </w:tcPr>
          <w:p>
            <w:pPr>
              <w:spacing w:before="20" w:after="20"/>
            </w:pPr>
            <w:r>
              <w:rPr>
                <w:sz w:val="19"/>
              </w:rPr>
              <w:t>Heures, minutes, secondes</w:t>
            </w:r>
          </w:p>
        </w:tc>
        <w:tc>
          <w:tcPr>
            <w:tcW w:type="dxa" w:w="3213"/>
          </w:tcPr>
          <w:p>
            <w:pPr>
              <w:spacing w:before="20" w:after="20"/>
            </w:pPr>
            <w:r>
              <w:rPr>
                <w:sz w:val="19"/>
              </w:rPr>
              <w:t>105301</w:t>
            </w:r>
          </w:p>
        </w:tc>
      </w:tr>
      <w:tr>
        <w:tc>
          <w:tcPr>
            <w:tcW w:type="dxa" w:w="3213"/>
          </w:tcPr>
          <w:p>
            <w:pPr>
              <w:spacing w:before="20" w:after="20"/>
            </w:pPr>
            <w:r>
              <w:rPr>
                <w:sz w:val="19"/>
              </w:rPr>
              <w:t>Mois</w:t>
            </w:r>
          </w:p>
        </w:tc>
        <w:tc>
          <w:tcPr>
            <w:tcW w:type="dxa" w:w="3213"/>
          </w:tcPr>
          <w:p>
            <w:pPr>
              <w:spacing w:before="20" w:after="20"/>
            </w:pPr>
            <w:r>
              <w:rPr>
                <w:sz w:val="19"/>
              </w:rPr>
              <w:t>Mois sur deux chiffres</w:t>
            </w:r>
          </w:p>
        </w:tc>
        <w:tc>
          <w:tcPr>
            <w:tcW w:type="dxa" w:w="3213"/>
          </w:tcPr>
          <w:p>
            <w:pPr>
              <w:spacing w:before="20" w:after="20"/>
            </w:pPr>
            <w:r>
              <w:rPr>
                <w:sz w:val="19"/>
              </w:rPr>
              <w:t>08</w:t>
            </w:r>
          </w:p>
        </w:tc>
      </w:tr>
      <w:tr>
        <w:tc>
          <w:tcPr>
            <w:tcW w:type="dxa" w:w="3213"/>
          </w:tcPr>
          <w:p>
            <w:pPr>
              <w:spacing w:before="20" w:after="20"/>
            </w:pPr>
            <w:r>
              <w:rPr>
                <w:sz w:val="19"/>
              </w:rPr>
              <w:t>Jour</w:t>
            </w:r>
          </w:p>
        </w:tc>
        <w:tc>
          <w:tcPr>
            <w:tcW w:type="dxa" w:w="3213"/>
          </w:tcPr>
          <w:p>
            <w:pPr>
              <w:spacing w:before="20" w:after="20"/>
            </w:pPr>
            <w:r>
              <w:rPr>
                <w:sz w:val="19"/>
              </w:rPr>
              <w:t>Jour sur deux chiffres</w:t>
            </w:r>
          </w:p>
        </w:tc>
        <w:tc>
          <w:tcPr>
            <w:tcW w:type="dxa" w:w="3213"/>
          </w:tcPr>
          <w:p>
            <w:pPr>
              <w:spacing w:before="20" w:after="20"/>
            </w:pPr>
            <w:r>
              <w:rPr>
                <w:sz w:val="19"/>
              </w:rPr>
              <w:t>28</w:t>
            </w:r>
          </w:p>
        </w:tc>
      </w:tr>
      <w:tr>
        <w:tc>
          <w:tcPr>
            <w:tcW w:type="dxa" w:w="3213"/>
          </w:tcPr>
          <w:p>
            <w:pPr>
              <w:spacing w:before="20" w:after="20"/>
            </w:pPr>
            <w:r>
              <w:rPr>
                <w:sz w:val="19"/>
              </w:rPr>
              <w:t>Année</w:t>
            </w:r>
          </w:p>
        </w:tc>
        <w:tc>
          <w:tcPr>
            <w:tcW w:type="dxa" w:w="3213"/>
          </w:tcPr>
          <w:p>
            <w:pPr>
              <w:spacing w:before="20" w:after="20"/>
            </w:pPr>
            <w:r>
              <w:rPr>
                <w:sz w:val="19"/>
              </w:rPr>
              <w:t>Année sur deux chiffres</w:t>
            </w:r>
          </w:p>
        </w:tc>
        <w:tc>
          <w:tcPr>
            <w:tcW w:type="dxa" w:w="3213"/>
          </w:tcPr>
          <w:p>
            <w:pPr>
              <w:spacing w:before="20" w:after="20"/>
            </w:pPr>
            <w:r>
              <w:rPr>
                <w:sz w:val="19"/>
              </w:rPr>
              <w:t>26</w:t>
            </w:r>
          </w:p>
        </w:tc>
      </w:tr>
    </w:tbl>
    <w:p>
      <w:pPr>
        <w:spacing w:after="40"/>
      </w:pPr>
    </w:p>
    <w:p>
      <w:pPr/>
      <w:r>
        <w:rPr>
          <w:b/>
        </w:rPr>
        <w:t xml:space="preserve">Le séparateur — </w:t>
      </w:r>
      <w:r>
        <w:t xml:space="preserve">le caractère qui joint les jetons, déclaré sur le plan. Il vaut le tiret bas par défaut. Il sert deux fois : pour </w:t>
      </w:r>
      <w:r>
        <w:rPr>
          <w:b/>
        </w:rPr>
        <w:t>composer</w:t>
      </w:r>
      <w:r>
        <w:t xml:space="preserve"> le nom du document, et pour </w:t>
      </w:r>
      <w:r>
        <w:rPr>
          <w:b/>
        </w:rPr>
        <w:t>découper</w:t>
      </w:r>
      <w:r>
        <w:t xml:space="preserve"> le nom du fichier remis lors de l'analyse.</w:t>
      </w:r>
    </w:p>
    <w:p>
      <w:pPr/>
      <w:r>
        <w:rPr>
          <w:b/>
        </w:rPr>
        <w:t xml:space="preserve">La charte manuelle — </w:t>
      </w:r>
      <w:r>
        <w:t>un plan peut déclarer que le nom n'est pas composé. L'opérateur saisit alors librement le nom du document, et aucune recomposition n'a lieu.</w:t>
      </w:r>
    </w:p>
    <w:p>
      <w:pPr>
        <w:pStyle w:val="Heading2"/>
      </w:pPr>
      <w:r>
        <w:t>2.4 La référence composée et le nom du document</w:t>
      </w:r>
    </w:p>
    <w:p>
      <w:pPr/>
      <w:r>
        <w:t>Ces deux notions se ressemblent et la fenêtre les affiche toutes les deux. L'écart est voulu et doit être compris.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r>
          </w:p>
        </w:tc>
        <w:tc>
          <w:tcPr>
            <w:tcW w:type="dxa" w:w="3213"/>
          </w:tcPr>
          <w:p>
            <w:pPr>
              <w:spacing w:before="20" w:after="20"/>
            </w:pPr>
            <w:r>
              <w:rPr>
                <w:b/>
                <w:sz w:val="19"/>
              </w:rPr>
              <w:t>La référence composée</w:t>
            </w:r>
          </w:p>
        </w:tc>
        <w:tc>
          <w:tcPr>
            <w:tcW w:type="dxa" w:w="3213"/>
          </w:tcPr>
          <w:p>
            <w:pPr>
              <w:spacing w:before="20" w:after="20"/>
            </w:pPr>
            <w:r>
              <w:rPr>
                <w:b/>
                <w:sz w:val="19"/>
              </w:rPr>
              <w:t>Le nom du document</w:t>
            </w:r>
          </w:p>
        </w:tc>
      </w:tr>
      <w:tr>
        <w:tc>
          <w:tcPr>
            <w:tcW w:type="dxa" w:w="3213"/>
          </w:tcPr>
          <w:p>
            <w:pPr>
              <w:spacing w:before="20" w:after="20"/>
            </w:pPr>
            <w:r>
              <w:rPr>
                <w:sz w:val="19"/>
              </w:rPr>
              <w:t>Ce qu'elle joint</w:t>
            </w:r>
          </w:p>
        </w:tc>
        <w:tc>
          <w:tcPr>
            <w:tcW w:type="dxa" w:w="3213"/>
          </w:tcPr>
          <w:p>
            <w:pPr>
              <w:spacing w:before="20" w:after="20"/>
            </w:pPr>
            <w:r>
              <w:rPr>
                <w:sz w:val="19"/>
              </w:rPr>
              <w:t>Uniquement les valeurs d'index.</w:t>
            </w:r>
          </w:p>
        </w:tc>
        <w:tc>
          <w:tcPr>
            <w:tcW w:type="dxa" w:w="3213"/>
          </w:tcPr>
          <w:p>
            <w:pPr>
              <w:spacing w:before="20" w:after="20"/>
            </w:pPr>
            <w:r>
              <w:rPr>
                <w:sz w:val="19"/>
              </w:rPr>
              <w:t>Les valeurs d'index et les jetons système de la charte.</w:t>
            </w:r>
          </w:p>
        </w:tc>
      </w:tr>
      <w:tr>
        <w:tc>
          <w:tcPr>
            <w:tcW w:type="dxa" w:w="3213"/>
          </w:tcPr>
          <w:p>
            <w:pPr>
              <w:spacing w:before="20" w:after="20"/>
            </w:pPr>
            <w:r>
              <w:rPr>
                <w:sz w:val="19"/>
              </w:rPr>
              <w:t>Où elle s'affiche</w:t>
            </w:r>
          </w:p>
        </w:tc>
        <w:tc>
          <w:tcPr>
            <w:tcW w:type="dxa" w:w="3213"/>
          </w:tcPr>
          <w:p>
            <w:pPr>
              <w:spacing w:before="20" w:after="20"/>
            </w:pPr>
            <w:r>
              <w:rPr>
                <w:sz w:val="19"/>
              </w:rPr>
              <w:t>Dans le bloc « Référence composée », sous la grille des champs.</w:t>
            </w:r>
          </w:p>
        </w:tc>
        <w:tc>
          <w:tcPr>
            <w:tcW w:type="dxa" w:w="3213"/>
          </w:tcPr>
          <w:p>
            <w:pPr>
              <w:spacing w:before="20" w:after="20"/>
            </w:pPr>
            <w:r>
              <w:rPr>
                <w:sz w:val="19"/>
              </w:rPr>
              <w:t>Dans le champ « Nom du document ».</w:t>
            </w:r>
          </w:p>
        </w:tc>
      </w:tr>
      <w:tr>
        <w:tc>
          <w:tcPr>
            <w:tcW w:type="dxa" w:w="3213"/>
          </w:tcPr>
          <w:p>
            <w:pPr>
              <w:spacing w:before="20" w:after="20"/>
            </w:pPr>
            <w:r>
              <w:rPr>
                <w:sz w:val="19"/>
              </w:rPr>
              <w:t>Champ vide</w:t>
            </w:r>
          </w:p>
        </w:tc>
        <w:tc>
          <w:tcPr>
            <w:tcW w:type="dxa" w:w="3213"/>
          </w:tcPr>
          <w:p>
            <w:pPr>
              <w:spacing w:before="20" w:after="20"/>
            </w:pPr>
            <w:r>
              <w:rPr>
                <w:sz w:val="19"/>
              </w:rPr>
              <w:t>Représenté par un point d'interrogation.</w:t>
            </w:r>
          </w:p>
        </w:tc>
        <w:tc>
          <w:tcPr>
            <w:tcW w:type="dxa" w:w="3213"/>
          </w:tcPr>
          <w:p>
            <w:pPr>
              <w:spacing w:before="20" w:after="20"/>
            </w:pPr>
            <w:r>
              <w:rPr>
                <w:sz w:val="19"/>
              </w:rPr>
              <w:t>Le jeton est omis dans le nom réellement enregistré.</w:t>
            </w:r>
          </w:p>
        </w:tc>
      </w:tr>
      <w:tr>
        <w:tc>
          <w:tcPr>
            <w:tcW w:type="dxa" w:w="3213"/>
          </w:tcPr>
          <w:p>
            <w:pPr>
              <w:spacing w:before="20" w:after="20"/>
            </w:pPr>
            <w:r>
              <w:rPr>
                <w:sz w:val="19"/>
              </w:rPr>
              <w:t>Rôle</w:t>
            </w:r>
          </w:p>
        </w:tc>
        <w:tc>
          <w:tcPr>
            <w:tcW w:type="dxa" w:w="3213"/>
          </w:tcPr>
          <w:p>
            <w:pPr>
              <w:spacing w:before="20" w:after="20"/>
            </w:pPr>
            <w:r>
              <w:rPr>
                <w:sz w:val="19"/>
              </w:rPr>
              <w:t>Un repère de lecture pendant la saisie.</w:t>
            </w:r>
          </w:p>
        </w:tc>
        <w:tc>
          <w:tcPr>
            <w:tcW w:type="dxa" w:w="3213"/>
          </w:tcPr>
          <w:p>
            <w:pPr>
              <w:spacing w:before="20" w:after="20"/>
            </w:pPr>
            <w:r>
              <w:rPr>
                <w:sz w:val="19"/>
              </w:rPr>
              <w:t>L'identité affichée du document dans tout le reste de l'application.</w:t>
            </w:r>
          </w:p>
        </w:tc>
      </w:tr>
    </w:tbl>
    <w:p>
      <w:pPr>
        <w:spacing w:after="40"/>
      </w:pPr>
    </w:p>
    <w:p>
      <w:pPr/>
      <w:r>
        <w:rPr>
          <w:b/>
          <w:color w:val="8A3333"/>
          <w:sz w:val="20"/>
        </w:rPr>
        <w:t>Elles peuvent diverger, et c'est normal</w:t>
      </w:r>
    </w:p>
    <w:p>
      <w:pPr>
        <w:ind w:left="283"/>
      </w:pPr>
      <w:r>
        <w:rPr>
          <w:i/>
          <w:sz w:val="20"/>
        </w:rPr>
        <w:t>Une référence peut afficher « 2026003_ACME_? » pendant que le nom du document affiche « 260828_2026003_ACME ». Ce n'est pas une incohérence : la référence ne porte que les index, le nom y ajoute la date du jour calculée par l'application, et il omet ce qui manque au lieu de le marquer.</w:t>
      </w:r>
    </w:p>
    <w:p>
      <w:pPr>
        <w:pStyle w:val="Heading2"/>
      </w:pPr>
      <w:r>
        <w:t>2.5 L'indexation automatique et la provenance d'une valeur</w:t>
      </w:r>
    </w:p>
    <w:p>
      <w:pPr/>
      <w:r>
        <w:rPr>
          <w:b/>
        </w:rPr>
        <w:t xml:space="preserve">L'indexation automatique — </w:t>
      </w:r>
      <w:r>
        <w:t xml:space="preserve">un interrupteur qui décide </w:t>
      </w:r>
      <w:r>
        <w:rPr>
          <w:b/>
        </w:rPr>
        <w:t>qui remplit les champs</w:t>
      </w:r>
      <w:r>
        <w:t>. Actif, l'application lit le fichier et propose des valeurs. Coupé, les champs restent vides et l'opérateur saisit lui-même. Dans les deux cas les champs restent modifiables : ce sont des propositions, jamais des verdicts.</w:t>
      </w:r>
    </w:p>
    <w:p>
      <w:pPr/>
      <w:r>
        <w:rPr>
          <w:b/>
        </w:rPr>
        <w:t xml:space="preserve">La provenance — </w:t>
      </w:r>
      <w:r>
        <w:t>l'origine de la valeur proposée. Elle est affichée pour chaque champ afin que l'opérateur sache quelle confiance lui accorder.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Mention affichée</w:t>
            </w:r>
          </w:p>
        </w:tc>
        <w:tc>
          <w:tcPr>
            <w:tcW w:type="dxa" w:w="3213"/>
          </w:tcPr>
          <w:p>
            <w:pPr>
              <w:spacing w:before="20" w:after="20"/>
            </w:pPr>
            <w:r>
              <w:rPr>
                <w:b/>
                <w:sz w:val="19"/>
              </w:rPr>
              <w:t>Ce qu'elle signifie</w:t>
            </w:r>
          </w:p>
        </w:tc>
        <w:tc>
          <w:tcPr>
            <w:tcW w:type="dxa" w:w="3213"/>
          </w:tcPr>
          <w:p>
            <w:pPr>
              <w:spacing w:before="20" w:after="20"/>
            </w:pPr>
            <w:r>
              <w:rPr>
                <w:b/>
                <w:sz w:val="19"/>
              </w:rPr>
              <w:t>Fiabilité</w:t>
            </w:r>
          </w:p>
        </w:tc>
      </w:tr>
      <w:tr>
        <w:tc>
          <w:tcPr>
            <w:tcW w:type="dxa" w:w="3213"/>
          </w:tcPr>
          <w:p>
            <w:pPr>
              <w:spacing w:before="20" w:after="20"/>
            </w:pPr>
            <w:r>
              <w:rPr>
                <w:sz w:val="19"/>
              </w:rPr>
              <w:t>nom du fichier</w:t>
            </w:r>
          </w:p>
        </w:tc>
        <w:tc>
          <w:tcPr>
            <w:tcW w:type="dxa" w:w="3213"/>
          </w:tcPr>
          <w:p>
            <w:pPr>
              <w:spacing w:before="20" w:after="20"/>
            </w:pPr>
            <w:r>
              <w:rPr>
                <w:sz w:val="19"/>
              </w:rPr>
              <w:t>La valeur a été déduite en découpant le nom du fichier selon le séparateur du plan.</w:t>
            </w:r>
          </w:p>
        </w:tc>
        <w:tc>
          <w:tcPr>
            <w:tcW w:type="dxa" w:w="3213"/>
          </w:tcPr>
          <w:p>
            <w:pPr>
              <w:spacing w:before="20" w:after="20"/>
            </w:pPr>
            <w:r>
              <w:rPr>
                <w:sz w:val="19"/>
              </w:rPr>
              <w:t>Bonne, si la charte de nommage des fichiers est respectée par les émetteurs.</w:t>
            </w:r>
          </w:p>
        </w:tc>
      </w:tr>
      <w:tr>
        <w:tc>
          <w:tcPr>
            <w:tcW w:type="dxa" w:w="3213"/>
          </w:tcPr>
          <w:p>
            <w:pPr>
              <w:spacing w:before="20" w:after="20"/>
            </w:pPr>
            <w:r>
              <w:rPr>
                <w:sz w:val="19"/>
              </w:rPr>
              <w:t>lu dans le document</w:t>
            </w:r>
          </w:p>
        </w:tc>
        <w:tc>
          <w:tcPr>
            <w:tcW w:type="dxa" w:w="3213"/>
          </w:tcPr>
          <w:p>
            <w:pPr>
              <w:spacing w:before="20" w:after="20"/>
            </w:pPr>
            <w:r>
              <w:rPr>
                <w:sz w:val="19"/>
              </w:rPr>
              <w:t>Le nom du fichier n'a pas suffi ; l'application a ouvert le document et lu son contenu.</w:t>
            </w:r>
          </w:p>
        </w:tc>
        <w:tc>
          <w:tcPr>
            <w:tcW w:type="dxa" w:w="3213"/>
          </w:tcPr>
          <w:p>
            <w:pPr>
              <w:spacing w:before="20" w:after="20"/>
            </w:pPr>
            <w:r>
              <w:rPr>
                <w:sz w:val="19"/>
              </w:rPr>
              <w:t>Variable : voir la provenance du texte ci-dessous.</w:t>
            </w:r>
          </w:p>
        </w:tc>
      </w:tr>
      <w:tr>
        <w:tc>
          <w:tcPr>
            <w:tcW w:type="dxa" w:w="3213"/>
          </w:tcPr>
          <w:p>
            <w:pPr>
              <w:spacing w:before="20" w:after="20"/>
            </w:pPr>
            <w:r>
              <w:rPr>
                <w:sz w:val="19"/>
              </w:rPr>
              <w:t>à saisir</w:t>
            </w:r>
          </w:p>
        </w:tc>
        <w:tc>
          <w:tcPr>
            <w:tcW w:type="dxa" w:w="3213"/>
          </w:tcPr>
          <w:p>
            <w:pPr>
              <w:spacing w:before="20" w:after="20"/>
            </w:pPr>
            <w:r>
              <w:rPr>
                <w:sz w:val="19"/>
              </w:rPr>
              <w:t>Ni le nom ni le contenu n'ont permis de conclure. L'infobulle donne la raison précise du rejet.</w:t>
            </w:r>
          </w:p>
        </w:tc>
        <w:tc>
          <w:tcPr>
            <w:tcW w:type="dxa" w:w="3213"/>
          </w:tcPr>
          <w:p>
            <w:pPr>
              <w:spacing w:before="20" w:after="20"/>
            </w:pPr>
            <w:r>
              <w:rPr>
                <w:sz w:val="19"/>
              </w:rPr>
              <w:t>Sans objet : la valeur reste à la charge de l'opérateur.</w:t>
            </w:r>
          </w:p>
        </w:tc>
      </w:tr>
    </w:tbl>
    <w:p>
      <w:pPr>
        <w:spacing w:after="40"/>
      </w:pPr>
    </w:p>
    <w:p>
      <w:pPr/>
      <w:r>
        <w:rPr>
          <w:b/>
        </w:rPr>
        <w:t xml:space="preserve">La provenance du texte — </w:t>
      </w:r>
      <w:r>
        <w:t xml:space="preserve">quand le contenu a été lu, l'écran précise </w:t>
      </w:r>
      <w:r>
        <w:rPr>
          <w:b/>
        </w:rPr>
        <w:t>comment</w:t>
      </w:r>
      <w:r>
        <w:t>. « Contenu lu — couche texte du PDF » désigne un texte natif, fiable. « Contenu lu — reconnaissance optique (scan) » désigne une lecture d'image, suivie de l'avertissement « relisez ces valeurs, la reconnaissance peut se tromper ». Taire cette distinction reviendrait à présenter une lecture d'image comme une certitude.</w:t>
      </w:r>
    </w:p>
    <w:p>
      <w:pPr>
        <w:pStyle w:val="Heading2"/>
      </w:pPr>
      <w:r>
        <w:t>2.6 Champ reconnu, champ saisi à la main, champ manquant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Notion</w:t>
            </w:r>
          </w:p>
        </w:tc>
        <w:tc>
          <w:tcPr>
            <w:tcW w:type="dxa" w:w="3213"/>
          </w:tcPr>
          <w:p>
            <w:pPr>
              <w:spacing w:before="20" w:after="20"/>
            </w:pPr>
            <w:r>
              <w:rPr>
                <w:b/>
                <w:sz w:val="19"/>
              </w:rPr>
              <w:t>Définition</w:t>
            </w:r>
          </w:p>
        </w:tc>
        <w:tc>
          <w:tcPr>
            <w:tcW w:type="dxa" w:w="3213"/>
          </w:tcPr>
          <w:p>
            <w:pPr>
              <w:spacing w:before="20" w:after="20"/>
            </w:pPr>
            <w:r>
              <w:rPr>
                <w:b/>
                <w:sz w:val="19"/>
              </w:rPr>
              <w:t>Effet</w:t>
            </w:r>
          </w:p>
        </w:tc>
      </w:tr>
      <w:tr>
        <w:tc>
          <w:tcPr>
            <w:tcW w:type="dxa" w:w="3213"/>
          </w:tcPr>
          <w:p>
            <w:pPr>
              <w:spacing w:before="20" w:after="20"/>
            </w:pPr>
            <w:r>
              <w:rPr>
                <w:sz w:val="19"/>
              </w:rPr>
              <w:t>Champ reconnu</w:t>
            </w:r>
          </w:p>
        </w:tc>
        <w:tc>
          <w:tcPr>
            <w:tcW w:type="dxa" w:w="3213"/>
          </w:tcPr>
          <w:p>
            <w:pPr>
              <w:spacing w:before="20" w:after="20"/>
            </w:pPr>
            <w:r>
              <w:rPr>
                <w:sz w:val="19"/>
              </w:rPr>
              <w:t>L'application a su proposer une valeur, depuis le nom ou depuis le contenu.</w:t>
            </w:r>
          </w:p>
        </w:tc>
        <w:tc>
          <w:tcPr>
            <w:tcW w:type="dxa" w:w="3213"/>
          </w:tcPr>
          <w:p>
            <w:pPr>
              <w:spacing w:before="20" w:after="20"/>
            </w:pPr>
            <w:r>
              <w:rPr>
                <w:sz w:val="19"/>
              </w:rPr>
              <w:t>Compté dans le rapport « n/N champ(s) déduits automatiquement ».</w:t>
            </w:r>
          </w:p>
        </w:tc>
      </w:tr>
      <w:tr>
        <w:tc>
          <w:tcPr>
            <w:tcW w:type="dxa" w:w="3213"/>
          </w:tcPr>
          <w:p>
            <w:pPr>
              <w:spacing w:before="20" w:after="20"/>
            </w:pPr>
            <w:r>
              <w:rPr>
                <w:sz w:val="19"/>
              </w:rPr>
              <w:t>Champ saisi à la main</w:t>
            </w:r>
          </w:p>
        </w:tc>
        <w:tc>
          <w:tcPr>
            <w:tcW w:type="dxa" w:w="3213"/>
          </w:tcPr>
          <w:p>
            <w:pPr>
              <w:spacing w:before="20" w:after="20"/>
            </w:pPr>
            <w:r>
              <w:rPr>
                <w:sz w:val="19"/>
              </w:rPr>
              <w:t>L'opérateur a tapé, choisi ou effacé une valeur dans ce champ.</w:t>
            </w:r>
          </w:p>
        </w:tc>
        <w:tc>
          <w:tcPr>
            <w:tcW w:type="dxa" w:w="3213"/>
          </w:tcPr>
          <w:p>
            <w:pPr>
              <w:spacing w:before="20" w:after="20"/>
            </w:pPr>
            <w:r>
              <w:rPr>
                <w:sz w:val="19"/>
              </w:rPr>
              <w:t>Ce champ lui appartient définitivement : plus aucune proposition ne l'écrasera.</w:t>
            </w:r>
          </w:p>
        </w:tc>
      </w:tr>
      <w:tr>
        <w:tc>
          <w:tcPr>
            <w:tcW w:type="dxa" w:w="3213"/>
          </w:tcPr>
          <w:p>
            <w:pPr>
              <w:spacing w:before="20" w:after="20"/>
            </w:pPr>
            <w:r>
              <w:rPr>
                <w:sz w:val="19"/>
              </w:rPr>
              <w:t>Champ manquant</w:t>
            </w:r>
          </w:p>
        </w:tc>
        <w:tc>
          <w:tcPr>
            <w:tcW w:type="dxa" w:w="3213"/>
          </w:tcPr>
          <w:p>
            <w:pPr>
              <w:spacing w:before="20" w:after="20"/>
            </w:pPr>
            <w:r>
              <w:rPr>
                <w:sz w:val="19"/>
              </w:rPr>
              <w:t>Le champ est vide au moment du dépôt.</w:t>
            </w:r>
          </w:p>
        </w:tc>
        <w:tc>
          <w:tcPr>
            <w:tcW w:type="dxa" w:w="3213"/>
          </w:tcPr>
          <w:p>
            <w:pPr>
              <w:spacing w:before="20" w:after="20"/>
            </w:pPr>
            <w:r>
              <w:rPr>
                <w:sz w:val="19"/>
              </w:rPr>
              <w:t>S'il est facultatif, il compte dans « N champ(s) non renseigné(s) » et le dépôt reste possible. S'il est obligatoire, il compte dans « N champ(s) obligatoire(s) à renseigner » et le dépôt est bloqué.</w:t>
            </w:r>
          </w:p>
        </w:tc>
      </w:tr>
    </w:tbl>
    <w:p>
      <w:pPr>
        <w:spacing w:after="40"/>
      </w:pPr>
    </w:p>
    <w:p>
      <w:pPr>
        <w:pStyle w:val="Heading2"/>
      </w:pPr>
      <w:r>
        <w:t>2.7 Les trois issues du dépôt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Issue</w:t>
            </w:r>
          </w:p>
        </w:tc>
        <w:tc>
          <w:tcPr>
            <w:tcW w:type="dxa" w:w="3213"/>
          </w:tcPr>
          <w:p>
            <w:pPr>
              <w:spacing w:before="20" w:after="20"/>
            </w:pPr>
            <w:r>
              <w:rPr>
                <w:b/>
                <w:sz w:val="19"/>
              </w:rPr>
              <w:t>Ce qu'elle signifie</w:t>
            </w:r>
          </w:p>
        </w:tc>
        <w:tc>
          <w:tcPr>
            <w:tcW w:type="dxa" w:w="3213"/>
          </w:tcPr>
          <w:p>
            <w:pPr>
              <w:spacing w:before="20" w:after="20"/>
            </w:pPr>
            <w:r>
              <w:rPr>
                <w:b/>
                <w:sz w:val="19"/>
              </w:rPr>
              <w:t>Message affiché à la fermeture</w:t>
            </w:r>
          </w:p>
        </w:tc>
      </w:tr>
      <w:tr>
        <w:tc>
          <w:tcPr>
            <w:tcW w:type="dxa" w:w="3213"/>
          </w:tcPr>
          <w:p>
            <w:pPr>
              <w:spacing w:before="20" w:after="20"/>
            </w:pPr>
            <w:r>
              <w:rPr>
                <w:sz w:val="19"/>
              </w:rPr>
              <w:t>Indexé</w:t>
            </w:r>
          </w:p>
        </w:tc>
        <w:tc>
          <w:tcPr>
            <w:tcW w:type="dxa" w:w="3213"/>
          </w:tcPr>
          <w:p>
            <w:pPr>
              <w:spacing w:before="20" w:after="20"/>
            </w:pPr>
            <w:r>
              <w:rPr>
                <w:sz w:val="19"/>
              </w:rPr>
              <w:t>Le document est déposé et ses index sont enregistrés.</w:t>
            </w:r>
          </w:p>
        </w:tc>
        <w:tc>
          <w:tcPr>
            <w:tcW w:type="dxa" w:w="3213"/>
          </w:tcPr>
          <w:p>
            <w:pPr>
              <w:spacing w:before="20" w:after="20"/>
            </w:pPr>
            <w:r>
              <w:rPr>
                <w:sz w:val="19"/>
              </w:rPr>
              <w:t>Document déposé, indexé, et circuit de signature lancé.</w:t>
            </w:r>
          </w:p>
        </w:tc>
      </w:tr>
      <w:tr>
        <w:tc>
          <w:tcPr>
            <w:tcW w:type="dxa" w:w="3213"/>
          </w:tcPr>
          <w:p>
            <w:pPr>
              <w:spacing w:before="20" w:after="20"/>
            </w:pPr>
            <w:r>
              <w:rPr>
                <w:sz w:val="19"/>
              </w:rPr>
              <w:t>Sans plan</w:t>
            </w:r>
          </w:p>
        </w:tc>
        <w:tc>
          <w:tcPr>
            <w:tcW w:type="dxa" w:w="3213"/>
          </w:tcPr>
          <w:p>
            <w:pPr>
              <w:spacing w:before="20" w:after="20"/>
            </w:pPr>
            <w:r>
              <w:rPr>
                <w:sz w:val="19"/>
              </w:rPr>
              <w:t>Le document est déposé ; son type n'a pas de plan, il n'y avait aucun index à saisir.</w:t>
            </w:r>
          </w:p>
        </w:tc>
        <w:tc>
          <w:tcPr>
            <w:tcW w:type="dxa" w:w="3213"/>
          </w:tcPr>
          <w:p>
            <w:pPr>
              <w:spacing w:before="20" w:after="20"/>
            </w:pPr>
            <w:r>
              <w:rPr>
                <w:sz w:val="19"/>
              </w:rPr>
              <w:t>Document déposé et circuit lancé. Son type n'a pas de plan d'indexation : aucun index à renseigner.</w:t>
            </w:r>
          </w:p>
        </w:tc>
      </w:tr>
      <w:tr>
        <w:tc>
          <w:tcPr>
            <w:tcW w:type="dxa" w:w="3213"/>
          </w:tcPr>
          <w:p>
            <w:pPr>
              <w:spacing w:before="20" w:after="20"/>
            </w:pPr>
            <w:r>
              <w:rPr>
                <w:sz w:val="19"/>
              </w:rPr>
              <w:t>À indexer</w:t>
            </w:r>
          </w:p>
        </w:tc>
        <w:tc>
          <w:tcPr>
            <w:tcW w:type="dxa" w:w="3213"/>
          </w:tcPr>
          <w:p>
            <w:pPr>
              <w:spacing w:before="20" w:after="20"/>
            </w:pPr>
            <w:r>
              <w:rPr>
                <w:sz w:val="19"/>
              </w:rPr>
              <w:t>Le document est déposé, mais l'enregistrement des index n'a pas abouti.</w:t>
            </w:r>
          </w:p>
        </w:tc>
        <w:tc>
          <w:tcPr>
            <w:tcW w:type="dxa" w:w="3213"/>
          </w:tcPr>
          <w:p>
            <w:pPr>
              <w:spacing w:before="20" w:after="20"/>
            </w:pPr>
            <w:r>
              <w:rPr>
                <w:sz w:val="19"/>
              </w:rPr>
              <w:t>Document déposé et circuit lancé, mais il reste à indexer.</w:t>
            </w:r>
          </w:p>
        </w:tc>
      </w:tr>
    </w:tbl>
    <w:p>
      <w:pPr>
        <w:spacing w:after="40"/>
      </w:pPr>
    </w:p>
    <w:p>
      <w:pPr/>
      <w:r>
        <w:t>L'écran d'accueil de la liste affiche exactement l'un de ces trois messages, et un seul. Un document déposé sans index ne doit jamais être annoncé comme indexé.</w:t>
      </w:r>
    </w:p>
    <w:p>
      <w:pPr>
        <w:pStyle w:val="Heading1"/>
      </w:pPr>
      <w:r>
        <w:t>3. Ce que l'utilisateur voit</w:t>
      </w:r>
    </w:p>
    <w:p>
      <w:pPr/>
      <w:r>
        <w:t>Le dépôt se fait dans une fenêtre modale intitulée « Téléverser un document », ouverte depuis le bouton du même nom sur l'écran « Documents ». Elle est composée de blocs qui apparaissent au fur et à mesure des choix.</w:t>
      </w:r>
    </w:p>
    <w:p>
      <w:pPr>
        <w:pStyle w:val="Heading2"/>
      </w:pPr>
      <w:r>
        <w:t>3.1 Le bloc « Type de document »</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Contenu</w:t>
            </w:r>
          </w:p>
        </w:tc>
        <w:tc>
          <w:tcPr>
            <w:tcW w:type="dxa" w:w="3213"/>
          </w:tcPr>
          <w:p>
            <w:pPr>
              <w:spacing w:before="20" w:after="20"/>
            </w:pPr>
            <w:r>
              <w:rPr>
                <w:b/>
                <w:sz w:val="19"/>
              </w:rPr>
              <w:t>Ce qu'il apprend</w:t>
            </w:r>
          </w:p>
        </w:tc>
      </w:tr>
      <w:tr>
        <w:tc>
          <w:tcPr>
            <w:tcW w:type="dxa" w:w="3213"/>
          </w:tcPr>
          <w:p>
            <w:pPr>
              <w:spacing w:before="20" w:after="20"/>
            </w:pPr>
            <w:r>
              <w:rPr>
                <w:sz w:val="19"/>
              </w:rPr>
              <w:t>Sélecteur « Type de document »</w:t>
            </w:r>
          </w:p>
        </w:tc>
        <w:tc>
          <w:tcPr>
            <w:tcW w:type="dxa" w:w="3213"/>
          </w:tcPr>
          <w:p>
            <w:pPr>
              <w:spacing w:before="20" w:after="20"/>
            </w:pPr>
            <w:r>
              <w:rPr>
                <w:sz w:val="19"/>
              </w:rPr>
              <w:t>La liste des types de document actifs.</w:t>
            </w:r>
          </w:p>
        </w:tc>
        <w:tc>
          <w:tcPr>
            <w:tcW w:type="dxa" w:w="3213"/>
          </w:tcPr>
          <w:p>
            <w:pPr>
              <w:spacing w:before="20" w:after="20"/>
            </w:pPr>
            <w:r>
              <w:rPr>
                <w:sz w:val="19"/>
              </w:rPr>
              <w:t>C'est le premier geste et il est obligatoire.</w:t>
            </w:r>
          </w:p>
        </w:tc>
      </w:tr>
      <w:tr>
        <w:tc>
          <w:tcPr>
            <w:tcW w:type="dxa" w:w="3213"/>
          </w:tcPr>
          <w:p>
            <w:pPr>
              <w:spacing w:before="20" w:after="20"/>
            </w:pPr>
            <w:r>
              <w:rPr>
                <w:sz w:val="19"/>
              </w:rPr>
              <w:t>Aide sous le champ</w:t>
            </w:r>
          </w:p>
        </w:tc>
        <w:tc>
          <w:tcPr>
            <w:tcW w:type="dxa" w:w="3213"/>
          </w:tcPr>
          <w:p>
            <w:pPr>
              <w:spacing w:before="20" w:after="20"/>
            </w:pPr>
            <w:r>
              <w:rPr>
                <w:sz w:val="19"/>
              </w:rPr>
              <w:t>« Il commande le dossier, les formats acceptés et les index à renseigner »</w:t>
            </w:r>
          </w:p>
        </w:tc>
        <w:tc>
          <w:tcPr>
            <w:tcW w:type="dxa" w:w="3213"/>
          </w:tcPr>
          <w:p>
            <w:pPr>
              <w:spacing w:before="20" w:after="20"/>
            </w:pPr>
            <w:r>
              <w:rPr>
                <w:sz w:val="19"/>
              </w:rPr>
              <w:t>L'opérateur comprend pourquoi ce choix vient en premier et ce qu'il engage.</w:t>
            </w:r>
          </w:p>
        </w:tc>
      </w:tr>
      <w:tr>
        <w:tc>
          <w:tcPr>
            <w:tcW w:type="dxa" w:w="3213"/>
          </w:tcPr>
          <w:p>
            <w:pPr>
              <w:spacing w:before="20" w:after="20"/>
            </w:pPr>
            <w:r>
              <w:rPr>
                <w:sz w:val="19"/>
              </w:rPr>
              <w:t>Erreur</w:t>
            </w:r>
          </w:p>
        </w:tc>
        <w:tc>
          <w:tcPr>
            <w:tcW w:type="dxa" w:w="3213"/>
          </w:tcPr>
          <w:p>
            <w:pPr>
              <w:spacing w:before="20" w:after="20"/>
            </w:pPr>
            <w:r>
              <w:rPr>
                <w:sz w:val="19"/>
              </w:rPr>
              <w:t>« Le type de document est obligatoire »</w:t>
            </w:r>
          </w:p>
        </w:tc>
        <w:tc>
          <w:tcPr>
            <w:tcW w:type="dxa" w:w="3213"/>
          </w:tcPr>
          <w:p>
            <w:pPr>
              <w:spacing w:before="20" w:after="20"/>
            </w:pPr>
            <w:r>
              <w:rPr>
                <w:sz w:val="19"/>
              </w:rPr>
              <w:t>Affichée seulement après une tentative de validation ou après avoir quitté le champ.</w:t>
            </w:r>
          </w:p>
        </w:tc>
      </w:tr>
      <w:tr>
        <w:tc>
          <w:tcPr>
            <w:tcW w:type="dxa" w:w="3213"/>
          </w:tcPr>
          <w:p>
            <w:pPr>
              <w:spacing w:before="20" w:after="20"/>
            </w:pPr>
            <w:r>
              <w:rPr>
                <w:sz w:val="19"/>
              </w:rPr>
              <w:t>Avertissement de type sans plan</w:t>
            </w:r>
          </w:p>
        </w:tc>
        <w:tc>
          <w:tcPr>
            <w:tcW w:type="dxa" w:w="3213"/>
          </w:tcPr>
          <w:p>
            <w:pPr>
              <w:spacing w:before="20" w:after="20"/>
            </w:pPr>
            <w:r>
              <w:rPr>
                <w:sz w:val="19"/>
              </w:rPr>
              <w:t>« Le type &lt;nom&gt; n'a pas de plan d'indexation : le document sera déposé sans aucun index. »</w:t>
            </w:r>
          </w:p>
        </w:tc>
        <w:tc>
          <w:tcPr>
            <w:tcW w:type="dxa" w:w="3213"/>
          </w:tcPr>
          <w:p>
            <w:pPr>
              <w:spacing w:before="20" w:after="20"/>
            </w:pPr>
            <w:r>
              <w:rPr>
                <w:sz w:val="19"/>
              </w:rPr>
              <w:t>L'opérateur sait immédiatement qu'aucune information ne lui sera demandée, plutôt que de s'étonner de ne rien voir apparaître.</w:t>
            </w:r>
          </w:p>
        </w:tc>
      </w:tr>
    </w:tbl>
    <w:p>
      <w:pPr>
        <w:spacing w:after="40"/>
      </w:pPr>
    </w:p>
    <w:p>
      <w:pPr>
        <w:pStyle w:val="Heading2"/>
      </w:pPr>
      <w:r>
        <w:t>3.2 Le bloc « Fichier »</w:t>
      </w:r>
    </w:p>
    <w:p>
      <w:pPr/>
      <w:r>
        <w:t>Un bouton « Choisir un fichier » et, à sa droite, le nom du fichier retenu ou la mention « Aucun fichier sélectionné ». Si le fichier est refusé, un message de refus s'affiche immédiatement sous la ligne, avant tout envoi. Une fois le document créé, le bouton est désactivé : changer de fichier après coup n'aurait aucun effet sur ce qui est déjà déposé.</w:t>
      </w:r>
    </w:p>
    <w:p>
      <w:pPr>
        <w:pStyle w:val="Heading2"/>
      </w:pPr>
      <w:r>
        <w:t>3.3 Le bloc d'indexation</w:t>
      </w:r>
    </w:p>
    <w:p>
      <w:pPr/>
      <w:r>
        <w:t>Ce bloc n'apparaît que si le type retenu porte un plan d'indexation. Il se lit de haut en bas.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Contenu</w:t>
            </w:r>
          </w:p>
        </w:tc>
        <w:tc>
          <w:tcPr>
            <w:tcW w:type="dxa" w:w="3213"/>
          </w:tcPr>
          <w:p>
            <w:pPr>
              <w:spacing w:before="20" w:after="20"/>
            </w:pPr>
            <w:r>
              <w:rPr>
                <w:b/>
                <w:sz w:val="19"/>
              </w:rPr>
              <w:t>Ce qu'il apprend</w:t>
            </w:r>
          </w:p>
        </w:tc>
      </w:tr>
      <w:tr>
        <w:tc>
          <w:tcPr>
            <w:tcW w:type="dxa" w:w="3213"/>
          </w:tcPr>
          <w:p>
            <w:pPr>
              <w:spacing w:before="20" w:after="20"/>
            </w:pPr>
            <w:r>
              <w:rPr>
                <w:sz w:val="19"/>
              </w:rPr>
              <w:t>Interrupteur « Indexation automatique »</w:t>
            </w:r>
          </w:p>
        </w:tc>
        <w:tc>
          <w:tcPr>
            <w:tcW w:type="dxa" w:w="3213"/>
          </w:tcPr>
          <w:p>
            <w:pPr>
              <w:spacing w:before="20" w:after="20"/>
            </w:pPr>
            <w:r>
              <w:rPr>
                <w:sz w:val="19"/>
              </w:rPr>
              <w:t>Actif par défaut lorsque la lecture automatique est disponible.</w:t>
            </w:r>
          </w:p>
        </w:tc>
        <w:tc>
          <w:tcPr>
            <w:tcW w:type="dxa" w:w="3213"/>
          </w:tcPr>
          <w:p>
            <w:pPr>
              <w:spacing w:before="20" w:after="20"/>
            </w:pPr>
            <w:r>
              <w:rPr>
                <w:sz w:val="19"/>
              </w:rPr>
              <w:t>Qui remplit les champs : l'application, ou l'opérateur.</w:t>
            </w:r>
          </w:p>
        </w:tc>
      </w:tr>
      <w:tr>
        <w:tc>
          <w:tcPr>
            <w:tcW w:type="dxa" w:w="3213"/>
          </w:tcPr>
          <w:p>
            <w:pPr>
              <w:spacing w:before="20" w:after="20"/>
            </w:pPr>
            <w:r>
              <w:rPr>
                <w:sz w:val="19"/>
              </w:rPr>
              <w:t>Aide de l'interrupteur, position active</w:t>
            </w:r>
          </w:p>
        </w:tc>
        <w:tc>
          <w:tcPr>
            <w:tcW w:type="dxa" w:w="3213"/>
          </w:tcPr>
          <w:p>
            <w:pPr>
              <w:spacing w:before="20" w:after="20"/>
            </w:pPr>
            <w:r>
              <w:rPr>
                <w:sz w:val="19"/>
              </w:rPr>
              <w:t>« La GED déduit les index du fichier. Vous relisez et corrigez avant de déposer. »</w:t>
            </w:r>
          </w:p>
        </w:tc>
        <w:tc>
          <w:tcPr>
            <w:tcW w:type="dxa" w:w="3213"/>
          </w:tcPr>
          <w:p>
            <w:pPr>
              <w:spacing w:before="20" w:after="20"/>
            </w:pPr>
            <w:r>
              <w:rPr>
                <w:sz w:val="19"/>
              </w:rPr>
              <w:t>La proposition n'est pas un verdict : la relecture est attendue.</w:t>
            </w:r>
          </w:p>
        </w:tc>
      </w:tr>
      <w:tr>
        <w:tc>
          <w:tcPr>
            <w:tcW w:type="dxa" w:w="3213"/>
          </w:tcPr>
          <w:p>
            <w:pPr>
              <w:spacing w:before="20" w:after="20"/>
            </w:pPr>
            <w:r>
              <w:rPr>
                <w:sz w:val="19"/>
              </w:rPr>
              <w:t>Aide de l'interrupteur, position coupée</w:t>
            </w:r>
          </w:p>
        </w:tc>
        <w:tc>
          <w:tcPr>
            <w:tcW w:type="dxa" w:w="3213"/>
          </w:tcPr>
          <w:p>
            <w:pPr>
              <w:spacing w:before="20" w:after="20"/>
            </w:pPr>
            <w:r>
              <w:rPr>
                <w:sz w:val="19"/>
              </w:rPr>
              <w:t>« Vous saisissez les index vous-même. Activez pour que la GED tente de les remplir. »</w:t>
            </w:r>
          </w:p>
        </w:tc>
        <w:tc>
          <w:tcPr>
            <w:tcW w:type="dxa" w:w="3213"/>
          </w:tcPr>
          <w:p>
            <w:pPr>
              <w:spacing w:before="20" w:after="20"/>
            </w:pPr>
            <w:r>
              <w:rPr>
                <w:sz w:val="19"/>
              </w:rPr>
              <w:t>L'opérateur sait comment revenir en arrière.</w:t>
            </w:r>
          </w:p>
        </w:tc>
      </w:tr>
      <w:tr>
        <w:tc>
          <w:tcPr>
            <w:tcW w:type="dxa" w:w="3213"/>
          </w:tcPr>
          <w:p>
            <w:pPr>
              <w:spacing w:before="20" w:after="20"/>
            </w:pPr>
            <w:r>
              <w:rPr>
                <w:sz w:val="19"/>
              </w:rPr>
              <w:t>Motif d'indisponibilité</w:t>
            </w:r>
          </w:p>
        </w:tc>
        <w:tc>
          <w:tcPr>
            <w:tcW w:type="dxa" w:w="3213"/>
          </w:tcPr>
          <w:p>
            <w:pPr>
              <w:spacing w:before="20" w:after="20"/>
            </w:pPr>
            <w:r>
              <w:rPr>
                <w:sz w:val="19"/>
              </w:rPr>
              <w:t>« La lecture automatique est désactivée sur ce serveur. »</w:t>
            </w:r>
          </w:p>
        </w:tc>
        <w:tc>
          <w:tcPr>
            <w:tcW w:type="dxa" w:w="3213"/>
          </w:tcPr>
          <w:p>
            <w:pPr>
              <w:spacing w:before="20" w:after="20"/>
            </w:pPr>
            <w:r>
              <w:rPr>
                <w:sz w:val="19"/>
              </w:rPr>
              <w:t>L'interrupteur est alors présenté désactivé et positionné sur « coupé ». Il ne promet pas un remplissage qui n'arrivera pas.</w:t>
            </w:r>
          </w:p>
        </w:tc>
      </w:tr>
      <w:tr>
        <w:tc>
          <w:tcPr>
            <w:tcW w:type="dxa" w:w="3213"/>
          </w:tcPr>
          <w:p>
            <w:pPr>
              <w:spacing w:before="20" w:after="20"/>
            </w:pPr>
            <w:r>
              <w:rPr>
                <w:sz w:val="19"/>
              </w:rPr>
              <w:t>Message d'attente</w:t>
            </w:r>
          </w:p>
        </w:tc>
        <w:tc>
          <w:tcPr>
            <w:tcW w:type="dxa" w:w="3213"/>
          </w:tcPr>
          <w:p>
            <w:pPr>
              <w:spacing w:before="20" w:after="20"/>
            </w:pPr>
            <w:r>
              <w:rPr>
                <w:sz w:val="19"/>
              </w:rPr>
              <w:t>« Lecture du fichier en cours… »</w:t>
            </w:r>
          </w:p>
        </w:tc>
        <w:tc>
          <w:tcPr>
            <w:tcW w:type="dxa" w:w="3213"/>
          </w:tcPr>
          <w:p>
            <w:pPr>
              <w:spacing w:before="20" w:after="20"/>
            </w:pPr>
            <w:r>
              <w:rPr>
                <w:sz w:val="19"/>
              </w:rPr>
              <w:t>L'analyse est en cours ; le bouton de dépôt est provisoirement inactif.</w:t>
            </w:r>
          </w:p>
        </w:tc>
      </w:tr>
      <w:tr>
        <w:tc>
          <w:tcPr>
            <w:tcW w:type="dxa" w:w="3213"/>
          </w:tcPr>
          <w:p>
            <w:pPr>
              <w:spacing w:before="20" w:after="20"/>
            </w:pPr>
            <w:r>
              <w:rPr>
                <w:sz w:val="19"/>
              </w:rPr>
              <w:t>Ligne de charte</w:t>
            </w:r>
          </w:p>
        </w:tc>
        <w:tc>
          <w:tcPr>
            <w:tcW w:type="dxa" w:w="3213"/>
          </w:tcPr>
          <w:p>
            <w:pPr>
              <w:spacing w:before="20" w:after="20"/>
            </w:pPr>
            <w:r>
              <w:rPr>
                <w:sz w:val="19"/>
              </w:rPr>
              <w:t>« Charte &lt;nom du plan&gt; — &lt;n&gt;/&lt;N&gt; champ(s) déduits automatiquement »</w:t>
            </w:r>
          </w:p>
        </w:tc>
        <w:tc>
          <w:tcPr>
            <w:tcW w:type="dxa" w:w="3213"/>
          </w:tcPr>
          <w:p>
            <w:pPr>
              <w:spacing w:before="20" w:after="20"/>
            </w:pPr>
            <w:r>
              <w:rPr>
                <w:sz w:val="19"/>
              </w:rPr>
              <w:t>La couverture de la lecture, d'un coup d'œil.</w:t>
            </w:r>
          </w:p>
        </w:tc>
      </w:tr>
      <w:tr>
        <w:tc>
          <w:tcPr>
            <w:tcW w:type="dxa" w:w="3213"/>
          </w:tcPr>
          <w:p>
            <w:pPr>
              <w:spacing w:before="20" w:after="20"/>
            </w:pPr>
            <w:r>
              <w:rPr>
                <w:sz w:val="19"/>
              </w:rPr>
              <w:t>Ligne de lecture du contenu</w:t>
            </w:r>
          </w:p>
        </w:tc>
        <w:tc>
          <w:tcPr>
            <w:tcW w:type="dxa" w:w="3213"/>
          </w:tcPr>
          <w:p>
            <w:pPr>
              <w:spacing w:before="20" w:after="20"/>
            </w:pPr>
            <w:r>
              <w:rPr>
                <w:sz w:val="19"/>
              </w:rPr>
              <w:t>« Contenu lu — couche texte du PDF » ou « Contenu lu — reconnaissance optique (scan) · relisez ces valeurs, la reconnaissance peut se tromper »</w:t>
            </w:r>
          </w:p>
        </w:tc>
        <w:tc>
          <w:tcPr>
            <w:tcW w:type="dxa" w:w="3213"/>
          </w:tcPr>
          <w:p>
            <w:pPr>
              <w:spacing w:before="20" w:after="20"/>
            </w:pPr>
            <w:r>
              <w:rPr>
                <w:sz w:val="19"/>
              </w:rPr>
              <w:t>N'apparaît que si le contenu a effectivement été lu. Distingue une lecture fiable d'une lecture d'image.</w:t>
            </w:r>
          </w:p>
        </w:tc>
      </w:tr>
      <w:tr>
        <w:tc>
          <w:tcPr>
            <w:tcW w:type="dxa" w:w="3213"/>
          </w:tcPr>
          <w:p>
            <w:pPr>
              <w:spacing w:before="20" w:after="20"/>
            </w:pPr>
            <w:r>
              <w:rPr>
                <w:sz w:val="19"/>
              </w:rPr>
              <w:t>Avertissement de lecture</w:t>
            </w:r>
          </w:p>
        </w:tc>
        <w:tc>
          <w:tcPr>
            <w:tcW w:type="dxa" w:w="3213"/>
          </w:tcPr>
          <w:p>
            <w:pPr>
              <w:spacing w:before="20" w:after="20"/>
            </w:pPr>
            <w:r>
              <w:rPr>
                <w:sz w:val="19"/>
              </w:rPr>
              <w:t>Deux formulations possibles, reproduites en section 7.</w:t>
            </w:r>
          </w:p>
        </w:tc>
        <w:tc>
          <w:tcPr>
            <w:tcW w:type="dxa" w:w="3213"/>
          </w:tcPr>
          <w:p>
            <w:pPr>
              <w:spacing w:before="20" w:after="20"/>
            </w:pPr>
            <w:r>
              <w:rPr>
                <w:sz w:val="19"/>
              </w:rPr>
              <w:t>Ce que la lecture n'a pas su conclure, et ce qu'il reste à faire.</w:t>
            </w:r>
          </w:p>
        </w:tc>
      </w:tr>
    </w:tbl>
    <w:p>
      <w:pPr>
        <w:spacing w:after="40"/>
      </w:pPr>
    </w:p>
    <w:p>
      <w:pPr>
        <w:pStyle w:val="Heading3"/>
      </w:pPr>
      <w:r>
        <w:t>La grille des champs indexés</w:t>
      </w:r>
    </w:p>
    <w:p>
      <w:pPr/>
      <w:r>
        <w:t>Chaque champ occupe une case. En tête de case figurent le libellé de l'index, un astérisque s'il est obligatoire, et — lorsque l'indexation automatique est active — la mention de provenance. Un champ que l'application n'a pas su remplir est visuellement distingué et porte la mention « à saisir » ; l'infobulle de cette mention donne la raison exacte du rejet.</w:t>
      </w:r>
    </w:p>
    <w:p>
      <w:pPr/>
      <w:r>
        <w:t>Sous cette grille, le bloc « Référence composée » montre en permanence la chaîne que les valeurs actuelles produiraient, recalculée à chaque frappe.</w:t>
      </w:r>
    </w:p>
    <w:p>
      <w:pPr>
        <w:pStyle w:val="Heading2"/>
      </w:pPr>
      <w:r>
        <w:t>3.4 Les blocs de fin de formulaire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Champ</w:t>
            </w:r>
          </w:p>
        </w:tc>
        <w:tc>
          <w:tcPr>
            <w:tcW w:type="dxa" w:w="4819"/>
          </w:tcPr>
          <w:p>
            <w:pPr>
              <w:spacing w:before="20" w:after="20"/>
            </w:pPr>
            <w:r>
              <w:rPr>
                <w:b/>
                <w:sz w:val="19"/>
              </w:rPr>
              <w:t>Particularité</w:t>
            </w:r>
          </w:p>
        </w:tc>
      </w:tr>
      <w:tr>
        <w:tc>
          <w:tcPr>
            <w:tcW w:type="dxa" w:w="4819"/>
          </w:tcPr>
          <w:p>
            <w:pPr>
              <w:spacing w:before="20" w:after="20"/>
            </w:pPr>
            <w:r>
              <w:rPr>
                <w:sz w:val="19"/>
              </w:rPr>
              <w:t>Nom du document</w:t>
            </w:r>
          </w:p>
        </w:tc>
        <w:tc>
          <w:tcPr>
            <w:tcW w:type="dxa" w:w="4819"/>
          </w:tcPr>
          <w:p>
            <w:pPr>
              <w:spacing w:before="20" w:after="20"/>
            </w:pPr>
            <w:r>
              <w:rPr>
                <w:sz w:val="19"/>
              </w:rPr>
              <w:t>Si la charte du plan est automatique, le champ est désactivé et son texte indicatif dit « Composé depuis les index » ; l'aide sous le champ précise « Composé au dépôt d'après la charte du plan « &lt;nom&gt; » et les index ci-dessus. » Sinon le champ est saisissable et son texte indicatif dit « Par défaut : le nom du fichier ».</w:t>
            </w:r>
          </w:p>
        </w:tc>
      </w:tr>
      <w:tr>
        <w:tc>
          <w:tcPr>
            <w:tcW w:type="dxa" w:w="4819"/>
          </w:tcPr>
          <w:p>
            <w:pPr>
              <w:spacing w:before="20" w:after="20"/>
            </w:pPr>
            <w:r>
              <w:rPr>
                <w:sz w:val="19"/>
              </w:rPr>
              <w:t>Étiquettes (optionnel)</w:t>
            </w:r>
          </w:p>
        </w:tc>
        <w:tc>
          <w:tcPr>
            <w:tcW w:type="dxa" w:w="4819"/>
          </w:tcPr>
          <w:p>
            <w:pPr>
              <w:spacing w:before="20" w:after="20"/>
            </w:pPr>
            <w:r>
              <w:rPr>
                <w:sz w:val="19"/>
              </w:rPr>
              <w:t>Sélection multiple, avec une pastille de couleur devant chaque libellé. Le champ n'apparaît pas si le référentiel des étiquettes est vide ou inaccessible : proposer un sélecteur vide laisserait croire à une panne. L'aide dit « Pour retrouver le document en travers des dossiers et des types ».</w:t>
            </w:r>
          </w:p>
        </w:tc>
      </w:tr>
      <w:tr>
        <w:tc>
          <w:tcPr>
            <w:tcW w:type="dxa" w:w="4819"/>
          </w:tcPr>
          <w:p>
            <w:pPr>
              <w:spacing w:before="20" w:after="20"/>
            </w:pPr>
            <w:r>
              <w:rPr>
                <w:sz w:val="19"/>
              </w:rPr>
              <w:t>Date d'expiration (optionnel)</w:t>
            </w:r>
          </w:p>
        </w:tc>
        <w:tc>
          <w:tcPr>
            <w:tcW w:type="dxa" w:w="4819"/>
          </w:tcPr>
          <w:p>
            <w:pPr>
              <w:spacing w:before="20" w:after="20"/>
            </w:pPr>
            <w:r>
              <w:rPr>
                <w:sz w:val="19"/>
              </w:rPr>
              <w:t>Calendrier, avec le texte indicatif « Choisir une date ».</w:t>
            </w:r>
          </w:p>
        </w:tc>
      </w:tr>
    </w:tbl>
    <w:p>
      <w:pPr>
        <w:spacing w:after="40"/>
      </w:pPr>
    </w:p>
    <w:p>
      <w:pPr>
        <w:pStyle w:val="Heading2"/>
      </w:pPr>
      <w:r>
        <w:t>3.5 Le pied de la fenêtre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Élément</w:t>
            </w:r>
          </w:p>
        </w:tc>
        <w:tc>
          <w:tcPr>
            <w:tcW w:type="dxa" w:w="3213"/>
          </w:tcPr>
          <w:p>
            <w:pPr>
              <w:spacing w:before="20" w:after="20"/>
            </w:pPr>
            <w:r>
              <w:rPr>
                <w:b/>
                <w:sz w:val="19"/>
              </w:rPr>
              <w:t>Libellé</w:t>
            </w:r>
          </w:p>
        </w:tc>
        <w:tc>
          <w:tcPr>
            <w:tcW w:type="dxa" w:w="3213"/>
          </w:tcPr>
          <w:p>
            <w:pPr>
              <w:spacing w:before="20" w:after="20"/>
            </w:pPr>
            <w:r>
              <w:rPr>
                <w:b/>
                <w:sz w:val="19"/>
              </w:rPr>
              <w:t>Comportement</w:t>
            </w:r>
          </w:p>
        </w:tc>
      </w:tr>
      <w:tr>
        <w:tc>
          <w:tcPr>
            <w:tcW w:type="dxa" w:w="3213"/>
          </w:tcPr>
          <w:p>
            <w:pPr>
              <w:spacing w:before="20" w:after="20"/>
            </w:pPr>
            <w:r>
              <w:rPr>
                <w:sz w:val="19"/>
              </w:rPr>
              <w:t>Décompte bloquant</w:t>
            </w:r>
          </w:p>
        </w:tc>
        <w:tc>
          <w:tcPr>
            <w:tcW w:type="dxa" w:w="3213"/>
          </w:tcPr>
          <w:p>
            <w:pPr>
              <w:spacing w:before="20" w:after="20"/>
            </w:pPr>
            <w:r>
              <w:rPr>
                <w:sz w:val="19"/>
              </w:rPr>
              <w:t>« N champ(s) obligatoire(s) à renseigner »</w:t>
            </w:r>
          </w:p>
        </w:tc>
        <w:tc>
          <w:tcPr>
            <w:tcW w:type="dxa" w:w="3213"/>
          </w:tcPr>
          <w:p>
            <w:pPr>
              <w:spacing w:before="20" w:after="20"/>
            </w:pPr>
            <w:r>
              <w:rPr>
                <w:sz w:val="19"/>
              </w:rPr>
              <w:t>Affiché en priorité dès qu'un index obligatoire est vide. Le bouton de dépôt est alors inactif.</w:t>
            </w:r>
          </w:p>
        </w:tc>
      </w:tr>
      <w:tr>
        <w:tc>
          <w:tcPr>
            <w:tcW w:type="dxa" w:w="3213"/>
          </w:tcPr>
          <w:p>
            <w:pPr>
              <w:spacing w:before="20" w:after="20"/>
            </w:pPr>
            <w:r>
              <w:rPr>
                <w:sz w:val="19"/>
              </w:rPr>
              <w:t>Décompte informatif</w:t>
            </w:r>
          </w:p>
        </w:tc>
        <w:tc>
          <w:tcPr>
            <w:tcW w:type="dxa" w:w="3213"/>
          </w:tcPr>
          <w:p>
            <w:pPr>
              <w:spacing w:before="20" w:after="20"/>
            </w:pPr>
            <w:r>
              <w:rPr>
                <w:sz w:val="19"/>
              </w:rPr>
              <w:t>« N champ(s) non renseigné(s) »</w:t>
            </w:r>
          </w:p>
        </w:tc>
        <w:tc>
          <w:tcPr>
            <w:tcW w:type="dxa" w:w="3213"/>
          </w:tcPr>
          <w:p>
            <w:pPr>
              <w:spacing w:before="20" w:after="20"/>
            </w:pPr>
            <w:r>
              <w:rPr>
                <w:sz w:val="19"/>
              </w:rPr>
              <w:t>Affiché seulement si aucun obligatoire ne manque. Il ne bloque pas : un champ facultatif vide est un choix que l'opérateur peut faire en connaissance de cause.</w:t>
            </w:r>
          </w:p>
        </w:tc>
      </w:tr>
      <w:tr>
        <w:tc>
          <w:tcPr>
            <w:tcW w:type="dxa" w:w="3213"/>
          </w:tcPr>
          <w:p>
            <w:pPr>
              <w:spacing w:before="20" w:after="20"/>
            </w:pPr>
            <w:r>
              <w:rPr>
                <w:sz w:val="19"/>
              </w:rPr>
              <w:t>Bouton d'abandon</w:t>
            </w:r>
          </w:p>
        </w:tc>
        <w:tc>
          <w:tcPr>
            <w:tcW w:type="dxa" w:w="3213"/>
          </w:tcPr>
          <w:p>
            <w:pPr>
              <w:spacing w:before="20" w:after="20"/>
            </w:pPr>
            <w:r>
              <w:rPr>
                <w:sz w:val="19"/>
              </w:rPr>
              <w:t>« Annuler », ou « Fermer » si le document a déjà été créé</w:t>
            </w:r>
          </w:p>
        </w:tc>
        <w:tc>
          <w:tcPr>
            <w:tcW w:type="dxa" w:w="3213"/>
          </w:tcPr>
          <w:p>
            <w:pPr>
              <w:spacing w:before="20" w:after="20"/>
            </w:pPr>
            <w:r>
              <w:rPr>
                <w:sz w:val="19"/>
              </w:rPr>
              <w:t>Le libellé change parce que la portée du geste change : après création, fermer n'annule plus rien.</w:t>
            </w:r>
          </w:p>
        </w:tc>
      </w:tr>
      <w:tr>
        <w:tc>
          <w:tcPr>
            <w:tcW w:type="dxa" w:w="3213"/>
          </w:tcPr>
          <w:p>
            <w:pPr>
              <w:spacing w:before="20" w:after="20"/>
            </w:pPr>
            <w:r>
              <w:rPr>
                <w:sz w:val="19"/>
              </w:rPr>
              <w:t>Bouton principal</w:t>
            </w:r>
          </w:p>
        </w:tc>
        <w:tc>
          <w:tcPr>
            <w:tcW w:type="dxa" w:w="3213"/>
          </w:tcPr>
          <w:p>
            <w:pPr>
              <w:spacing w:before="20" w:after="20"/>
            </w:pPr>
            <w:r>
              <w:rPr>
                <w:sz w:val="19"/>
              </w:rPr>
              <w:t>« Téléverser », puis « Téléversement… » pendant l'envoi, puis « Réessayer l'indexation » si le document a été créé mais que les index ont été refusés</w:t>
            </w:r>
          </w:p>
        </w:tc>
        <w:tc>
          <w:tcPr>
            <w:tcW w:type="dxa" w:w="3213"/>
          </w:tcPr>
          <w:p>
            <w:pPr>
              <w:spacing w:before="20" w:after="20"/>
            </w:pPr>
            <w:r>
              <w:rPr>
                <w:sz w:val="19"/>
              </w:rPr>
              <w:t>Inactif pendant l'envoi, pendant l'analyse, en cas de fichier refusé et tant qu'un index obligatoire est vide.</w:t>
            </w:r>
          </w:p>
        </w:tc>
      </w:tr>
    </w:tbl>
    <w:p>
      <w:pPr>
        <w:spacing w:after="40"/>
      </w:pPr>
    </w:p>
    <w:p>
      <w:pPr>
        <w:pStyle w:val="Heading1"/>
      </w:pPr>
      <w:r>
        <w:t>4. Le processus, étape par étape</w:t>
      </w:r>
    </w:p>
    <w:p>
      <w:pPr>
        <w:pStyle w:val="Heading2"/>
      </w:pPr>
      <w:r>
        <w:t>4.1 Le parcours nominal</w:t>
      </w:r>
    </w:p>
    <w:p>
      <w:pPr>
        <w:pStyle w:val="ListNumber"/>
        <w:numPr>
          <w:ilvl w:val="0"/>
          <w:numId w:val="11"/>
        </w:numPr>
      </w:pPr>
      <w:r>
        <w:rPr>
          <w:b/>
        </w:rPr>
        <w:t>L'opérateur ouvre la fenêtre.</w:t>
      </w:r>
      <w:r>
        <w:t xml:space="preserve"> L'application charge la liste des types de document, le référentiel des étiquettes, la nature de tous les index et la disponibilité de la lecture automatique. Si la lecture est coupée, l'interrupteur est présenté désactivé, positionné sur « coupé », avec son motif.</w:t>
      </w:r>
    </w:p>
    <w:p>
      <w:pPr>
        <w:pStyle w:val="ListNumber"/>
        <w:numPr>
          <w:ilvl w:val="0"/>
          <w:numId w:val="11"/>
        </w:numPr>
      </w:pPr>
      <w:r>
        <w:rPr>
          <w:b/>
        </w:rPr>
        <w:t>L'opérateur choisit le type de document.</w:t>
      </w:r>
      <w:r>
        <w:t xml:space="preserve"> L'application affiche immédiatement les champs d'indexation du plan, </w:t>
      </w:r>
      <w:r>
        <w:rPr>
          <w:b/>
        </w:rPr>
        <w:t>vides</w:t>
      </w:r>
      <w:r>
        <w:t>, avant même qu'un fichier soit désigné. Si le type n'a pas de plan, elle affiche à la place l'avertissement de type sans plan.</w:t>
      </w:r>
    </w:p>
    <w:p>
      <w:pPr>
        <w:pStyle w:val="ListNumber"/>
        <w:numPr>
          <w:ilvl w:val="0"/>
          <w:numId w:val="11"/>
        </w:numPr>
      </w:pPr>
      <w:r>
        <w:rPr>
          <w:b/>
        </w:rPr>
        <w:t>L'opérateur choisit le fichier.</w:t>
      </w:r>
      <w:r>
        <w:t xml:space="preserve"> L'application contrôle localement son extension et sa taille, avant tout envoi. Un fichier refusé ne traverse jamais le réseau.</w:t>
      </w:r>
    </w:p>
    <w:p>
      <w:pPr>
        <w:pStyle w:val="ListNumber"/>
        <w:numPr>
          <w:ilvl w:val="0"/>
          <w:numId w:val="11"/>
        </w:numPr>
      </w:pPr>
      <w:r>
        <w:rPr>
          <w:b/>
        </w:rPr>
        <w:t>L'application analyse le fichier sans rien enregistrer. Elle découpe d'abord son nom selon le séparateur du plan puis, si le nom ne suffit pas, ouvre le document pour en lire le contenu. Le fichier remis pour cette seule lecture n'est pas conservé : rien n'en subsiste une fois l'analyse terminée.</w:t>
      </w:r>
    </w:p>
    <w:p>
      <w:pPr>
        <w:pStyle w:val="ListNumber"/>
        <w:numPr>
          <w:ilvl w:val="0"/>
          <w:numId w:val="11"/>
        </w:numPr>
      </w:pPr>
      <w:r>
        <w:rPr>
          <w:b/>
        </w:rPr>
        <w:t>Les propositions s'affichent.</w:t>
      </w:r>
      <w:r>
        <w:t xml:space="preserve"> Chaque champ reçoit sa valeur proposée et sa mention de provenance. Le compteur de couverture s'affiche. Le nom du document se compose. La référence apparaît.</w:t>
      </w:r>
    </w:p>
    <w:p>
      <w:pPr>
        <w:pStyle w:val="ListNumber"/>
        <w:numPr>
          <w:ilvl w:val="0"/>
          <w:numId w:val="11"/>
        </w:numPr>
      </w:pPr>
      <w:r>
        <w:rPr>
          <w:b/>
        </w:rPr>
        <w:t>L'opérateur ajuste.</w:t>
      </w:r>
      <w:r>
        <w:t xml:space="preserve"> Il corrige une valeur, complète un champ non reconnu, pose des étiquettes, fixe une date d'expiration. Chaque frappe recompose le nom et la référence en direct. Tout champ touché devient définitivement la propriété de l'opérateur.</w:t>
      </w:r>
    </w:p>
    <w:p>
      <w:pPr>
        <w:pStyle w:val="ListNumber"/>
        <w:numPr>
          <w:ilvl w:val="0"/>
          <w:numId w:val="11"/>
        </w:numPr>
      </w:pPr>
      <w:r>
        <w:rPr>
          <w:b/>
        </w:rPr>
        <w:t>L'opérateur clique sur « Téléverser ».</w:t>
      </w:r>
      <w:r>
        <w:t xml:space="preserve"> C'est le seul geste qui écrit. Le fichier est déposé, le circuit de validation s'ouvre, puis les index sont enregistrés dans la foulée. L'application compose alors le nom définitif du document d'après la charte.</w:t>
      </w:r>
    </w:p>
    <w:p>
      <w:pPr>
        <w:pStyle w:val="ListNumber"/>
        <w:numPr>
          <w:ilvl w:val="0"/>
          <w:numId w:val="11"/>
        </w:numPr>
      </w:pPr>
      <w:r>
        <w:rPr>
          <w:b/>
        </w:rPr>
        <w:t>La fenêtre se ferme.</w:t>
      </w:r>
      <w:r>
        <w:t xml:space="preserve"> L'écran appelant recharge sa liste et affiche un unique message qui dit ce qui s'est réellement passé.</w:t>
      </w:r>
    </w:p>
    <w:p>
      <w:pPr>
        <w:spacing w:before="0" w:after="0"/>
        <w:ind w:left="113"/>
      </w:pPr>
      <w:r>
        <w:rPr>
          <w:rFonts w:ascii="Consolas" w:hAnsi="Consolas" w:cs="Consolas"/>
          <w:sz w:val="18"/>
        </w:rPr>
        <w:t>+- 1. CHOIX DU TYPE DE DOCUMENT --------------------------------+</w:t>
      </w:r>
    </w:p>
    <w:p>
      <w:pPr>
        <w:spacing w:before="0" w:after="0"/>
        <w:ind w:left="113"/>
      </w:pPr>
      <w:r>
        <w:rPr>
          <w:rFonts w:ascii="Consolas" w:hAnsi="Consolas" w:cs="Consolas"/>
          <w:sz w:val="18"/>
        </w:rPr>
        <w:t>|  premier geste, obligatoire                                   |</w:t>
      </w:r>
    </w:p>
    <w:p>
      <w:pPr>
        <w:spacing w:before="0" w:after="0"/>
        <w:ind w:left="113"/>
      </w:pPr>
      <w:r>
        <w:rPr>
          <w:rFonts w:ascii="Consolas" w:hAnsi="Consolas" w:cs="Consolas"/>
          <w:sz w:val="18"/>
        </w:rPr>
        <w: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+- 2. LES CHAMPS D'INDEXATION APPARAISSENT, VIDES --------------+</w:t>
      </w:r>
    </w:p>
    <w:p>
      <w:pPr>
        <w:spacing w:before="0" w:after="0"/>
        <w:ind w:left="113"/>
      </w:pPr>
      <w:r>
        <w:rPr>
          <w:rFonts w:ascii="Consolas" w:hAnsi="Consolas" w:cs="Consolas"/>
          <w:sz w:val="18"/>
        </w:rPr>
        <w:t>|  dès le choix du type, AVANT le fichier                       |</w:t>
      </w:r>
    </w:p>
    <w:p>
      <w:pPr>
        <w:spacing w:before="0" w:after="0"/>
        <w:ind w:left="113"/>
      </w:pPr>
      <w:r>
        <w:rPr>
          <w:rFonts w:ascii="Consolas" w:hAnsi="Consolas" w:cs="Consolas"/>
          <w:sz w:val="18"/>
        </w:rPr>
        <w: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+- 3. CHOIX DU FICHIER -----------------------------------------+</w:t>
      </w:r>
    </w:p>
    <w:p>
      <w:pPr>
        <w:spacing w:before="0" w:after="0"/>
        <w:ind w:left="113"/>
      </w:pPr>
      <w:r>
        <w:rPr>
          <w:rFonts w:ascii="Consolas" w:hAnsi="Consolas" w:cs="Consolas"/>
          <w:sz w:val="18"/>
        </w:rPr>
        <w:t>|  contrôlé sur place (extension, taille), AVANT tout envoi     |</w:t>
      </w:r>
    </w:p>
    <w:p>
      <w:pPr>
        <w:spacing w:before="0" w:after="0"/>
        <w:ind w:left="113"/>
      </w:pPr>
      <w:r>
        <w:rPr>
          <w:rFonts w:ascii="Consolas" w:hAnsi="Consolas" w:cs="Consolas"/>
          <w:sz w:val="18"/>
        </w:rPr>
        <w: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+- 4. ANALYSE --------------------------------------------------+</w:t>
      </w:r>
    </w:p>
    <w:p>
      <w:pPr>
        <w:spacing w:before="0" w:after="0"/>
        <w:ind w:left="113"/>
      </w:pPr>
      <w:r>
        <w:rPr>
          <w:rFonts w:ascii="Consolas" w:hAnsi="Consolas" w:cs="Consolas"/>
          <w:sz w:val="18"/>
        </w:rPr>
        <w:t>|  les champs se remplissent, le nom se recompose,              |</w:t>
      </w:r>
    </w:p>
    <w:p>
      <w:pPr>
        <w:spacing w:before="0" w:after="0"/>
        <w:ind w:left="113"/>
      </w:pPr>
      <w:r>
        <w:rPr>
          <w:rFonts w:ascii="Consolas" w:hAnsi="Consolas" w:cs="Consolas"/>
          <w:sz w:val="18"/>
        </w:rPr>
        <w:t>|  un compteur indique la couverture (" 4/4 ")                  |</w:t>
      </w:r>
    </w:p>
    <w:p>
      <w:pPr>
        <w:spacing w:before="0" w:after="0"/>
        <w:ind w:left="113"/>
      </w:pPr>
      <w:r>
        <w:rPr>
          <w:rFonts w:ascii="Consolas" w:hAnsi="Consolas" w:cs="Consolas"/>
          <w:sz w:val="18"/>
        </w:rPr>
        <w: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+- 5. AJUSTEMENTS ----------------------------------------------+</w:t>
      </w:r>
    </w:p>
    <w:p>
      <w:pPr>
        <w:spacing w:before="0" w:after="0"/>
        <w:ind w:left="113"/>
      </w:pPr>
      <w:r>
        <w:rPr>
          <w:rFonts w:ascii="Consolas" w:hAnsi="Consolas" w:cs="Consolas"/>
          <w:sz w:val="18"/>
        </w:rPr>
        <w:t>|  corriger un champ, changer le nom, poser des étiquettes,     |</w:t>
      </w:r>
    </w:p>
    <w:p>
      <w:pPr>
        <w:spacing w:before="0" w:after="0"/>
        <w:ind w:left="113"/>
      </w:pPr>
      <w:r>
        <w:rPr>
          <w:rFonts w:ascii="Consolas" w:hAnsi="Consolas" w:cs="Consolas"/>
          <w:sz w:val="18"/>
        </w:rPr>
        <w:t>|  fixer une date d'expiration                                  |</w:t>
      </w:r>
    </w:p>
    <w:p>
      <w:pPr>
        <w:spacing w:before="0" w:after="0"/>
        <w:ind w:left="113"/>
      </w:pPr>
      <w:r>
        <w:rPr>
          <w:rFonts w:ascii="Consolas" w:hAnsi="Consolas" w:cs="Consolas"/>
          <w:sz w:val="18"/>
        </w:rPr>
        <w:t>+----------------------------+----------------------------------+</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+- 6. " TÉLÉVERSER " ------------- le seul geste qui écrit -----+</w:t>
      </w:r>
    </w:p>
    <w:p>
      <w:pPr>
        <w:spacing w:before="0" w:after="0"/>
        <w:ind w:left="113"/>
      </w:pPr>
      <w:r>
        <w:rPr>
          <w:rFonts w:ascii="Consolas" w:hAnsi="Consolas" w:cs="Consolas"/>
          <w:sz w:val="18"/>
        </w:rPr>
        <w:t>|  dépôt du fichier, ouverture du circuit, puis enregistrement  |</w:t>
      </w:r>
    </w:p>
    <w:p>
      <w:pPr>
        <w:spacing w:before="0" w:after="0"/>
        <w:ind w:left="113"/>
      </w:pPr>
      <w:r>
        <w:rPr>
          <w:rFonts w:ascii="Consolas" w:hAnsi="Consolas" w:cs="Consolas"/>
          <w:sz w:val="18"/>
        </w:rPr>
        <w:t>|  des index dans la foulée - rien à confirmer une seconde fois |</w:t>
      </w:r>
    </w:p>
    <w:p>
      <w:pPr>
        <w:spacing w:before="0" w:after="0"/>
        <w:ind w:left="113"/>
      </w:pPr>
      <w:r>
        <w:rPr>
          <w:rFonts w:ascii="Consolas" w:hAnsi="Consolas" w:cs="Consolas"/>
          <w:sz w:val="18"/>
        </w:rPr>
        <w:t>+---------------------------------------------------------------+</w:t>
      </w:r>
    </w:p>
    <w:p>
      <w:pPr>
        <w:spacing w:after="40"/>
      </w:pPr>
    </w:p>
    <w:p>
      <w:pPr/>
      <w:r>
        <w:t>L'ordre des deux premières étapes est essentiel. Afficher les champs après le fichier obligerait l'opérateur à découvrir trop tard qu'il lui manque une donnée qu'il n'a pas sous la main.</w:t>
      </w:r>
    </w:p>
    <w:p>
      <w:pPr>
        <w:pStyle w:val="Heading2"/>
      </w:pPr>
      <w:r>
        <w:t>4.2 Le parcours quand la lecture ne reconnaît rien</w:t>
      </w:r>
    </w:p>
    <w:p>
      <w:pPr>
        <w:pStyle w:val="ListNumber"/>
        <w:numPr>
          <w:ilvl w:val="0"/>
          <w:numId w:val="12"/>
        </w:numPr>
      </w:pPr>
      <w:r>
        <w:t>L'opérateur choisit son type et son fichier.</w:t>
      </w:r>
    </w:p>
    <w:p>
      <w:pPr>
        <w:pStyle w:val="ListNumber"/>
        <w:numPr>
          <w:ilvl w:val="0"/>
          <w:numId w:val="12"/>
        </w:numPr>
      </w:pPr>
      <w:r>
        <w:t>L'analyse ne parvient à déduire aucune valeur. L'application affiche « 0/4 champ(s) déduits automatiquement » et l'avertissement « Ni le nom du fichier (charte « … ») ni le contenu n'ont permis de conclure : renseignez les champs à la main. » Cet avertissement rappelle la charte attendue, c'est-à-dire la façon dont le nom du fichier aurait dû être construit.</w:t>
      </w:r>
    </w:p>
    <w:p>
      <w:pPr>
        <w:pStyle w:val="ListNumber"/>
        <w:numPr>
          <w:ilvl w:val="0"/>
          <w:numId w:val="12"/>
        </w:numPr>
      </w:pPr>
      <w:r>
        <w:t>Chaque champ porte la mention « à saisir », dont l'infobulle donne la raison précise : par exemple « Le nom du fichier ne compte que 2 segment(s) : rien en position 3. »</w:t>
      </w:r>
    </w:p>
    <w:p>
      <w:pPr>
        <w:pStyle w:val="ListNumber"/>
        <w:numPr>
          <w:ilvl w:val="0"/>
          <w:numId w:val="12"/>
        </w:numPr>
      </w:pPr>
      <w:r>
        <w:t>L'opérateur saisit ses valeurs. Le nom du document se compose au fur et à mesure, en conservant les jetons système déjà calculés par l'application.</w:t>
      </w:r>
    </w:p>
    <w:p>
      <w:pPr>
        <w:pStyle w:val="ListNumber"/>
        <w:numPr>
          <w:ilvl w:val="0"/>
          <w:numId w:val="12"/>
        </w:numPr>
      </w:pPr>
      <w:r>
        <w:t>Le dépôt se déroule ensuite normalement.</w:t>
      </w:r>
    </w:p>
    <w:p>
      <w:pPr>
        <w:pStyle w:val="Heading2"/>
      </w:pPr>
      <w:r>
        <w:t>4.3 Le parcours en saisie manuelle</w:t>
      </w:r>
    </w:p>
    <w:p>
      <w:pPr>
        <w:pStyle w:val="ListNumber"/>
        <w:numPr>
          <w:ilvl w:val="0"/>
          <w:numId w:val="13"/>
        </w:numPr>
      </w:pPr>
      <w:r>
        <w:t>L'opérateur coupe l'interrupteur « Indexation automatique ».</w:t>
      </w:r>
    </w:p>
    <w:p>
      <w:pPr>
        <w:pStyle w:val="ListNumber"/>
        <w:numPr>
          <w:ilvl w:val="0"/>
          <w:numId w:val="13"/>
        </w:numPr>
      </w:pPr>
      <w:r>
        <w:t>L'application annule immédiatement toute analyse en cours : la lecture qu'on refuse n'a pas à être demandée, et sa réponse ne doit pas arriver après coup.</w:t>
      </w:r>
    </w:p>
    <w:p>
      <w:pPr>
        <w:pStyle w:val="ListNumber"/>
        <w:numPr>
          <w:ilvl w:val="0"/>
          <w:numId w:val="13"/>
        </w:numPr>
      </w:pPr>
      <w:r>
        <w:t xml:space="preserve">Elle retire les propositions de l'application </w:t>
      </w:r>
      <w:r>
        <w:rPr>
          <w:b/>
        </w:rPr>
        <w:t>et elles seules</w:t>
      </w:r>
      <w:r>
        <w:t>. Tout ce que l'opérateur a déjà tapé est conservé. Toucher un réglage ne doit jamais coûter son travail.</w:t>
      </w:r>
    </w:p>
    <w:p>
      <w:pPr>
        <w:pStyle w:val="ListNumber"/>
        <w:numPr>
          <w:ilvl w:val="0"/>
          <w:numId w:val="13"/>
        </w:numPr>
      </w:pPr>
      <w:r>
        <w:t>Les mentions de provenance disparaissent : elles décrivaient une proposition qui n'existe plus.</w:t>
      </w:r>
    </w:p>
    <w:p>
      <w:pPr>
        <w:pStyle w:val="ListNumber"/>
        <w:numPr>
          <w:ilvl w:val="0"/>
          <w:numId w:val="13"/>
        </w:numPr>
      </w:pPr>
      <w:r>
        <w:t>L'opérateur saisit ses valeurs. Le compteur de couverture n'est plus affiché.</w:t>
      </w:r>
    </w:p>
    <w:p>
      <w:pPr>
        <w:pStyle w:val="ListNumber"/>
        <w:numPr>
          <w:ilvl w:val="0"/>
          <w:numId w:val="13"/>
        </w:numPr>
      </w:pPr>
      <w:r>
        <w:t>Si l'opérateur réactive l'interrupteur, l'analyse est relancée. Les champs qu'il avait touchés ne sont pas écrasés ; seuls les champs restés intacts reçoivent une proposition.</w:t>
      </w:r>
    </w:p>
    <w:p>
      <w:pPr>
        <w:pStyle w:val="Heading2"/>
      </w:pPr>
      <w:r>
        <w:t>4.4 Le parcours quand le fichier est refusé</w:t>
      </w:r>
    </w:p>
    <w:p>
      <w:pPr>
        <w:pStyle w:val="ListNumber"/>
        <w:numPr>
          <w:ilvl w:val="0"/>
          <w:numId w:val="14"/>
        </w:numPr>
      </w:pPr>
      <w:r>
        <w:t>L'opérateur choisit un fichier dont l'extension n'est pas acceptée par le type, ou dont la taille dépasse le plafond.</w:t>
      </w:r>
    </w:p>
    <w:p>
      <w:pPr>
        <w:pStyle w:val="ListNumber"/>
        <w:numPr>
          <w:ilvl w:val="0"/>
          <w:numId w:val="14"/>
        </w:numPr>
      </w:pPr>
      <w:r>
        <w:t xml:space="preserve">L'application affiche un refus qui </w:t>
      </w:r>
      <w:r>
        <w:rPr>
          <w:b/>
        </w:rPr>
        <w:t>nomme la contrainte et la valeur constatée</w:t>
      </w:r>
      <w:r>
        <w:t>, sans avoir envoyé le fichier.</w:t>
      </w:r>
    </w:p>
    <w:p>
      <w:pPr>
        <w:pStyle w:val="ListNumber"/>
        <w:numPr>
          <w:ilvl w:val="0"/>
          <w:numId w:val="14"/>
        </w:numPr>
      </w:pPr>
      <w:r>
        <w:t>Aucune analyse n'est demandée et le bouton de dépôt reste inactif.</w:t>
      </w:r>
    </w:p>
    <w:p>
      <w:pPr>
        <w:pStyle w:val="ListNumber"/>
        <w:numPr>
          <w:ilvl w:val="0"/>
          <w:numId w:val="14"/>
        </w:numPr>
      </w:pPr>
      <w:r>
        <w:t>L'opérateur choisit un autre fichier, ou change de type. Le contrôle est rejoué : le verdict dépend du type, et choisir le fichier puis changer de type est un enchaînement courant.</w:t>
      </w:r>
    </w:p>
    <w:p>
      <w:pPr>
        <w:pStyle w:val="Heading2"/>
      </w:pPr>
      <w:r>
        <w:t>4.5 Le parcours quand l'indexation échoue après la création</w:t>
      </w:r>
    </w:p>
    <w:p>
      <w:pPr>
        <w:pStyle w:val="ListNumber"/>
        <w:numPr>
          <w:ilvl w:val="0"/>
          <w:numId w:val="15"/>
        </w:numPr>
      </w:pPr>
      <w:r>
        <w:t>L'opérateur clique sur « Téléverser ». Le document est créé et son circuit de validation s'ouvre.</w:t>
      </w:r>
    </w:p>
    <w:p>
      <w:pPr>
        <w:pStyle w:val="ListNumber"/>
        <w:numPr>
          <w:ilvl w:val="0"/>
          <w:numId w:val="15"/>
        </w:numPr>
      </w:pPr>
      <w:r>
        <w:t>L'enregistrement des index est refusé, par exemple parce qu'une valeur ne respecte pas la nature de son index.</w:t>
      </w:r>
    </w:p>
    <w:p>
      <w:pPr>
        <w:pStyle w:val="ListNumber"/>
        <w:numPr>
          <w:ilvl w:val="0"/>
          <w:numId w:val="15"/>
        </w:numPr>
      </w:pPr>
      <w:r>
        <w:t>L'application affiche le motif du refus, ou à défaut « Le document est déposé, mais l'enregistrement des index a été refusé. »</w:t>
      </w:r>
    </w:p>
    <w:p>
      <w:pPr>
        <w:pStyle w:val="ListNumber"/>
        <w:numPr>
          <w:ilvl w:val="0"/>
          <w:numId w:val="15"/>
        </w:numPr>
      </w:pPr>
      <w:r>
        <w:rPr>
          <w:b/>
        </w:rPr>
        <w:t>Le type et le fichier sont gelés</w:t>
      </w:r>
      <w:r>
        <w:t xml:space="preserve"> : le document existe, changer son type ferait écrire les index d'un autre plan sur une pièce qui n'en relève pas.</w:t>
      </w:r>
    </w:p>
    <w:p>
      <w:pPr>
        <w:pStyle w:val="ListNumber"/>
        <w:numPr>
          <w:ilvl w:val="0"/>
          <w:numId w:val="15"/>
        </w:numPr>
      </w:pPr>
      <w:r>
        <w:t>Le bouton principal devient « Réessayer l'indexation » et le bouton d'abandon devient « Fermer » : « Annuler » ne peut plus effacer le document.</w:t>
      </w:r>
    </w:p>
    <w:p>
      <w:pPr>
        <w:pStyle w:val="ListNumber"/>
        <w:numPr>
          <w:ilvl w:val="0"/>
          <w:numId w:val="15"/>
        </w:numPr>
      </w:pPr>
      <w:r>
        <w:t>L'opérateur corrige et réessaie. Un nouveau clic ne redépose pas le fichier : il ne réécrit que les index.</w:t>
      </w:r>
    </w:p>
    <w:p>
      <w:pPr>
        <w:pStyle w:val="ListNumber"/>
        <w:numPr>
          <w:ilvl w:val="0"/>
          <w:numId w:val="15"/>
        </w:numPr>
      </w:pPr>
      <w:r>
        <w:t>S'il ferme sans réessayer, la liste est tout de même rechargée et le message « Document déposé et circuit lancé, mais il reste à indexer. » est affiché.</w:t>
      </w:r>
    </w:p>
    <w:p>
      <w:pPr>
        <w:spacing w:before="0" w:after="0"/>
        <w:ind w:left="113"/>
      </w:pPr>
      <w:r>
        <w:rPr>
          <w:rFonts w:ascii="Consolas" w:hAnsi="Consolas" w:cs="Consolas"/>
          <w:sz w:val="18"/>
        </w:rPr>
        <w:t xml:space="preserve">                     "Téléverser"</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Dépôt du fichier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échec ------+------ succès</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message d'erreur        circuit de signature ouvert</w:t>
      </w:r>
    </w:p>
    <w:p>
      <w:pPr>
        <w:spacing w:before="0" w:after="0"/>
        <w:ind w:left="113"/>
      </w:pPr>
      <w:r>
        <w:rPr>
          <w:rFonts w:ascii="Consolas" w:hAnsi="Consolas" w:cs="Consolas"/>
          <w:sz w:val="18"/>
        </w:rPr>
        <w:t xml:space="preserve">      RIEN n'a été créé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Écriture des index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succès      refus</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v          v</w:t>
      </w:r>
    </w:p>
    <w:p>
      <w:pPr>
        <w:spacing w:before="0" w:after="0"/>
        <w:ind w:left="113"/>
      </w:pPr>
      <w:r>
        <w:rPr>
          <w:rFonts w:ascii="Consolas" w:hAnsi="Consolas" w:cs="Consolas"/>
          <w:sz w:val="18"/>
        </w:rPr>
        <w:t xml:space="preserve">                            "indexé"    "à indexer"</w:t>
      </w:r>
    </w:p>
    <w:p>
      <w:pPr>
        <w:spacing w:before="0" w:after="0"/>
        <w:ind w:left="113"/>
      </w:pPr>
      <w:r>
        <w:rPr>
          <w:rFonts w:ascii="Consolas" w:hAnsi="Consolas" w:cs="Consolas"/>
          <w:sz w:val="18"/>
        </w:rPr>
        <w:t xml:space="preserve">                                        type et fichier GELÉS</w:t>
      </w:r>
    </w:p>
    <w:p>
      <w:pPr>
        <w:spacing w:before="0" w:after="0"/>
        <w:ind w:left="113"/>
      </w:pPr>
      <w:r>
        <w:rPr>
          <w:rFonts w:ascii="Consolas" w:hAnsi="Consolas" w:cs="Consolas"/>
          <w:sz w:val="18"/>
        </w:rPr>
        <w:t xml:space="preserve">                                        bouton -&gt; "Réessayer l'indexation"</w:t>
      </w:r>
    </w:p>
    <w:p>
      <w:pPr>
        <w:spacing w:after="40"/>
      </w:pPr>
    </w:p>
    <w:p>
      <w:pPr>
        <w:pStyle w:val="Heading2"/>
      </w:pPr>
      <w:r>
        <w:t>4.6 Le parcours d'un type sans plan</w:t>
      </w:r>
    </w:p>
    <w:p>
      <w:pPr>
        <w:pStyle w:val="ListNumber"/>
        <w:numPr>
          <w:ilvl w:val="0"/>
          <w:numId w:val="16"/>
        </w:numPr>
      </w:pPr>
      <w:r>
        <w:t>L'opérateur choisit un type qui ne porte pas de plan d'indexation.</w:t>
      </w:r>
    </w:p>
    <w:p>
      <w:pPr>
        <w:pStyle w:val="ListNumber"/>
        <w:numPr>
          <w:ilvl w:val="0"/>
          <w:numId w:val="16"/>
        </w:numPr>
      </w:pPr>
      <w:r>
        <w:t>L'application affiche l'avertissement : le document sera déposé sans aucun index.</w:t>
      </w:r>
    </w:p>
    <w:p>
      <w:pPr>
        <w:pStyle w:val="ListNumber"/>
        <w:numPr>
          <w:ilvl w:val="0"/>
          <w:numId w:val="16"/>
        </w:numPr>
      </w:pPr>
      <w:r>
        <w:t>Aucune grille de champs n'apparaît, aucun bloc de référence, aucun interrupteur d'indexation.</w:t>
      </w:r>
    </w:p>
    <w:p>
      <w:pPr>
        <w:pStyle w:val="ListNumber"/>
        <w:numPr>
          <w:ilvl w:val="0"/>
          <w:numId w:val="16"/>
        </w:numPr>
      </w:pPr>
      <w:r>
        <w:t>Le champ « Nom du document » reste saisissable ; s'il est laissé vide, l'application retient le nom du fichier privé de son extension.</w:t>
      </w:r>
    </w:p>
    <w:p>
      <w:pPr>
        <w:pStyle w:val="ListNumber"/>
        <w:numPr>
          <w:ilvl w:val="0"/>
          <w:numId w:val="16"/>
        </w:numPr>
      </w:pPr>
      <w:r>
        <w:t>Le dépôt se termine sur l'issue « sans plan » et le message correspondant.</w:t>
      </w:r>
    </w:p>
    <w:p>
      <w:pPr>
        <w:pStyle w:val="Heading1"/>
      </w:pPr>
      <w:r>
        <w:t>5. Les données saisies</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Type de document</w:t>
            </w:r>
          </w:p>
        </w:tc>
        <w:tc>
          <w:tcPr>
            <w:tcW w:type="dxa" w:w="1928"/>
          </w:tcPr>
          <w:p>
            <w:pPr>
              <w:spacing w:before="20" w:after="20"/>
            </w:pPr>
            <w:r>
              <w:rPr>
                <w:sz w:val="19"/>
              </w:rPr>
              <w:t>Liste</w:t>
            </w:r>
          </w:p>
        </w:tc>
        <w:tc>
          <w:tcPr>
            <w:tcW w:type="dxa" w:w="1928"/>
          </w:tcPr>
          <w:p>
            <w:pPr>
              <w:spacing w:before="20" w:after="20"/>
            </w:pPr>
            <w:r>
              <w:rPr>
                <w:sz w:val="19"/>
              </w:rPr>
              <w:t>Oui</w:t>
            </w:r>
          </w:p>
        </w:tc>
        <w:tc>
          <w:tcPr>
            <w:tcW w:type="dxa" w:w="1928"/>
          </w:tcPr>
          <w:p>
            <w:pPr>
              <w:spacing w:before="20" w:after="20"/>
            </w:pPr>
            <w:r>
              <w:rPr>
                <w:sz w:val="19"/>
              </w:rPr>
              <w:t>Aucune</w:t>
            </w:r>
          </w:p>
        </w:tc>
        <w:tc>
          <w:tcPr>
            <w:tcW w:type="dxa" w:w="1928"/>
          </w:tcPr>
          <w:p>
            <w:pPr>
              <w:spacing w:before="20" w:after="20"/>
            </w:pPr>
            <w:r>
              <w:rPr>
                <w:sz w:val="19"/>
              </w:rPr>
              <w:t>Facture</w:t>
            </w:r>
          </w:p>
        </w:tc>
      </w:tr>
      <w:tr>
        <w:tc>
          <w:tcPr>
            <w:tcW w:type="dxa" w:w="1928"/>
          </w:tcPr>
          <w:p>
            <w:pPr>
              <w:spacing w:before="20" w:after="20"/>
            </w:pPr>
            <w:r>
              <w:rPr>
                <w:sz w:val="19"/>
              </w:rPr>
              <w:t>Choisir un fichier</w:t>
            </w:r>
          </w:p>
        </w:tc>
        <w:tc>
          <w:tcPr>
            <w:tcW w:type="dxa" w:w="1928"/>
          </w:tcPr>
          <w:p>
            <w:pPr>
              <w:spacing w:before="20" w:after="20"/>
            </w:pPr>
            <w:r>
              <w:rPr>
                <w:sz w:val="19"/>
              </w:rPr>
              <w:t>Fichier</w:t>
            </w:r>
          </w:p>
        </w:tc>
        <w:tc>
          <w:tcPr>
            <w:tcW w:type="dxa" w:w="1928"/>
          </w:tcPr>
          <w:p>
            <w:pPr>
              <w:spacing w:before="20" w:after="20"/>
            </w:pPr>
            <w:r>
              <w:rPr>
                <w:sz w:val="19"/>
              </w:rPr>
              <w:t>Oui</w:t>
            </w:r>
          </w:p>
        </w:tc>
        <w:tc>
          <w:tcPr>
            <w:tcW w:type="dxa" w:w="1928"/>
          </w:tcPr>
          <w:p>
            <w:pPr>
              <w:spacing w:before="20" w:after="20"/>
            </w:pPr>
            <w:r>
              <w:rPr>
                <w:sz w:val="19"/>
              </w:rPr>
              <w:t>Aucun</w:t>
            </w:r>
          </w:p>
        </w:tc>
        <w:tc>
          <w:tcPr>
            <w:tcW w:type="dxa" w:w="1928"/>
          </w:tcPr>
          <w:p>
            <w:pPr>
              <w:spacing w:before="20" w:after="20"/>
            </w:pPr>
            <w:r>
              <w:rPr>
                <w:sz w:val="19"/>
              </w:rPr>
              <w:t>2026003_2026-02-02_ACME.pdf</w:t>
            </w:r>
          </w:p>
        </w:tc>
      </w:tr>
      <w:tr>
        <w:tc>
          <w:tcPr>
            <w:tcW w:type="dxa" w:w="1928"/>
          </w:tcPr>
          <w:p>
            <w:pPr>
              <w:spacing w:before="20" w:after="20"/>
            </w:pPr>
            <w:r>
              <w:rPr>
                <w:sz w:val="19"/>
              </w:rPr>
              <w:t>Indexation automatique</w:t>
            </w:r>
          </w:p>
        </w:tc>
        <w:tc>
          <w:tcPr>
            <w:tcW w:type="dxa" w:w="1928"/>
          </w:tcPr>
          <w:p>
            <w:pPr>
              <w:spacing w:before="20" w:after="20"/>
            </w:pPr>
            <w:r>
              <w:rPr>
                <w:sz w:val="19"/>
              </w:rPr>
              <w:t>Oui / non</w:t>
            </w:r>
          </w:p>
        </w:tc>
        <w:tc>
          <w:tcPr>
            <w:tcW w:type="dxa" w:w="1928"/>
          </w:tcPr>
          <w:p>
            <w:pPr>
              <w:spacing w:before="20" w:after="20"/>
            </w:pPr>
            <w:r>
              <w:rPr>
                <w:sz w:val="19"/>
              </w:rPr>
              <w:t>Non</w:t>
            </w:r>
          </w:p>
        </w:tc>
        <w:tc>
          <w:tcPr>
            <w:tcW w:type="dxa" w:w="1928"/>
          </w:tcPr>
          <w:p>
            <w:pPr>
              <w:spacing w:before="20" w:after="20"/>
            </w:pPr>
            <w:r>
              <w:rPr>
                <w:sz w:val="19"/>
              </w:rPr>
              <w:t>Actif, si la lecture automatique est disponible</w:t>
            </w:r>
          </w:p>
        </w:tc>
        <w:tc>
          <w:tcPr>
            <w:tcW w:type="dxa" w:w="1928"/>
          </w:tcPr>
          <w:p>
            <w:pPr>
              <w:spacing w:before="20" w:after="20"/>
            </w:pPr>
            <w:r>
              <w:rPr>
                <w:sz w:val="19"/>
              </w:rPr>
              <w:t>Actif</w:t>
            </w:r>
          </w:p>
        </w:tc>
      </w:tr>
      <w:tr>
        <w:tc>
          <w:tcPr>
            <w:tcW w:type="dxa" w:w="1928"/>
          </w:tcPr>
          <w:p>
            <w:pPr>
              <w:spacing w:before="20" w:after="20"/>
            </w:pPr>
            <w:r>
              <w:rPr>
                <w:sz w:val="19"/>
              </w:rPr>
              <w:t>Champs d'indexation</w:t>
            </w:r>
          </w:p>
        </w:tc>
        <w:tc>
          <w:tcPr>
            <w:tcW w:type="dxa" w:w="1928"/>
          </w:tcPr>
          <w:p>
            <w:pPr>
              <w:spacing w:before="20" w:after="20"/>
            </w:pPr>
            <w:r>
              <w:rPr>
                <w:sz w:val="19"/>
              </w:rPr>
              <w:t>Selon la nature de l'index</w:t>
            </w:r>
          </w:p>
        </w:tc>
        <w:tc>
          <w:tcPr>
            <w:tcW w:type="dxa" w:w="1928"/>
          </w:tcPr>
          <w:p>
            <w:pPr>
              <w:spacing w:before="20" w:after="20"/>
            </w:pPr>
            <w:r>
              <w:rPr>
                <w:sz w:val="19"/>
              </w:rPr>
              <w:t>Selon le paramétrage de chaque index</w:t>
            </w:r>
          </w:p>
        </w:tc>
        <w:tc>
          <w:tcPr>
            <w:tcW w:type="dxa" w:w="1928"/>
          </w:tcPr>
          <w:p>
            <w:pPr>
              <w:spacing w:before="20" w:after="20"/>
            </w:pPr>
            <w:r>
              <w:rPr>
                <w:sz w:val="19"/>
              </w:rPr>
              <w:t>La proposition issue de la lecture, ou vide</w:t>
            </w:r>
          </w:p>
        </w:tc>
        <w:tc>
          <w:tcPr>
            <w:tcW w:type="dxa" w:w="1928"/>
          </w:tcPr>
          <w:p>
            <w:pPr>
              <w:spacing w:before="20" w:after="20"/>
            </w:pPr>
            <w:r>
              <w:rPr>
                <w:sz w:val="19"/>
              </w:rPr>
              <w:t>Fournisseur : ACME</w:t>
            </w:r>
          </w:p>
        </w:tc>
      </w:tr>
      <w:tr>
        <w:tc>
          <w:tcPr>
            <w:tcW w:type="dxa" w:w="1928"/>
          </w:tcPr>
          <w:p>
            <w:pPr>
              <w:spacing w:before="20" w:after="20"/>
            </w:pPr>
            <w:r>
              <w:rPr>
                <w:sz w:val="19"/>
              </w:rPr>
              <w:t>Nom du document</w:t>
            </w:r>
          </w:p>
        </w:tc>
        <w:tc>
          <w:tcPr>
            <w:tcW w:type="dxa" w:w="1928"/>
          </w:tcPr>
          <w:p>
            <w:pPr>
              <w:spacing w:before="20" w:after="20"/>
            </w:pPr>
            <w:r>
              <w:rPr>
                <w:sz w:val="19"/>
              </w:rPr>
              <w:t>Texte</w:t>
            </w:r>
          </w:p>
        </w:tc>
        <w:tc>
          <w:tcPr>
            <w:tcW w:type="dxa" w:w="1928"/>
          </w:tcPr>
          <w:p>
            <w:pPr>
              <w:spacing w:before="20" w:after="20"/>
            </w:pPr>
            <w:r>
              <w:rPr>
                <w:sz w:val="19"/>
              </w:rPr>
              <w:t>Non</w:t>
            </w:r>
          </w:p>
        </w:tc>
        <w:tc>
          <w:tcPr>
            <w:tcW w:type="dxa" w:w="1928"/>
          </w:tcPr>
          <w:p>
            <w:pPr>
              <w:spacing w:before="20" w:after="20"/>
            </w:pPr>
            <w:r>
              <w:rPr>
                <w:sz w:val="19"/>
              </w:rPr>
              <w:t>Composé depuis les index, ou le nom du fichier</w:t>
            </w:r>
          </w:p>
        </w:tc>
        <w:tc>
          <w:tcPr>
            <w:tcW w:type="dxa" w:w="1928"/>
          </w:tcPr>
          <w:p>
            <w:pPr>
              <w:spacing w:before="20" w:after="20"/>
            </w:pPr>
            <w:r>
              <w:rPr>
                <w:sz w:val="19"/>
              </w:rPr>
              <w:t>260828_2026003_ACME</w:t>
            </w:r>
          </w:p>
        </w:tc>
      </w:tr>
      <w:tr>
        <w:tc>
          <w:tcPr>
            <w:tcW w:type="dxa" w:w="1928"/>
          </w:tcPr>
          <w:p>
            <w:pPr>
              <w:spacing w:before="20" w:after="20"/>
            </w:pPr>
            <w:r>
              <w:rPr>
                <w:sz w:val="19"/>
              </w:rPr>
              <w:t>Étiquettes (optionnel)</w:t>
            </w:r>
          </w:p>
        </w:tc>
        <w:tc>
          <w:tcPr>
            <w:tcW w:type="dxa" w:w="1928"/>
          </w:tcPr>
          <w:p>
            <w:pPr>
              <w:spacing w:before="20" w:after="20"/>
            </w:pPr>
            <w:r>
              <w:rPr>
                <w:sz w:val="19"/>
              </w:rPr>
              <w:t>Liste à choix multiple</w:t>
            </w:r>
          </w:p>
        </w:tc>
        <w:tc>
          <w:tcPr>
            <w:tcW w:type="dxa" w:w="1928"/>
          </w:tcPr>
          <w:p>
            <w:pPr>
              <w:spacing w:before="20" w:after="20"/>
            </w:pPr>
            <w:r>
              <w:rPr>
                <w:sz w:val="19"/>
              </w:rPr>
              <w:t>Non</w:t>
            </w:r>
          </w:p>
        </w:tc>
        <w:tc>
          <w:tcPr>
            <w:tcW w:type="dxa" w:w="1928"/>
          </w:tcPr>
          <w:p>
            <w:pPr>
              <w:spacing w:before="20" w:after="20"/>
            </w:pPr>
            <w:r>
              <w:rPr>
                <w:sz w:val="19"/>
              </w:rPr>
              <w:t>Aucune</w:t>
            </w:r>
          </w:p>
        </w:tc>
        <w:tc>
          <w:tcPr>
            <w:tcW w:type="dxa" w:w="1928"/>
          </w:tcPr>
          <w:p>
            <w:pPr>
              <w:spacing w:before="20" w:after="20"/>
            </w:pPr>
            <w:r>
              <w:rPr>
                <w:sz w:val="19"/>
              </w:rPr>
              <w:t>Urgent</w:t>
            </w:r>
          </w:p>
        </w:tc>
      </w:tr>
      <w:tr>
        <w:tc>
          <w:tcPr>
            <w:tcW w:type="dxa" w:w="1928"/>
          </w:tcPr>
          <w:p>
            <w:pPr>
              <w:spacing w:before="20" w:after="20"/>
            </w:pPr>
            <w:r>
              <w:rPr>
                <w:sz w:val="19"/>
              </w:rPr>
              <w:t>Date d'expiration (optionnel)</w:t>
            </w:r>
          </w:p>
        </w:tc>
        <w:tc>
          <w:tcPr>
            <w:tcW w:type="dxa" w:w="1928"/>
          </w:tcPr>
          <w:p>
            <w:pPr>
              <w:spacing w:before="20" w:after="20"/>
            </w:pPr>
            <w:r>
              <w:rPr>
                <w:sz w:val="19"/>
              </w:rPr>
              <w:t>Date</w:t>
            </w:r>
          </w:p>
        </w:tc>
        <w:tc>
          <w:tcPr>
            <w:tcW w:type="dxa" w:w="1928"/>
          </w:tcPr>
          <w:p>
            <w:pPr>
              <w:spacing w:before="20" w:after="20"/>
            </w:pPr>
            <w:r>
              <w:rPr>
                <w:sz w:val="19"/>
              </w:rPr>
              <w:t>Non</w:t>
            </w:r>
          </w:p>
        </w:tc>
        <w:tc>
          <w:tcPr>
            <w:tcW w:type="dxa" w:w="1928"/>
          </w:tcPr>
          <w:p>
            <w:pPr>
              <w:spacing w:before="20" w:after="20"/>
            </w:pPr>
            <w:r>
              <w:rPr>
                <w:sz w:val="19"/>
              </w:rPr>
              <w:t>Aucune</w:t>
            </w:r>
          </w:p>
        </w:tc>
        <w:tc>
          <w:tcPr>
            <w:tcW w:type="dxa" w:w="1928"/>
          </w:tcPr>
          <w:p>
            <w:pPr>
              <w:spacing w:before="20" w:after="20"/>
            </w:pPr>
            <w:r>
              <w:rPr>
                <w:sz w:val="19"/>
              </w:rPr>
              <w:t>31/12/2026</w:t>
            </w:r>
          </w:p>
        </w:tc>
      </w:tr>
    </w:tbl>
    <w:p>
      <w:pPr>
        <w:spacing w:after="40"/>
      </w:pPr>
    </w:p>
    <w:p>
      <w:pPr>
        <w:pStyle w:val="Heading2"/>
      </w:pPr>
      <w:r>
        <w:t>5.1 Explication des champs qui la demandent</w:t>
      </w:r>
    </w:p>
    <w:p>
      <w:pPr/>
      <w:r>
        <w:rPr>
          <w:b/>
        </w:rPr>
        <w:t xml:space="preserve">Type de document — </w:t>
      </w:r>
      <w:r>
        <w:t>seul champ formellement obligatoire du formulaire. Il est le premier geste parce que tout le reste en découle : sans lui, l'application ne sait ni quels formats accepter, ni quels index demander, ni dans quel dossier ranger la pièce. Après création du document, ce champ est gelé.</w:t>
      </w:r>
    </w:p>
    <w:p>
      <w:pPr/>
      <w:r>
        <w:rPr>
          <w:b/>
        </w:rPr>
        <w:t xml:space="preserve">Choisir un fichier — </w:t>
      </w:r>
      <w:r>
        <w:t>le fichier est obligatoire, mais son absence n'est signalée qu'au moment du clic sur « Téléverser », par le message « Veuillez choisir un fichier. ». Le contrôle d'extension et de taille, lui, est immédiat.</w:t>
      </w:r>
    </w:p>
    <w:p>
      <w:pPr/>
      <w:r>
        <w:rPr>
          <w:b/>
        </w:rPr>
        <w:t xml:space="preserve">Indexation automatique — </w:t>
      </w:r>
      <w:r>
        <w:t>ce n'est pas un passage obligé mais un choix. Il est réglé sur la disponibilité réelle du moteur de lecture : si l'exploitant a coupé la lecture automatique, l'interrupteur est désactivé et son motif est affiché plutôt que de promettre un remplissage qui n'arrivera pas.</w:t>
      </w:r>
    </w:p>
    <w:p>
      <w:pPr/>
      <w:r>
        <w:rPr>
          <w:b/>
        </w:rPr>
        <w:t xml:space="preserve">Champs d'indexation — </w:t>
      </w:r>
      <w:r>
        <w:t>leur nombre, leur ordre, leur nature et leur caractère obligatoire viennent entièrement du plan d'indexation du type. Ils ne sont jamais codés dans l'écran : ajouter un index au plan fait apparaître un champ de plus, sans autre intervention.</w:t>
      </w:r>
    </w:p>
    <w:p>
      <w:pPr/>
      <w:r>
        <w:rPr>
          <w:b/>
        </w:rPr>
        <w:t xml:space="preserve">Nom du document — </w:t>
      </w:r>
      <w:r>
        <w:t xml:space="preserve">il n'est saisissable que si la charte du plan est manuelle, ou si le type n'a pas de plan. En charte automatique, le champ est désactivé plutôt que masqué : l'opérateur doit voir </w:t>
      </w:r>
      <w:r>
        <w:rPr>
          <w:b/>
        </w:rPr>
        <w:t>que</w:t>
      </w:r>
      <w:r>
        <w:t xml:space="preserve"> le nom existe et </w:t>
      </w:r>
      <w:r>
        <w:rPr>
          <w:b/>
        </w:rPr>
        <w:t>d'où</w:t>
      </w:r>
      <w:r>
        <w:t xml:space="preserve"> il viendra, pas le découvrir après coup. Le laisser saisissable reviendrait à faire écrire un nom qu'on remplacerait aussitôt.</w:t>
      </w:r>
    </w:p>
    <w:p>
      <w:pPr/>
      <w:r>
        <w:rPr>
          <w:b/>
        </w:rPr>
        <w:t xml:space="preserve">Étiquettes — </w:t>
      </w:r>
      <w:r>
        <w:t>délibérément facultatives. Elles classent un document en travers des dossiers et des types ; exiger un classement transversal au moment du dépôt bloquerait un opérateur qui veut seulement déposer un fichier. On peut toujours les poser après coup depuis la fiche du document.</w:t>
      </w:r>
    </w:p>
    <w:p>
      <w:pPr/>
      <w:r>
        <w:rPr>
          <w:b/>
        </w:rPr>
        <w:t xml:space="preserve">Date d'expiration — </w:t>
      </w:r>
      <w:r>
        <w:t>facultative et purement informative. Elle n'a d'effet que sur la mise en évidence de la ligne dans la liste des documents, une fois l'échéance passée.</w:t>
      </w:r>
    </w:p>
    <w:p>
      <w:pPr>
        <w:pStyle w:val="Heading2"/>
      </w:pPr>
      <w:r>
        <w:t>5.2 Les valeurs proposées par défaut dans les champs d'index</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Situation</w:t>
            </w:r>
          </w:p>
        </w:tc>
        <w:tc>
          <w:tcPr>
            <w:tcW w:type="dxa" w:w="4819"/>
          </w:tcPr>
          <w:p>
            <w:pPr>
              <w:spacing w:before="20" w:after="20"/>
            </w:pPr>
            <w:r>
              <w:rPr>
                <w:b/>
                <w:sz w:val="19"/>
              </w:rPr>
              <w:t>Valeur de départ du champ</w:t>
            </w:r>
          </w:p>
        </w:tc>
      </w:tr>
      <w:tr>
        <w:tc>
          <w:tcPr>
            <w:tcW w:type="dxa" w:w="4819"/>
          </w:tcPr>
          <w:p>
            <w:pPr>
              <w:spacing w:before="20" w:after="20"/>
            </w:pPr>
            <w:r>
              <w:rPr>
                <w:sz w:val="19"/>
              </w:rPr>
              <w:t>Indexation automatique active et valeur déduite</w:t>
            </w:r>
          </w:p>
        </w:tc>
        <w:tc>
          <w:tcPr>
            <w:tcW w:type="dxa" w:w="4819"/>
          </w:tcPr>
          <w:p>
            <w:pPr>
              <w:spacing w:before="20" w:after="20"/>
            </w:pPr>
            <w:r>
              <w:rPr>
                <w:sz w:val="19"/>
              </w:rPr>
              <w:t>La valeur déduite, avec sa mention de provenance.</w:t>
            </w:r>
          </w:p>
        </w:tc>
      </w:tr>
      <w:tr>
        <w:tc>
          <w:tcPr>
            <w:tcW w:type="dxa" w:w="4819"/>
          </w:tcPr>
          <w:p>
            <w:pPr>
              <w:spacing w:before="20" w:after="20"/>
            </w:pPr>
            <w:r>
              <w:rPr>
                <w:sz w:val="19"/>
              </w:rPr>
              <w:t>Indexation automatique active, index de nature Date non déduit</w:t>
            </w:r>
          </w:p>
        </w:tc>
        <w:tc>
          <w:tcPr>
            <w:tcW w:type="dxa" w:w="4819"/>
          </w:tcPr>
          <w:p>
            <w:pPr>
              <w:spacing w:before="20" w:after="20"/>
            </w:pPr>
            <w:r>
              <w:rPr>
                <w:sz w:val="19"/>
              </w:rPr>
              <w:t>La date du jour. C'est la valeur juste dans la quasi-totalité des dépôts, et elle reste corrigeable avant tout enregistrement.</w:t>
            </w:r>
          </w:p>
        </w:tc>
      </w:tr>
      <w:tr>
        <w:tc>
          <w:tcPr>
            <w:tcW w:type="dxa" w:w="4819"/>
          </w:tcPr>
          <w:p>
            <w:pPr>
              <w:spacing w:before="20" w:after="20"/>
            </w:pPr>
            <w:r>
              <w:rPr>
                <w:sz w:val="19"/>
              </w:rPr>
              <w:t>Indexation automatique active, autre nature non déduite</w:t>
            </w:r>
          </w:p>
        </w:tc>
        <w:tc>
          <w:tcPr>
            <w:tcW w:type="dxa" w:w="4819"/>
          </w:tcPr>
          <w:p>
            <w:pPr>
              <w:spacing w:before="20" w:after="20"/>
            </w:pPr>
            <w:r>
              <w:rPr>
                <w:sz w:val="19"/>
              </w:rPr>
              <w:t>Vide, avec la mention « à saisir » et le motif en infobulle.</w:t>
            </w:r>
          </w:p>
        </w:tc>
      </w:tr>
      <w:tr>
        <w:tc>
          <w:tcPr>
            <w:tcW w:type="dxa" w:w="4819"/>
          </w:tcPr>
          <w:p>
            <w:pPr>
              <w:spacing w:before="20" w:after="20"/>
            </w:pPr>
            <w:r>
              <w:rPr>
                <w:sz w:val="19"/>
              </w:rPr>
              <w:t>Indexation automatique coupée</w:t>
            </w:r>
          </w:p>
        </w:tc>
        <w:tc>
          <w:tcPr>
            <w:tcW w:type="dxa" w:w="4819"/>
          </w:tcPr>
          <w:p>
            <w:pPr>
              <w:spacing w:before="20" w:after="20"/>
            </w:pPr>
            <w:r>
              <w:rPr>
                <w:sz w:val="19"/>
              </w:rPr>
              <w:t>Vide, sans mention de provenance.</w:t>
            </w:r>
          </w:p>
        </w:tc>
      </w:tr>
      <w:tr>
        <w:tc>
          <w:tcPr>
            <w:tcW w:type="dxa" w:w="4819"/>
          </w:tcPr>
          <w:p>
            <w:pPr>
              <w:spacing w:before="20" w:after="20"/>
            </w:pPr>
            <w:r>
              <w:rPr>
                <w:sz w:val="19"/>
              </w:rPr>
              <w:t>Champ déjà touché par l'opérateur</w:t>
            </w:r>
          </w:p>
        </w:tc>
        <w:tc>
          <w:tcPr>
            <w:tcW w:type="dxa" w:w="4819"/>
          </w:tcPr>
          <w:p>
            <w:pPr>
              <w:spacing w:before="20" w:after="20"/>
            </w:pPr>
            <w:r>
              <w:rPr>
                <w:sz w:val="19"/>
              </w:rPr>
              <w:t>La valeur qu'il a saisie, dans tous les cas et quels que soient les réglages.</w:t>
            </w:r>
          </w:p>
        </w:tc>
      </w:tr>
    </w:tbl>
    <w:p>
      <w:pPr>
        <w:spacing w:after="40"/>
      </w:pPr>
    </w:p>
    <w:p>
      <w:pPr>
        <w:pStyle w:val="Heading1"/>
      </w:pPr>
      <w:r>
        <w:t>6. Les règles de gestion</w:t>
      </w:r>
    </w:p>
    <w:p>
      <w:pPr/>
      <w:r>
        <w:rPr>
          <w:b/>
          <w:color w:val="1F3553"/>
        </w:rPr>
        <w:t xml:space="preserve">RG01. </w:t>
      </w:r>
      <w:r>
        <w:t>Rien n'est enregistré dans la GED avant le clic sur « Téléverser » : ni document, ni valeur d'index, ni renommage.</w:t>
      </w:r>
    </w:p>
    <w:p>
      <w:pPr>
        <w:ind w:left="454"/>
      </w:pPr>
      <w:r>
        <w:rPr>
          <w:b/>
          <w:i/>
          <w:sz w:val="20"/>
        </w:rPr>
        <w:t xml:space="preserve">Pourquoi : </w:t>
      </w:r>
      <w:r>
        <w:rPr>
          <w:i/>
          <w:sz w:val="20"/>
        </w:rPr>
        <w:t>Un opérateur qui abandonne en cours de saisie ne doit rien laisser derrière lui. La version antérieure de l'écran écrivait les valeurs déduites avant confirmation et laissait des documents renommés avec des informations que personne n'avait validées.</w:t>
      </w:r>
    </w:p>
    <w:p>
      <w:pPr/>
      <w:r>
        <w:rPr>
          <w:b/>
          <w:color w:val="1F3553"/>
        </w:rPr>
        <w:t xml:space="preserve">RG02. </w:t>
      </w:r>
      <w:r>
        <w:t>La fenêtre ne verrouille jamais sa fermeture : la touche d'échappement, le bouton d'abandon et le clic hors du cadre permettent tous de sortir.</w:t>
      </w:r>
    </w:p>
    <w:p>
      <w:pPr>
        <w:ind w:left="454"/>
      </w:pPr>
      <w:r>
        <w:rPr>
          <w:b/>
          <w:i/>
          <w:sz w:val="20"/>
        </w:rPr>
        <w:t xml:space="preserve">Pourquoi : </w:t>
      </w:r>
      <w:r>
        <w:rPr>
          <w:i/>
          <w:sz w:val="20"/>
        </w:rPr>
        <w:t>Retenir quelqu'un devant un formulaire est précisément ce que la page unique devait supprimer. La version antérieure obligeait à recharger la page entière pour se dégager.</w:t>
      </w:r>
    </w:p>
    <w:p>
      <w:pPr/>
      <w:r>
        <w:rPr>
          <w:b/>
          <w:color w:val="1F3553"/>
        </w:rPr>
        <w:t xml:space="preserve">RG03. </w:t>
      </w:r>
      <w:r>
        <w:t>Les champs d'indexation apparaissent dès le choix du type, vides, avant le fichier.</w:t>
      </w:r>
    </w:p>
    <w:p>
      <w:pPr>
        <w:ind w:left="454"/>
      </w:pPr>
      <w:r>
        <w:rPr>
          <w:b/>
          <w:i/>
          <w:sz w:val="20"/>
        </w:rPr>
        <w:t xml:space="preserve">Pourquoi : </w:t>
      </w:r>
      <w:r>
        <w:rPr>
          <w:i/>
          <w:sz w:val="20"/>
        </w:rPr>
        <w:t>L'opérateur doit savoir immédiatement quelles informations lui seront demandées. Les afficher après le fichier l'obligerait à découvrir trop tard qu'il lui manque une donnée.</w:t>
      </w:r>
    </w:p>
    <w:p>
      <w:pPr/>
      <w:r>
        <w:rPr>
          <w:b/>
          <w:color w:val="1F3553"/>
        </w:rPr>
        <w:t xml:space="preserve">RG04. </w:t>
      </w:r>
      <w:r>
        <w:t>La saisie manuelle prime toujours. Dès que l'opérateur tape, choisit ou efface une valeur, ce champ lui appartient : il ne sera plus jamais écrasé par une proposition, ni par une nouvelle analyse, ni par le basculement de l'interrupteur, ni par un changement de fichier.</w:t>
      </w:r>
    </w:p>
    <w:p>
      <w:pPr>
        <w:ind w:left="454"/>
      </w:pPr>
      <w:r>
        <w:rPr>
          <w:b/>
          <w:i/>
          <w:sz w:val="20"/>
        </w:rPr>
        <w:t xml:space="preserve">Pourquoi : </w:t>
      </w:r>
      <w:r>
        <w:rPr>
          <w:i/>
          <w:sz w:val="20"/>
        </w:rPr>
        <w:t>Corriger une valeur est un acte délibéré, pris en connaissance de cause, souvent en ayant le document sous les yeux. La machine n'a aucune raison de revenir dessus. Vider un champ à la main est un geste tout aussi délibéré qu'une saisie.</w:t>
      </w:r>
    </w:p>
    <w:p>
      <w:pPr/>
      <w:r>
        <w:rPr>
          <w:b/>
          <w:color w:val="1F3553"/>
        </w:rPr>
        <w:t xml:space="preserve">RG05. </w:t>
      </w:r>
      <w:r>
        <w:t>L'appartenance d'un champ à l'opérateur est marquée explicitement ; elle ne se déduit pas de la provenance de la valeur.</w:t>
      </w:r>
    </w:p>
    <w:p>
      <w:pPr>
        <w:ind w:left="454"/>
      </w:pPr>
      <w:r>
        <w:rPr>
          <w:b/>
          <w:i/>
          <w:sz w:val="20"/>
        </w:rPr>
        <w:t xml:space="preserve">Pourquoi : </w:t>
      </w:r>
      <w:r>
        <w:rPr>
          <w:i/>
          <w:sz w:val="20"/>
        </w:rPr>
        <w:t>La provenance décrit la proposition faite par l'application et ne change pas quand l'opérateur tape par-dessus. S'y fier revenait à effacer une correction manuelle en croyant retirer une suggestion de la machine.</w:t>
      </w:r>
    </w:p>
    <w:p>
      <w:pPr/>
      <w:r>
        <w:rPr>
          <w:b/>
          <w:color w:val="1F3553"/>
        </w:rPr>
        <w:t xml:space="preserve">RG06. </w:t>
      </w:r>
      <w:r>
        <w:t>Toute analyse en cours est annulée quand l'opérateur retire le fichier, en change, change de type ou coupe l'indexation automatique.</w:t>
      </w:r>
    </w:p>
    <w:p>
      <w:pPr>
        <w:ind w:left="454"/>
      </w:pPr>
      <w:r>
        <w:rPr>
          <w:b/>
          <w:i/>
          <w:sz w:val="20"/>
        </w:rPr>
        <w:t xml:space="preserve">Pourquoi : </w:t>
      </w:r>
      <w:r>
        <w:rPr>
          <w:i/>
          <w:sz w:val="20"/>
        </w:rPr>
        <w:t>Sans annulation, la réponse précédente arrive après coup et repeuple des champs qui ne correspondent plus à rien : l'opérateur voit apparaître les données d'un fichier abandonné, sans que rien ne signale la substitution.</w:t>
      </w:r>
    </w:p>
    <w:p>
      <w:pPr/>
      <w:r>
        <w:rPr>
          <w:b/>
          <w:color w:val="1F3553"/>
        </w:rPr>
        <w:t xml:space="preserve">RG07. </w:t>
      </w:r>
      <w:r>
        <w:t>Seule la dernière analyse demandée peut aboutir.</w:t>
      </w:r>
    </w:p>
    <w:p>
      <w:pPr>
        <w:ind w:left="454"/>
      </w:pPr>
      <w:r>
        <w:rPr>
          <w:b/>
          <w:i/>
          <w:sz w:val="20"/>
        </w:rPr>
        <w:t xml:space="preserve">Pourquoi : </w:t>
      </w:r>
      <w:r>
        <w:rPr>
          <w:i/>
          <w:sz w:val="20"/>
        </w:rPr>
        <w:t>Un fichier lourd suivi d'un autre fichier faisait arriver la réponse abandonnée après la bonne, et elle écrasait les champs. Le message d'attente était déjà retombé, donc rien ne signalait l'échange.</w:t>
      </w:r>
    </w:p>
    <w:p>
      <w:pPr/>
      <w:r>
        <w:rPr>
          <w:b/>
          <w:color w:val="1F3553"/>
        </w:rPr>
        <w:t xml:space="preserve">RG08. </w:t>
      </w:r>
      <w:r>
        <w:t>Changer de type efface la mémoire des champs saisis à la main.</w:t>
      </w:r>
    </w:p>
    <w:p>
      <w:pPr>
        <w:ind w:left="454"/>
      </w:pPr>
      <w:r>
        <w:rPr>
          <w:b/>
          <w:i/>
          <w:sz w:val="20"/>
        </w:rPr>
        <w:t xml:space="preserve">Pourquoi : </w:t>
      </w:r>
      <w:r>
        <w:rPr>
          <w:i/>
          <w:sz w:val="20"/>
        </w:rPr>
        <w:t>Changer de type change de plan, donc de champs : les saisies notées portaient sur des index qui n'existent plus dans le nouveau contexte.</w:t>
      </w:r>
    </w:p>
    <w:p>
      <w:pPr/>
      <w:r>
        <w:rPr>
          <w:b/>
          <w:color w:val="1F3553"/>
        </w:rPr>
        <w:t xml:space="preserve">RG09. </w:t>
      </w:r>
      <w:r>
        <w:t>Le contrôle du fichier est effectué localement, avant tout envoi.</w:t>
      </w:r>
    </w:p>
    <w:p>
      <w:pPr>
        <w:ind w:left="454"/>
      </w:pPr>
      <w:r>
        <w:rPr>
          <w:b/>
          <w:i/>
          <w:sz w:val="20"/>
        </w:rPr>
        <w:t xml:space="preserve">Pourquoi : </w:t>
      </w:r>
      <w:r>
        <w:rPr>
          <w:i/>
          <w:sz w:val="20"/>
        </w:rPr>
        <w:t>Un fichier de plusieurs giga-octets était transmis en entier pour n'aboutir qu'à un échec : l'opérateur attendait plusieurs minutes, puis se retrouvait devant une erreur muette, sans savoir ce qu'on lui reprochait. Le contrôle immédiat lui rend la main tout de suite et lui dit ce qui est accepté.</w:t>
      </w:r>
    </w:p>
    <w:p>
      <w:pPr/>
      <w:r>
        <w:rPr>
          <w:b/>
          <w:color w:val="1F3553"/>
        </w:rPr>
        <w:t xml:space="preserve">RG10. </w:t>
      </w:r>
      <w:r>
        <w:t>Un message de refus dit ce qui est accepté, pas seulement ce qui est refusé, et exprime les tailles en unité lisible.</w:t>
      </w:r>
    </w:p>
    <w:p>
      <w:pPr>
        <w:ind w:left="454"/>
      </w:pPr>
      <w:r>
        <w:rPr>
          <w:b/>
          <w:i/>
          <w:sz w:val="20"/>
        </w:rPr>
        <w:t xml:space="preserve">Pourquoi : </w:t>
      </w:r>
      <w:r>
        <w:rPr>
          <w:i/>
          <w:sz w:val="20"/>
        </w:rPr>
        <w:t>« Le fichier pèse 2,5 Go : la limite est de 20 Mo. » permet d'agir. Une taille exprimée en octets bruts oblige l'opérateur à faire une division pour comprendre ce qu'on lui reproche.</w:t>
      </w:r>
    </w:p>
    <w:p>
      <w:pPr/>
      <w:r>
        <w:rPr>
          <w:b/>
          <w:color w:val="1F3553"/>
        </w:rPr>
        <w:t xml:space="preserve">RG11. </w:t>
      </w:r>
      <w:r>
        <w:t>Le plafond applicable est celui du type, sans jamais dépasser le plafond général de l'application, fixé à cent méga-octets.</w:t>
      </w:r>
    </w:p>
    <w:p>
      <w:pPr>
        <w:ind w:left="454"/>
      </w:pPr>
      <w:r>
        <w:rPr>
          <w:b/>
          <w:i/>
          <w:sz w:val="20"/>
        </w:rPr>
        <w:t xml:space="preserve">Pourquoi : </w:t>
      </w:r>
      <w:r>
        <w:rPr>
          <w:i/>
          <w:sz w:val="20"/>
        </w:rPr>
        <w:t>Un type qui déclarerait davantage se heurterait de toute façon au plafond général. Annoncer une limite qu'on ne peut pas tenir revient à promettre un dépôt qui échouera.</w:t>
      </w:r>
    </w:p>
    <w:p>
      <w:pPr/>
      <w:r>
        <w:rPr>
          <w:b/>
          <w:color w:val="1F3553"/>
        </w:rPr>
        <w:t xml:space="preserve">RG12. </w:t>
      </w:r>
      <w:r>
        <w:t>L'analyse applique exactement les mêmes contrôles de type, de format et de taille que le dépôt qu'elle précède.</w:t>
      </w:r>
    </w:p>
    <w:p>
      <w:pPr>
        <w:ind w:left="454"/>
      </w:pPr>
      <w:r>
        <w:rPr>
          <w:b/>
          <w:i/>
          <w:sz w:val="20"/>
        </w:rPr>
        <w:t xml:space="preserve">Pourquoi : </w:t>
      </w:r>
      <w:r>
        <w:rPr>
          <w:i/>
          <w:sz w:val="20"/>
        </w:rPr>
        <w:t>L'écran demande une analyse à chaque sélection de fichier. Sans ces contrôles, l'application acceptait de lire, à chaque sélection, des fichiers qu'elle aurait de toute façon refusés au dépôt.</w:t>
      </w:r>
    </w:p>
    <w:p>
      <w:pPr/>
      <w:r>
        <w:rPr>
          <w:b/>
          <w:color w:val="1F3553"/>
        </w:rPr>
        <w:t xml:space="preserve">RG13. </w:t>
      </w:r>
      <w:r>
        <w:t>Le fichier remis pour l'analyse n'est pas conservé : il sert à la lecture, et rien n'en subsiste ensuite.</w:t>
      </w:r>
    </w:p>
    <w:p>
      <w:pPr>
        <w:ind w:left="454"/>
      </w:pPr>
      <w:r>
        <w:rPr>
          <w:b/>
          <w:i/>
          <w:sz w:val="20"/>
        </w:rPr>
        <w:t xml:space="preserve">Pourquoi : </w:t>
      </w:r>
      <w:r>
        <w:rPr>
          <w:i/>
          <w:sz w:val="20"/>
        </w:rPr>
        <w:t>Ce fichier n'a pas été confié à la GED. Tant que l'opérateur n'a pas cliqué sur « Téléverser », il ne doit rien laisser derrière lui.</w:t>
      </w:r>
    </w:p>
    <w:p>
      <w:pPr/>
      <w:r>
        <w:rPr>
          <w:b/>
          <w:color w:val="1F3553"/>
        </w:rPr>
        <w:t xml:space="preserve">RG14. </w:t>
      </w:r>
      <w:r>
        <w:t>Le contenu du document n'est lu que si le nom du fichier ne suffit pas à renseigner tous les champs.</w:t>
      </w:r>
    </w:p>
    <w:p>
      <w:pPr>
        <w:ind w:left="454"/>
      </w:pPr>
      <w:r>
        <w:rPr>
          <w:b/>
          <w:i/>
          <w:sz w:val="20"/>
        </w:rPr>
        <w:t xml:space="preserve">Pourquoi : </w:t>
      </w:r>
      <w:r>
        <w:rPr>
          <w:i/>
          <w:sz w:val="20"/>
        </w:rPr>
        <w:t>Ouvrir un document, à plus forte raison en faire la reconnaissance optique, coûte cher en temps de traitement — et l'opérateur attend devant son formulaire.</w:t>
      </w:r>
    </w:p>
    <w:p>
      <w:pPr/>
      <w:r>
        <w:rPr>
          <w:b/>
          <w:color w:val="1F3553"/>
        </w:rPr>
        <w:t xml:space="preserve">RG15. </w:t>
      </w:r>
      <w:r>
        <w:t>Une valeur lue dans le contenu est contrôlée comme n'importe quelle saisie. La lecture automatique n'a aucun passe-droit.</w:t>
      </w:r>
    </w:p>
    <w:p>
      <w:pPr>
        <w:ind w:left="454"/>
      </w:pPr>
      <w:r>
        <w:rPr>
          <w:b/>
          <w:i/>
          <w:sz w:val="20"/>
        </w:rPr>
        <w:t xml:space="preserve">Pourquoi : </w:t>
      </w:r>
      <w:r>
        <w:rPr>
          <w:i/>
          <w:sz w:val="20"/>
        </w:rPr>
        <w:t>Une valeur qui ne respecte pas la nature de son index doit être rejetée quelle que soit son origine, sans quoi la lecture automatique deviendrait une porte d'entrée pour des données que le formulaire refuserait.</w:t>
      </w:r>
    </w:p>
    <w:p>
      <w:pPr/>
      <w:r>
        <w:rPr>
          <w:b/>
          <w:color w:val="1F3553"/>
        </w:rPr>
        <w:t xml:space="preserve">RG16. </w:t>
      </w:r>
      <w:r>
        <w:t>Le nom du document est recomposé en direct à partir des valeurs, du séparateur, de la casse et de l'ordre des jetons de la charte.</w:t>
      </w:r>
    </w:p>
    <w:p>
      <w:pPr>
        <w:ind w:left="454"/>
      </w:pPr>
      <w:r>
        <w:rPr>
          <w:b/>
          <w:i/>
          <w:sz w:val="20"/>
        </w:rPr>
        <w:t xml:space="preserve">Pourquoi : </w:t>
      </w:r>
      <w:r>
        <w:rPr>
          <w:i/>
          <w:sz w:val="20"/>
        </w:rPr>
        <w:t>Un nom figé sur la proposition initiale devient faux dès la première correction. Un champ vidé pour éviter ce mensonge en créait un autre : quand la lecture ne reconnaît rien, l'opérateur saisissait ses champs sans plus voir aucun nom, et déposait à l'aveugle.</w:t>
      </w:r>
    </w:p>
    <w:p>
      <w:pPr/>
      <w:r>
        <w:rPr>
          <w:b/>
          <w:color w:val="1F3553"/>
        </w:rPr>
        <w:t xml:space="preserve">RG17. </w:t>
      </w:r>
      <w:r>
        <w:t>Les jetons système du nom sont conservés tels que l'application les a calculés lors de l'analyse.</w:t>
      </w:r>
    </w:p>
    <w:p>
      <w:pPr>
        <w:ind w:left="454"/>
      </w:pPr>
      <w:r>
        <w:rPr>
          <w:b/>
          <w:i/>
          <w:sz w:val="20"/>
        </w:rPr>
        <w:t xml:space="preserve">Pourquoi : </w:t>
      </w:r>
      <w:r>
        <w:rPr>
          <w:i/>
          <w:sz w:val="20"/>
        </w:rPr>
        <w:t>L'horodatage retenu est celui du moment de l'analyse. Le recalculer pendant la saisie produirait, à quelques secondes près, un nom différent de celui qui sera réellement gravé sur le document.</w:t>
      </w:r>
    </w:p>
    <w:p>
      <w:pPr/>
      <w:r>
        <w:rPr>
          <w:b/>
          <w:color w:val="1F3553"/>
        </w:rPr>
        <w:t xml:space="preserve">RG18. </w:t>
      </w:r>
      <w:r>
        <w:t>Un index obligatoire vide bloque le dépôt, et le blocage est expliqué : le décompte s'affiche dans le pied de la fenêtre.</w:t>
      </w:r>
    </w:p>
    <w:p>
      <w:pPr>
        <w:ind w:left="454"/>
      </w:pPr>
      <w:r>
        <w:rPr>
          <w:b/>
          <w:i/>
          <w:sz w:val="20"/>
        </w:rPr>
        <w:t xml:space="preserve">Pourquoi : </w:t>
      </w:r>
      <w:r>
        <w:rPr>
          <w:i/>
          <w:sz w:val="20"/>
        </w:rPr>
        <w:t xml:space="preserve">Ces index seraient de toute façon refusés, mais ils le seraient </w:t>
      </w:r>
      <w:r>
        <w:rPr>
          <w:b/>
          <w:i/>
          <w:sz w:val="20"/>
        </w:rPr>
        <w:t>après</w:t>
      </w:r>
      <w:r>
        <w:rPr>
          <w:i/>
          <w:sz w:val="20"/>
        </w:rPr>
        <w:t xml:space="preserve"> la création du document, qui resterait alors à indexer. Mieux vaut empêcher le geste que d'avoir à le rattraper. Un bouton inactif sans raison affichée est le pire des refus.</w:t>
      </w:r>
    </w:p>
    <w:p>
      <w:pPr/>
      <w:r>
        <w:rPr>
          <w:b/>
          <w:color w:val="1F3553"/>
        </w:rPr>
        <w:t xml:space="preserve">RG19. </w:t>
      </w:r>
      <w:r>
        <w:t>Un index facultatif vide n'empêche pas de déposer.</w:t>
      </w:r>
    </w:p>
    <w:p>
      <w:pPr>
        <w:ind w:left="454"/>
      </w:pPr>
      <w:r>
        <w:rPr>
          <w:b/>
          <w:i/>
          <w:sz w:val="20"/>
        </w:rPr>
        <w:t xml:space="preserve">Pourquoi : </w:t>
      </w:r>
      <w:r>
        <w:rPr>
          <w:i/>
          <w:sz w:val="20"/>
        </w:rPr>
        <w:t>La nuance est celle qui compte : le document partira avec un champ non renseigné, et c'est un choix que l'opérateur doit pouvoir faire en connaissance de cause. Le décompte l'en informe sans l'arrêter.</w:t>
      </w:r>
    </w:p>
    <w:p>
      <w:pPr/>
      <w:r>
        <w:rPr>
          <w:b/>
          <w:color w:val="1F3553"/>
        </w:rPr>
        <w:t xml:space="preserve">RG20. </w:t>
      </w:r>
      <w:r>
        <w:t>Un double clic ne crée jamais deux documents.</w:t>
      </w:r>
    </w:p>
    <w:p>
      <w:pPr>
        <w:ind w:left="454"/>
      </w:pPr>
      <w:r>
        <w:rPr>
          <w:b/>
          <w:i/>
          <w:sz w:val="20"/>
        </w:rPr>
        <w:t xml:space="preserve">Pourquoi : </w:t>
      </w:r>
      <w:r>
        <w:rPr>
          <w:i/>
          <w:sz w:val="20"/>
        </w:rPr>
        <w:t>Deux clics émis dans la même fraction de seconde partent avant que le bouton n'ait été rendu inactif à l'écran. Sans une garde explicite, ils créaient deux documents identiques.</w:t>
      </w:r>
    </w:p>
    <w:p>
      <w:pPr/>
      <w:r>
        <w:rPr>
          <w:b/>
          <w:color w:val="1F3553"/>
        </w:rPr>
        <w:t xml:space="preserve">RG21. </w:t>
      </w:r>
      <w:r>
        <w:t>Une fois le document créé, son type et son fichier sont gelés.</w:t>
      </w:r>
    </w:p>
    <w:p>
      <w:pPr>
        <w:ind w:left="454"/>
      </w:pPr>
      <w:r>
        <w:rPr>
          <w:b/>
          <w:i/>
          <w:sz w:val="20"/>
        </w:rPr>
        <w:t xml:space="preserve">Pourquoi : </w:t>
      </w:r>
      <w:r>
        <w:rPr>
          <w:i/>
          <w:sz w:val="20"/>
        </w:rPr>
        <w:t>Sans ce gel, un dépôt dont l'indexation avait échoué laissait tout modifiable : on changeait de type, les champs devenaient ceux d'un autre plan, et « Réessayer » écrivait ces index-là sur un document qui n'en relevait pas — ses propres index obligatoires n'ayant jamais été vérifiés. C'est une atteinte à l'intégrité des données, pas une gêne d'affichage.</w:t>
      </w:r>
    </w:p>
    <w:p>
      <w:pPr/>
      <w:r>
        <w:rPr>
          <w:b/>
          <w:color w:val="1F3553"/>
        </w:rPr>
        <w:t xml:space="preserve">RG22. </w:t>
      </w:r>
      <w:r>
        <w:t>Le dépôt ouvre le circuit de validation du dossier : une demande de signature est créée par étape de la règle de workflow. Le document est alors inactif. S'il n'y a aucune étape, il est actif immédiatement.</w:t>
      </w:r>
    </w:p>
    <w:p>
      <w:pPr>
        <w:ind w:left="454"/>
      </w:pPr>
      <w:r>
        <w:rPr>
          <w:b/>
          <w:i/>
          <w:sz w:val="20"/>
        </w:rPr>
        <w:t xml:space="preserve">Pourquoi : </w:t>
      </w:r>
      <w:r>
        <w:rPr>
          <w:i/>
          <w:sz w:val="20"/>
        </w:rPr>
        <w:t>Le circuit doit démarrer au moment exact où la pièce entre dans le fonds. Le différer laisserait des documents en attente de rien, invisibles des approbateurs.</w:t>
      </w:r>
    </w:p>
    <w:p>
      <w:pPr/>
      <w:r>
        <w:rPr>
          <w:b/>
          <w:color w:val="1F3553"/>
        </w:rPr>
        <w:t xml:space="preserve">RG23. </w:t>
      </w:r>
      <w:r>
        <w:t xml:space="preserve">Le nom définitif du document est composé au moment de l'enregistrement des index, et pas avant. Un jeton sans valeur est </w:t>
      </w:r>
      <w:r>
        <w:rPr>
          <w:b/>
        </w:rPr>
        <w:t>omis</w:t>
      </w:r>
      <w:r>
        <w:t xml:space="preserve"> du nom.</w:t>
      </w:r>
    </w:p>
    <w:p>
      <w:pPr>
        <w:ind w:left="454"/>
      </w:pPr>
      <w:r>
        <w:rPr>
          <w:b/>
          <w:i/>
          <w:sz w:val="20"/>
        </w:rPr>
        <w:t xml:space="preserve">Pourquoi : </w:t>
      </w:r>
      <w:r>
        <w:rPr>
          <w:i/>
          <w:sz w:val="20"/>
        </w:rPr>
        <w:t>La confirmation de l'opérateur vaut validation : c'est là, et nulle part avant, que le nom peut être gravé. L'omission remplace un ancien marquage par point d'interrogation, caractère interdit dans un nom de fichier sous Windows et réservé dans une adresse, qui rendait la pièce inenregistrable sur le poste de travail.</w:t>
      </w:r>
    </w:p>
    <w:p>
      <w:pPr/>
      <w:r>
        <w:rPr>
          <w:b/>
          <w:color w:val="1F3553"/>
        </w:rPr>
        <w:t xml:space="preserve">RG24. </w:t>
      </w:r>
      <w:r>
        <w:t>Le créateur du document est l'utilisateur authentifié. Le poste de travail ne le déclare pas.</w:t>
      </w:r>
    </w:p>
    <w:p>
      <w:pPr>
        <w:ind w:left="454"/>
      </w:pPr>
      <w:r>
        <w:rPr>
          <w:b/>
          <w:i/>
          <w:sz w:val="20"/>
        </w:rPr>
        <w:t xml:space="preserve">Pourquoi : </w:t>
      </w:r>
      <w:r>
        <w:rPr>
          <w:i/>
          <w:sz w:val="20"/>
        </w:rPr>
        <w:t>La colonne « Créateur » sert de trace de responsabilité du dépôt. Si le navigateur pouvait la désigner, la trace deviendrait purement déclarative.</w:t>
      </w:r>
    </w:p>
    <w:p>
      <w:pPr>
        <w:pStyle w:val="Heading1"/>
      </w:pPr>
      <w:r>
        <w:t>7. Les contrôles et les refus</w:t>
      </w:r>
    </w:p>
    <w:p>
      <w:pPr>
        <w:pStyle w:val="Heading2"/>
      </w:pPr>
      <w:r>
        <w:t>7.1 Contrôles locaux, avant tout envoi</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L'extension du fichier n'est pas acceptée par le type</w:t>
            </w:r>
          </w:p>
        </w:tc>
        <w:tc>
          <w:tcPr>
            <w:tcW w:type="dxa" w:w="3213"/>
          </w:tcPr>
          <w:p>
            <w:pPr>
              <w:spacing w:before="20" w:after="20"/>
            </w:pPr>
            <w:r>
              <w:rPr>
                <w:sz w:val="19"/>
              </w:rPr>
              <w:t>Le type « Facture » n'accepte que les fichiers .pdf, .docx — celui-ci est un .png.</w:t>
            </w:r>
          </w:p>
        </w:tc>
        <w:tc>
          <w:tcPr>
            <w:tcW w:type="dxa" w:w="3213"/>
          </w:tcPr>
          <w:p>
            <w:pPr>
              <w:spacing w:before="20" w:after="20"/>
            </w:pPr>
            <w:r>
              <w:rPr>
                <w:sz w:val="19"/>
              </w:rPr>
              <w:t>Le fichier n'est pas envoyé, aucune analyse n'est demandée, le bouton de dépôt reste inactif. L'opérateur sait quels formats choisir.</w:t>
            </w:r>
          </w:p>
        </w:tc>
      </w:tr>
      <w:tr>
        <w:tc>
          <w:tcPr>
            <w:tcW w:type="dxa" w:w="3213"/>
          </w:tcPr>
          <w:p>
            <w:pPr>
              <w:spacing w:before="20" w:after="20"/>
            </w:pPr>
            <w:r>
              <w:rPr>
                <w:sz w:val="19"/>
              </w:rPr>
              <w:t>Le fichier dépasse le plafond applicable</w:t>
            </w:r>
          </w:p>
        </w:tc>
        <w:tc>
          <w:tcPr>
            <w:tcW w:type="dxa" w:w="3213"/>
          </w:tcPr>
          <w:p>
            <w:pPr>
              <w:spacing w:before="20" w:after="20"/>
            </w:pPr>
            <w:r>
              <w:rPr>
                <w:sz w:val="19"/>
              </w:rPr>
              <w:t>Le fichier pèse 2,5 Go : la limite est de 20 Mo.</w:t>
            </w:r>
          </w:p>
        </w:tc>
        <w:tc>
          <w:tcPr>
            <w:tcW w:type="dxa" w:w="3213"/>
          </w:tcPr>
          <w:p>
            <w:pPr>
              <w:spacing w:before="20" w:after="20"/>
            </w:pPr>
            <w:r>
              <w:rPr>
                <w:sz w:val="19"/>
              </w:rPr>
              <w:t>Idem. La taille est exprimée en unité lisible et la limite est nommée.</w:t>
            </w:r>
          </w:p>
        </w:tc>
      </w:tr>
      <w:tr>
        <w:tc>
          <w:tcPr>
            <w:tcW w:type="dxa" w:w="3213"/>
          </w:tcPr>
          <w:p>
            <w:pPr>
              <w:spacing w:before="20" w:after="20"/>
            </w:pPr>
            <w:r>
              <w:rPr>
                <w:sz w:val="19"/>
              </w:rPr>
              <w:t>Un index obligatoire est vide</w:t>
            </w:r>
          </w:p>
        </w:tc>
        <w:tc>
          <w:tcPr>
            <w:tcW w:type="dxa" w:w="3213"/>
          </w:tcPr>
          <w:p>
            <w:pPr>
              <w:spacing w:before="20" w:after="20"/>
            </w:pPr>
            <w:r>
              <w:rPr>
                <w:sz w:val="19"/>
              </w:rPr>
              <w:t>N champ(s) obligatoire(s) à renseigner</w:t>
            </w:r>
          </w:p>
        </w:tc>
        <w:tc>
          <w:tcPr>
            <w:tcW w:type="dxa" w:w="3213"/>
          </w:tcPr>
          <w:p>
            <w:pPr>
              <w:spacing w:before="20" w:after="20"/>
            </w:pPr>
            <w:r>
              <w:rPr>
                <w:sz w:val="19"/>
              </w:rPr>
              <w:t>Le bouton de dépôt est inactif tant que le décompte n'est pas retombé à zéro.</w:t>
            </w:r>
          </w:p>
        </w:tc>
      </w:tr>
      <w:tr>
        <w:tc>
          <w:tcPr>
            <w:tcW w:type="dxa" w:w="3213"/>
          </w:tcPr>
          <w:p>
            <w:pPr>
              <w:spacing w:before="20" w:after="20"/>
            </w:pPr>
            <w:r>
              <w:rPr>
                <w:sz w:val="19"/>
              </w:rPr>
              <w:t>Un index facultatif est vide</w:t>
            </w:r>
          </w:p>
        </w:tc>
        <w:tc>
          <w:tcPr>
            <w:tcW w:type="dxa" w:w="3213"/>
          </w:tcPr>
          <w:p>
            <w:pPr>
              <w:spacing w:before="20" w:after="20"/>
            </w:pPr>
            <w:r>
              <w:rPr>
                <w:sz w:val="19"/>
              </w:rPr>
              <w:t>N champ(s) non renseigné(s)</w:t>
            </w:r>
          </w:p>
        </w:tc>
        <w:tc>
          <w:tcPr>
            <w:tcW w:type="dxa" w:w="3213"/>
          </w:tcPr>
          <w:p>
            <w:pPr>
              <w:spacing w:before="20" w:after="20"/>
            </w:pPr>
            <w:r>
              <w:rPr>
                <w:sz w:val="19"/>
              </w:rPr>
              <w:t>Aucun blocage. L'information est donnée, la décision revient à l'opérateur.</w:t>
            </w:r>
          </w:p>
        </w:tc>
      </w:tr>
      <w:tr>
        <w:tc>
          <w:tcPr>
            <w:tcW w:type="dxa" w:w="3213"/>
          </w:tcPr>
          <w:p>
            <w:pPr>
              <w:spacing w:before="20" w:after="20"/>
            </w:pPr>
            <w:r>
              <w:rPr>
                <w:sz w:val="19"/>
              </w:rPr>
              <w:t>Le type de document n'est pas choisi</w:t>
            </w:r>
          </w:p>
        </w:tc>
        <w:tc>
          <w:tcPr>
            <w:tcW w:type="dxa" w:w="3213"/>
          </w:tcPr>
          <w:p>
            <w:pPr>
              <w:spacing w:before="20" w:after="20"/>
            </w:pPr>
            <w:r>
              <w:rPr>
                <w:sz w:val="19"/>
              </w:rPr>
              <w:t>Le type de document est obligatoire</w:t>
            </w:r>
          </w:p>
        </w:tc>
        <w:tc>
          <w:tcPr>
            <w:tcW w:type="dxa" w:w="3213"/>
          </w:tcPr>
          <w:p>
            <w:pPr>
              <w:spacing w:before="20" w:after="20"/>
            </w:pPr>
            <w:r>
              <w:rPr>
                <w:sz w:val="19"/>
              </w:rPr>
              <w:t>Le message apparaît sous le champ après une tentative de validation.</w:t>
            </w:r>
          </w:p>
        </w:tc>
      </w:tr>
      <w:tr>
        <w:tc>
          <w:tcPr>
            <w:tcW w:type="dxa" w:w="3213"/>
          </w:tcPr>
          <w:p>
            <w:pPr>
              <w:spacing w:before="20" w:after="20"/>
            </w:pPr>
            <w:r>
              <w:rPr>
                <w:sz w:val="19"/>
              </w:rPr>
              <w:t>Aucun fichier n'est choisi</w:t>
            </w:r>
          </w:p>
        </w:tc>
        <w:tc>
          <w:tcPr>
            <w:tcW w:type="dxa" w:w="3213"/>
          </w:tcPr>
          <w:p>
            <w:pPr>
              <w:spacing w:before="20" w:after="20"/>
            </w:pPr>
            <w:r>
              <w:rPr>
                <w:sz w:val="19"/>
              </w:rPr>
              <w:t>Veuillez choisir un fichier.</w:t>
            </w:r>
          </w:p>
        </w:tc>
        <w:tc>
          <w:tcPr>
            <w:tcW w:type="dxa" w:w="3213"/>
          </w:tcPr>
          <w:p>
            <w:pPr>
              <w:spacing w:before="20" w:after="20"/>
            </w:pPr>
            <w:r>
              <w:rPr>
                <w:sz w:val="19"/>
              </w:rPr>
              <w:t>Le message apparaît dans la zone d'erreur de la fenêtre au clic sur « Téléverser ».</w:t>
            </w:r>
          </w:p>
        </w:tc>
      </w:tr>
    </w:tbl>
    <w:p>
      <w:pPr>
        <w:spacing w:after="40"/>
      </w:pPr>
    </w:p>
    <w:p>
      <w:pPr>
        <w:pStyle w:val="Heading2"/>
      </w:pPr>
      <w:r>
        <w:t>7.2 Avertissements de lecture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Situation</w:t>
            </w:r>
          </w:p>
        </w:tc>
        <w:tc>
          <w:tcPr>
            <w:tcW w:type="dxa" w:w="4819"/>
          </w:tcPr>
          <w:p>
            <w:pPr>
              <w:spacing w:before="20" w:after="20"/>
            </w:pPr>
            <w:r>
              <w:rPr>
                <w:b/>
                <w:sz w:val="19"/>
              </w:rPr>
              <w:t>Message exact affiché</w:t>
            </w:r>
          </w:p>
        </w:tc>
      </w:tr>
      <w:tr>
        <w:tc>
          <w:tcPr>
            <w:tcW w:type="dxa" w:w="4819"/>
          </w:tcPr>
          <w:p>
            <w:pPr>
              <w:spacing w:before="20" w:after="20"/>
            </w:pPr>
            <w:r>
              <w:rPr>
                <w:sz w:val="19"/>
              </w:rPr>
              <w:t>Le type n'a pas de plan d'indexation</w:t>
            </w:r>
          </w:p>
        </w:tc>
        <w:tc>
          <w:tcPr>
            <w:tcW w:type="dxa" w:w="4819"/>
          </w:tcPr>
          <w:p>
            <w:pPr>
              <w:spacing w:before="20" w:after="20"/>
            </w:pPr>
            <w:r>
              <w:rPr>
                <w:sz w:val="19"/>
              </w:rPr>
              <w:t>Le type &lt;nom&gt; n'a pas de plan d'indexation : le document sera déposé sans aucun index.</w:t>
            </w:r>
          </w:p>
        </w:tc>
      </w:tr>
      <w:tr>
        <w:tc>
          <w:tcPr>
            <w:tcW w:type="dxa" w:w="4819"/>
          </w:tcPr>
          <w:p>
            <w:pPr>
              <w:spacing w:before="20" w:after="20"/>
            </w:pPr>
            <w:r>
              <w:rPr>
                <w:sz w:val="19"/>
              </w:rPr>
              <w:t>La lecture automatique est indisponible</w:t>
            </w:r>
          </w:p>
        </w:tc>
        <w:tc>
          <w:tcPr>
            <w:tcW w:type="dxa" w:w="4819"/>
          </w:tcPr>
          <w:p>
            <w:pPr>
              <w:spacing w:before="20" w:after="20"/>
            </w:pPr>
            <w:r>
              <w:rPr>
                <w:sz w:val="19"/>
              </w:rPr>
              <w:t>La lecture automatique est désactivée sur ce serveur.</w:t>
            </w:r>
          </w:p>
        </w:tc>
      </w:tr>
      <w:tr>
        <w:tc>
          <w:tcPr>
            <w:tcW w:type="dxa" w:w="4819"/>
          </w:tcPr>
          <w:p>
            <w:pPr>
              <w:spacing w:before="20" w:after="20"/>
            </w:pPr>
            <w:r>
              <w:rPr>
                <w:sz w:val="19"/>
              </w:rPr>
              <w:t>Aucun champ n'a pu être déduit</w:t>
            </w:r>
          </w:p>
        </w:tc>
        <w:tc>
          <w:tcPr>
            <w:tcW w:type="dxa" w:w="4819"/>
          </w:tcPr>
          <w:p>
            <w:pPr>
              <w:spacing w:before="20" w:after="20"/>
            </w:pPr>
            <w:r>
              <w:rPr>
                <w:sz w:val="19"/>
              </w:rPr>
              <w:t>Ni le nom du fichier (charte « &lt;index 1&gt;&lt;sép&gt;&lt;index 2&gt;… ») ni le contenu n'ont permis de conclure : renseignez les champs à la main.</w:t>
            </w:r>
          </w:p>
        </w:tc>
      </w:tr>
      <w:tr>
        <w:tc>
          <w:tcPr>
            <w:tcW w:type="dxa" w:w="4819"/>
          </w:tcPr>
          <w:p>
            <w:pPr>
              <w:spacing w:before="20" w:after="20"/>
            </w:pPr>
            <w:r>
              <w:rPr>
                <w:sz w:val="19"/>
              </w:rPr>
              <w:t>Une partie des champs n'a pas pu être déduite</w:t>
            </w:r>
          </w:p>
        </w:tc>
        <w:tc>
          <w:tcPr>
            <w:tcW w:type="dxa" w:w="4819"/>
          </w:tcPr>
          <w:p>
            <w:pPr>
              <w:spacing w:before="20" w:after="20"/>
            </w:pPr>
            <w:r>
              <w:rPr>
                <w:sz w:val="19"/>
              </w:rPr>
              <w:t>N champ(s) n'ont pas pu être déduits : complétez-les avant de confirmer.</w:t>
            </w:r>
          </w:p>
        </w:tc>
      </w:tr>
      <w:tr>
        <w:tc>
          <w:tcPr>
            <w:tcW w:type="dxa" w:w="4819"/>
          </w:tcPr>
          <w:p>
            <w:pPr>
              <w:spacing w:before="20" w:after="20"/>
            </w:pPr>
            <w:r>
              <w:rPr>
                <w:sz w:val="19"/>
              </w:rPr>
              <w:t>Le contenu a été lu dans la couche texte</w:t>
            </w:r>
          </w:p>
        </w:tc>
        <w:tc>
          <w:tcPr>
            <w:tcW w:type="dxa" w:w="4819"/>
          </w:tcPr>
          <w:p>
            <w:pPr>
              <w:spacing w:before="20" w:after="20"/>
            </w:pPr>
            <w:r>
              <w:rPr>
                <w:sz w:val="19"/>
              </w:rPr>
              <w:t>Contenu lu — couche texte du PDF</w:t>
            </w:r>
          </w:p>
        </w:tc>
      </w:tr>
      <w:tr>
        <w:tc>
          <w:tcPr>
            <w:tcW w:type="dxa" w:w="4819"/>
          </w:tcPr>
          <w:p>
            <w:pPr>
              <w:spacing w:before="20" w:after="20"/>
            </w:pPr>
            <w:r>
              <w:rPr>
                <w:sz w:val="19"/>
              </w:rPr>
              <w:t>Le contenu a été lu par reconnaissance optique</w:t>
            </w:r>
          </w:p>
        </w:tc>
        <w:tc>
          <w:tcPr>
            <w:tcW w:type="dxa" w:w="4819"/>
          </w:tcPr>
          <w:p>
            <w:pPr>
              <w:spacing w:before="20" w:after="20"/>
            </w:pPr>
            <w:r>
              <w:rPr>
                <w:sz w:val="19"/>
              </w:rPr>
              <w:t>Contenu lu — reconnaissance optique (scan) · relisez ces valeurs, la reconnaissance peut se tromper</w:t>
            </w:r>
          </w:p>
        </w:tc>
      </w:tr>
      <w:tr>
        <w:tc>
          <w:tcPr>
            <w:tcW w:type="dxa" w:w="4819"/>
          </w:tcPr>
          <w:p>
            <w:pPr>
              <w:spacing w:before="20" w:after="20"/>
            </w:pPr>
            <w:r>
              <w:rPr>
                <w:sz w:val="19"/>
              </w:rPr>
              <w:t>Un champ n'a pas pu être déduit du nom du fichier (infobulle)</w:t>
            </w:r>
          </w:p>
        </w:tc>
        <w:tc>
          <w:tcPr>
            <w:tcW w:type="dxa" w:w="4819"/>
          </w:tcPr>
          <w:p>
            <w:pPr>
              <w:spacing w:before="20" w:after="20"/>
            </w:pPr>
            <w:r>
              <w:rPr>
                <w:sz w:val="19"/>
              </w:rPr>
              <w:t>Le nom du fichier ne compte que N segment(s) : rien en position P.</w:t>
            </w:r>
          </w:p>
        </w:tc>
      </w:tr>
    </w:tbl>
    <w:p>
      <w:pPr>
        <w:spacing w:after="40"/>
      </w:pPr>
    </w:p>
    <w:p>
      <w:pPr>
        <w:pStyle w:val="Heading2"/>
      </w:pPr>
      <w:r>
        <w:t>7.3 Refus opposés à la création du document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w:t>
            </w:r>
          </w:p>
        </w:tc>
        <w:tc>
          <w:tcPr>
            <w:tcW w:type="dxa" w:w="3213"/>
          </w:tcPr>
          <w:p>
            <w:pPr>
              <w:spacing w:before="20" w:after="20"/>
            </w:pPr>
            <w:r>
              <w:rPr>
                <w:b/>
                <w:sz w:val="19"/>
              </w:rPr>
              <w:t>Conséquence</w:t>
            </w:r>
          </w:p>
        </w:tc>
      </w:tr>
      <w:tr>
        <w:tc>
          <w:tcPr>
            <w:tcW w:type="dxa" w:w="3213"/>
          </w:tcPr>
          <w:p>
            <w:pPr>
              <w:spacing w:before="20" w:after="20"/>
            </w:pPr>
            <w:r>
              <w:rPr>
                <w:sz w:val="19"/>
              </w:rPr>
              <w:t>Fichier absent ou vide</w:t>
            </w:r>
          </w:p>
        </w:tc>
        <w:tc>
          <w:tcPr>
            <w:tcW w:type="dxa" w:w="3213"/>
          </w:tcPr>
          <w:p>
            <w:pPr>
              <w:spacing w:before="20" w:after="20"/>
            </w:pPr>
            <w:r>
              <w:rPr>
                <w:sz w:val="19"/>
              </w:rPr>
              <w:t>Le fichier est obligatoire</w:t>
            </w:r>
          </w:p>
        </w:tc>
        <w:tc>
          <w:tcPr>
            <w:tcW w:type="dxa" w:w="3213"/>
          </w:tcPr>
          <w:p>
            <w:pPr>
              <w:spacing w:before="20" w:after="20"/>
            </w:pPr>
            <w:r>
              <w:rPr>
                <w:sz w:val="19"/>
              </w:rPr>
              <w:t>Aucun document n'est créé.</w:t>
            </w:r>
          </w:p>
        </w:tc>
      </w:tr>
      <w:tr>
        <w:tc>
          <w:tcPr>
            <w:tcW w:type="dxa" w:w="3213"/>
          </w:tcPr>
          <w:p>
            <w:pPr>
              <w:spacing w:before="20" w:after="20"/>
            </w:pPr>
            <w:r>
              <w:rPr>
                <w:sz w:val="19"/>
              </w:rPr>
              <w:t>Type de document inexistant</w:t>
            </w:r>
          </w:p>
        </w:tc>
        <w:tc>
          <w:tcPr>
            <w:tcW w:type="dxa" w:w="3213"/>
          </w:tcPr>
          <w:p>
            <w:pPr>
              <w:spacing w:before="20" w:after="20"/>
            </w:pPr>
            <w:r>
              <w:rPr>
                <w:sz w:val="19"/>
              </w:rPr>
              <w:t>Type de document introuvable : &lt;identifiant&gt;</w:t>
            </w:r>
          </w:p>
        </w:tc>
        <w:tc>
          <w:tcPr>
            <w:tcW w:type="dxa" w:w="3213"/>
          </w:tcPr>
          <w:p>
            <w:pPr>
              <w:spacing w:before="20" w:after="20"/>
            </w:pPr>
            <w:r>
              <w:rPr>
                <w:sz w:val="19"/>
              </w:rPr>
              <w:t>Aucun document n'est créé.</w:t>
            </w:r>
          </w:p>
        </w:tc>
      </w:tr>
      <w:tr>
        <w:tc>
          <w:tcPr>
            <w:tcW w:type="dxa" w:w="3213"/>
          </w:tcPr>
          <w:p>
            <w:pPr>
              <w:spacing w:before="20" w:after="20"/>
            </w:pPr>
            <w:r>
              <w:rPr>
                <w:sz w:val="19"/>
              </w:rPr>
              <w:t>Type de document en corbeille</w:t>
            </w:r>
          </w:p>
        </w:tc>
        <w:tc>
          <w:tcPr>
            <w:tcW w:type="dxa" w:w="3213"/>
          </w:tcPr>
          <w:p>
            <w:pPr>
              <w:spacing w:before="20" w:after="20"/>
            </w:pPr>
            <w:r>
              <w:rPr>
                <w:sz w:val="19"/>
              </w:rPr>
              <w:t>Le type de document « &lt;nom&gt; » est en corbeille : dépôt impossible.</w:t>
            </w:r>
          </w:p>
        </w:tc>
        <w:tc>
          <w:tcPr>
            <w:tcW w:type="dxa" w:w="3213"/>
          </w:tcPr>
          <w:p>
            <w:pPr>
              <w:spacing w:before="20" w:after="20"/>
            </w:pPr>
            <w:r>
              <w:rPr>
                <w:sz w:val="19"/>
              </w:rPr>
              <w:t>Aucun document n'est créé. Le type doit d'abord être restauré.</w:t>
            </w:r>
          </w:p>
        </w:tc>
      </w:tr>
      <w:tr>
        <w:tc>
          <w:tcPr>
            <w:tcW w:type="dxa" w:w="3213"/>
          </w:tcPr>
          <w:p>
            <w:pPr>
              <w:spacing w:before="20" w:after="20"/>
            </w:pPr>
            <w:r>
              <w:rPr>
                <w:sz w:val="19"/>
              </w:rPr>
              <w:t>Format non autorisé</w:t>
            </w:r>
          </w:p>
        </w:tc>
        <w:tc>
          <w:tcPr>
            <w:tcW w:type="dxa" w:w="3213"/>
          </w:tcPr>
          <w:p>
            <w:pPr>
              <w:spacing w:before="20" w:after="20"/>
            </w:pPr>
            <w:r>
              <w:rPr>
                <w:sz w:val="19"/>
              </w:rPr>
              <w:t>Format « .png » non autorisé (autorisés : pdf, docx)</w:t>
            </w:r>
          </w:p>
        </w:tc>
        <w:tc>
          <w:tcPr>
            <w:tcW w:type="dxa" w:w="3213"/>
          </w:tcPr>
          <w:p>
            <w:pPr>
              <w:spacing w:before="20" w:after="20"/>
            </w:pPr>
            <w:r>
              <w:rPr>
                <w:sz w:val="19"/>
              </w:rPr>
              <w:t>Aucun document n'est créé. Ce refus ne devrait jamais être vu : le contrôle local l'a normalement déjà prononcé.</w:t>
            </w:r>
          </w:p>
        </w:tc>
      </w:tr>
      <w:tr>
        <w:tc>
          <w:tcPr>
            <w:tcW w:type="dxa" w:w="3213"/>
          </w:tcPr>
          <w:p>
            <w:pPr>
              <w:spacing w:before="20" w:after="20"/>
            </w:pPr>
            <w:r>
              <w:rPr>
                <w:sz w:val="19"/>
              </w:rPr>
              <w:t>Fichier trop volumineux</w:t>
            </w:r>
          </w:p>
        </w:tc>
        <w:tc>
          <w:tcPr>
            <w:tcW w:type="dxa" w:w="3213"/>
          </w:tcPr>
          <w:p>
            <w:pPr>
              <w:spacing w:before="20" w:after="20"/>
            </w:pPr>
            <w:r>
              <w:rPr>
                <w:sz w:val="19"/>
              </w:rPr>
              <w:t>Fichier trop volumineux (max 20 Mo)</w:t>
            </w:r>
          </w:p>
        </w:tc>
        <w:tc>
          <w:tcPr>
            <w:tcW w:type="dxa" w:w="3213"/>
          </w:tcPr>
          <w:p>
            <w:pPr>
              <w:spacing w:before="20" w:after="20"/>
            </w:pPr>
            <w:r>
              <w:rPr>
                <w:sz w:val="19"/>
              </w:rPr>
              <w:t>Aucun document n'est créé.</w:t>
            </w:r>
          </w:p>
        </w:tc>
      </w:tr>
      <w:tr>
        <w:tc>
          <w:tcPr>
            <w:tcW w:type="dxa" w:w="3213"/>
          </w:tcPr>
          <w:p>
            <w:pPr>
              <w:spacing w:before="20" w:after="20"/>
            </w:pPr>
            <w:r>
              <w:rPr>
                <w:sz w:val="19"/>
              </w:rPr>
              <w:t>Nom du document trop long</w:t>
            </w:r>
          </w:p>
        </w:tc>
        <w:tc>
          <w:tcPr>
            <w:tcW w:type="dxa" w:w="3213"/>
          </w:tcPr>
          <w:p>
            <w:pPr>
              <w:spacing w:before="20" w:after="20"/>
            </w:pPr>
            <w:r>
              <w:rPr>
                <w:sz w:val="19"/>
              </w:rPr>
              <w:t>Le champ « nom du document » ne peut pas dépasser 255 caractères (reçu : &lt;n&gt;).</w:t>
            </w:r>
          </w:p>
        </w:tc>
        <w:tc>
          <w:tcPr>
            <w:tcW w:type="dxa" w:w="3213"/>
          </w:tcPr>
          <w:p>
            <w:pPr>
              <w:spacing w:before="20" w:after="20"/>
            </w:pPr>
            <w:r>
              <w:rPr>
                <w:sz w:val="19"/>
              </w:rPr>
              <w:t>Aucun document n'est créé.</w:t>
            </w:r>
          </w:p>
        </w:tc>
      </w:tr>
      <w:tr>
        <w:tc>
          <w:tcPr>
            <w:tcW w:type="dxa" w:w="3213"/>
          </w:tcPr>
          <w:p>
            <w:pPr>
              <w:spacing w:before="20" w:after="20"/>
            </w:pPr>
            <w:r>
              <w:rPr>
                <w:sz w:val="19"/>
              </w:rPr>
              <w:t>Date d'expiration mal formée</w:t>
            </w:r>
          </w:p>
        </w:tc>
        <w:tc>
          <w:tcPr>
            <w:tcW w:type="dxa" w:w="3213"/>
          </w:tcPr>
          <w:p>
            <w:pPr>
              <w:spacing w:before="20" w:after="20"/>
            </w:pPr>
            <w:r>
              <w:rPr>
                <w:sz w:val="19"/>
              </w:rPr>
              <w:t>Le champ « date d'expiration » attend une date au format AAAA-MM-JJ (reçu : « &lt;valeur&gt; »).</w:t>
            </w:r>
          </w:p>
        </w:tc>
        <w:tc>
          <w:tcPr>
            <w:tcW w:type="dxa" w:w="3213"/>
          </w:tcPr>
          <w:p>
            <w:pPr>
              <w:spacing w:before="20" w:after="20"/>
            </w:pPr>
            <w:r>
              <w:rPr>
                <w:sz w:val="19"/>
              </w:rPr>
              <w:t>Aucun document n'est créé. Le fichier éventuellement déjà écrit sur le disque est supprimé.</w:t>
            </w:r>
          </w:p>
        </w:tc>
      </w:tr>
      <w:tr>
        <w:tc>
          <w:tcPr>
            <w:tcW w:type="dxa" w:w="3213"/>
          </w:tcPr>
          <w:p>
            <w:pPr>
              <w:spacing w:before="20" w:after="20"/>
            </w:pPr>
            <w:r>
              <w:rPr>
                <w:sz w:val="19"/>
              </w:rPr>
              <w:t>Connexion interrompue pendant l'envoi</w:t>
            </w:r>
          </w:p>
        </w:tc>
        <w:tc>
          <w:tcPr>
            <w:tcW w:type="dxa" w:w="3213"/>
          </w:tcPr>
          <w:p>
            <w:pPr>
              <w:spacing w:before="20" w:after="20"/>
            </w:pPr>
            <w:r>
              <w:rPr>
                <w:sz w:val="19"/>
              </w:rPr>
              <w:t>L'envoi a été interrompu. Vérifiez votre connexion, puis réessayez.</w:t>
            </w:r>
          </w:p>
        </w:tc>
        <w:tc>
          <w:tcPr>
            <w:tcW w:type="dxa" w:w="3213"/>
          </w:tcPr>
          <w:p>
            <w:pPr>
              <w:spacing w:before="20" w:after="20"/>
            </w:pPr>
            <w:r>
              <w:rPr>
                <w:sz w:val="19"/>
              </w:rPr>
              <w:t>Aucun document n'est créé. Le formulaire conserve toute la saisie.</w:t>
            </w:r>
          </w:p>
        </w:tc>
      </w:tr>
      <w:tr>
        <w:tc>
          <w:tcPr>
            <w:tcW w:type="dxa" w:w="3213"/>
          </w:tcPr>
          <w:p>
            <w:pPr>
              <w:spacing w:before="20" w:after="20"/>
            </w:pPr>
            <w:r>
              <w:rPr>
                <w:sz w:val="19"/>
              </w:rPr>
              <w:t>Autre échec du dépôt</w:t>
            </w:r>
          </w:p>
        </w:tc>
        <w:tc>
          <w:tcPr>
            <w:tcW w:type="dxa" w:w="3213"/>
          </w:tcPr>
          <w:p>
            <w:pPr>
              <w:spacing w:before="20" w:after="20"/>
            </w:pPr>
            <w:r>
              <w:rPr>
                <w:sz w:val="19"/>
              </w:rPr>
              <w:t>Le motif renvoyé par l'application, ou à défaut « Le téléversement a échoué. »</w:t>
            </w:r>
          </w:p>
        </w:tc>
        <w:tc>
          <w:tcPr>
            <w:tcW w:type="dxa" w:w="3213"/>
          </w:tcPr>
          <w:p>
            <w:pPr>
              <w:spacing w:before="20" w:after="20"/>
            </w:pPr>
            <w:r>
              <w:rPr>
                <w:sz w:val="19"/>
              </w:rPr>
              <w:t>Aucun document n'est créé.</w:t>
            </w:r>
          </w:p>
        </w:tc>
      </w:tr>
    </w:tbl>
    <w:p>
      <w:pPr>
        <w:spacing w:after="40"/>
      </w:pPr>
    </w:p>
    <w:p>
      <w:pPr>
        <w:pStyle w:val="Heading2"/>
      </w:pPr>
      <w:r>
        <w:t>7.4 Refus opposés à l'enregistrement des index</w:t>
      </w:r>
    </w:p>
    <w:p>
      <w:pPr/>
      <w:r>
        <w:t>Ces refus interviennent après la création du document. Le fichier est déposé : le supprimer serait pire que le laisser à indexer.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w:t>
            </w:r>
          </w:p>
        </w:tc>
        <w:tc>
          <w:tcPr>
            <w:tcW w:type="dxa" w:w="3213"/>
          </w:tcPr>
          <w:p>
            <w:pPr>
              <w:spacing w:before="20" w:after="20"/>
            </w:pPr>
            <w:r>
              <w:rPr>
                <w:b/>
                <w:sz w:val="19"/>
              </w:rPr>
              <w:t>Conséquence</w:t>
            </w:r>
          </w:p>
        </w:tc>
      </w:tr>
      <w:tr>
        <w:tc>
          <w:tcPr>
            <w:tcW w:type="dxa" w:w="3213"/>
          </w:tcPr>
          <w:p>
            <w:pPr>
              <w:spacing w:before="20" w:after="20"/>
            </w:pPr>
            <w:r>
              <w:rPr>
                <w:sz w:val="19"/>
              </w:rPr>
              <w:t>Un index obligatoire du plan est vide</w:t>
            </w:r>
          </w:p>
        </w:tc>
        <w:tc>
          <w:tcPr>
            <w:tcW w:type="dxa" w:w="3213"/>
          </w:tcPr>
          <w:p>
            <w:pPr>
              <w:spacing w:before="20" w:after="20"/>
            </w:pPr>
            <w:r>
              <w:rPr>
                <w:sz w:val="19"/>
              </w:rPr>
              <w:t>L'index « &lt;nom de l'index&gt; » est obligatoire.</w:t>
            </w:r>
          </w:p>
        </w:tc>
        <w:tc>
          <w:tcPr>
            <w:tcW w:type="dxa" w:w="3213"/>
          </w:tcPr>
          <w:p>
            <w:pPr>
              <w:spacing w:before="20" w:after="20"/>
            </w:pPr>
            <w:r>
              <w:rPr>
                <w:sz w:val="19"/>
              </w:rPr>
              <w:t>Les index ne sont pas écrits. Le document reste à indexer.</w:t>
            </w:r>
          </w:p>
        </w:tc>
      </w:tr>
      <w:tr>
        <w:tc>
          <w:tcPr>
            <w:tcW w:type="dxa" w:w="3213"/>
          </w:tcPr>
          <w:p>
            <w:pPr>
              <w:spacing w:before="20" w:after="20"/>
            </w:pPr>
            <w:r>
              <w:rPr>
                <w:sz w:val="19"/>
              </w:rPr>
              <w:t>Une valeur ne respecte pas la nature « Nombre »</w:t>
            </w:r>
          </w:p>
        </w:tc>
        <w:tc>
          <w:tcPr>
            <w:tcW w:type="dxa" w:w="3213"/>
          </w:tcPr>
          <w:p>
            <w:pPr>
              <w:spacing w:before="20" w:after="20"/>
            </w:pPr>
            <w:r>
              <w:rPr>
                <w:sz w:val="19"/>
              </w:rPr>
              <w:t>« &lt;nom de l'index&gt; » attend un nombre.</w:t>
            </w:r>
          </w:p>
        </w:tc>
        <w:tc>
          <w:tcPr>
            <w:tcW w:type="dxa" w:w="3213"/>
          </w:tcPr>
          <w:p>
            <w:pPr>
              <w:spacing w:before="20" w:after="20"/>
            </w:pPr>
            <w:r>
              <w:rPr>
                <w:sz w:val="19"/>
              </w:rPr>
              <w:t>Idem.</w:t>
            </w:r>
          </w:p>
        </w:tc>
      </w:tr>
      <w:tr>
        <w:tc>
          <w:tcPr>
            <w:tcW w:type="dxa" w:w="3213"/>
          </w:tcPr>
          <w:p>
            <w:pPr>
              <w:spacing w:before="20" w:after="20"/>
            </w:pPr>
            <w:r>
              <w:rPr>
                <w:sz w:val="19"/>
              </w:rPr>
              <w:t>Une valeur ne respecte pas la nature « Date »</w:t>
            </w:r>
          </w:p>
        </w:tc>
        <w:tc>
          <w:tcPr>
            <w:tcW w:type="dxa" w:w="3213"/>
          </w:tcPr>
          <w:p>
            <w:pPr>
              <w:spacing w:before="20" w:after="20"/>
            </w:pPr>
            <w:r>
              <w:rPr>
                <w:sz w:val="19"/>
              </w:rPr>
              <w:t>« &lt;nom de l'index&gt; » attend une date (AAAA-MM-JJ).</w:t>
            </w:r>
          </w:p>
        </w:tc>
        <w:tc>
          <w:tcPr>
            <w:tcW w:type="dxa" w:w="3213"/>
          </w:tcPr>
          <w:p>
            <w:pPr>
              <w:spacing w:before="20" w:after="20"/>
            </w:pPr>
            <w:r>
              <w:rPr>
                <w:sz w:val="19"/>
              </w:rPr>
              <w:t>Idem.</w:t>
            </w:r>
          </w:p>
        </w:tc>
      </w:tr>
      <w:tr>
        <w:tc>
          <w:tcPr>
            <w:tcW w:type="dxa" w:w="3213"/>
          </w:tcPr>
          <w:p>
            <w:pPr>
              <w:spacing w:before="20" w:after="20"/>
            </w:pPr>
            <w:r>
              <w:rPr>
                <w:sz w:val="19"/>
              </w:rPr>
              <w:t>Une valeur n'appartient pas à la liste déclarée</w:t>
            </w:r>
          </w:p>
        </w:tc>
        <w:tc>
          <w:tcPr>
            <w:tcW w:type="dxa" w:w="3213"/>
          </w:tcPr>
          <w:p>
            <w:pPr>
              <w:spacing w:before="20" w:after="20"/>
            </w:pPr>
            <w:r>
              <w:rPr>
                <w:sz w:val="19"/>
              </w:rPr>
              <w:t>« &lt;valeur&gt; » ne fait pas partie des valeurs de « &lt;nom de l'index&gt; ».</w:t>
            </w:r>
          </w:p>
        </w:tc>
        <w:tc>
          <w:tcPr>
            <w:tcW w:type="dxa" w:w="3213"/>
          </w:tcPr>
          <w:p>
            <w:pPr>
              <w:spacing w:before="20" w:after="20"/>
            </w:pPr>
            <w:r>
              <w:rPr>
                <w:sz w:val="19"/>
              </w:rPr>
              <w:t>Idem.</w:t>
            </w:r>
          </w:p>
        </w:tc>
      </w:tr>
      <w:tr>
        <w:tc>
          <w:tcPr>
            <w:tcW w:type="dxa" w:w="3213"/>
          </w:tcPr>
          <w:p>
            <w:pPr>
              <w:spacing w:before="20" w:after="20"/>
            </w:pPr>
            <w:r>
              <w:rPr>
                <w:sz w:val="19"/>
              </w:rPr>
              <w:t>Un index étranger au plan est transmis</w:t>
            </w:r>
          </w:p>
        </w:tc>
        <w:tc>
          <w:tcPr>
            <w:tcW w:type="dxa" w:w="3213"/>
          </w:tcPr>
          <w:p>
            <w:pPr>
              <w:spacing w:before="20" w:after="20"/>
            </w:pPr>
            <w:r>
              <w:rPr>
                <w:sz w:val="19"/>
              </w:rPr>
              <w:t>L'index « &lt;nom de l'index&gt; » n'appartient pas au plan d'indexation de ce type de document.</w:t>
            </w:r>
          </w:p>
        </w:tc>
        <w:tc>
          <w:tcPr>
            <w:tcW w:type="dxa" w:w="3213"/>
          </w:tcPr>
          <w:p>
            <w:pPr>
              <w:spacing w:before="20" w:after="20"/>
            </w:pPr>
            <w:r>
              <w:rPr>
                <w:sz w:val="19"/>
              </w:rPr>
              <w:t>Idem. Ce refus protège contre une valeur invisible dans le formulaire mais bien présente dans les résultats de recherche.</w:t>
            </w:r>
          </w:p>
        </w:tc>
      </w:tr>
      <w:tr>
        <w:tc>
          <w:tcPr>
            <w:tcW w:type="dxa" w:w="3213"/>
          </w:tcPr>
          <w:p>
            <w:pPr>
              <w:spacing w:before="20" w:after="20"/>
            </w:pPr>
            <w:r>
              <w:rPr>
                <w:sz w:val="19"/>
              </w:rPr>
              <w:t>Le document est verrouillé</w:t>
            </w:r>
          </w:p>
        </w:tc>
        <w:tc>
          <w:tcPr>
            <w:tcW w:type="dxa" w:w="3213"/>
          </w:tcPr>
          <w:p>
            <w:pPr>
              <w:spacing w:before="20" w:after="20"/>
            </w:pPr>
            <w:r>
              <w:rPr>
                <w:sz w:val="19"/>
              </w:rPr>
              <w:t>Document verrouille : indexation impossible</w:t>
            </w:r>
          </w:p>
        </w:tc>
        <w:tc>
          <w:tcPr>
            <w:tcW w:type="dxa" w:w="3213"/>
          </w:tcPr>
          <w:p>
            <w:pPr>
              <w:spacing w:before="20" w:after="20"/>
            </w:pPr>
            <w:r>
              <w:rPr>
                <w:sz w:val="19"/>
              </w:rPr>
              <w:t>Idem.</w:t>
            </w:r>
          </w:p>
        </w:tc>
      </w:tr>
      <w:tr>
        <w:tc>
          <w:tcPr>
            <w:tcW w:type="dxa" w:w="3213"/>
          </w:tcPr>
          <w:p>
            <w:pPr>
              <w:spacing w:before="20" w:after="20"/>
            </w:pPr>
            <w:r>
              <w:rPr>
                <w:sz w:val="19"/>
              </w:rPr>
              <w:t>Le document est en corbeille</w:t>
            </w:r>
          </w:p>
        </w:tc>
        <w:tc>
          <w:tcPr>
            <w:tcW w:type="dxa" w:w="3213"/>
          </w:tcPr>
          <w:p>
            <w:pPr>
              <w:spacing w:before="20" w:after="20"/>
            </w:pPr>
            <w:r>
              <w:rPr>
                <w:sz w:val="19"/>
              </w:rPr>
              <w:t>Document en corbeille : indexation impossible. Restaurez-le d'abord.</w:t>
            </w:r>
          </w:p>
        </w:tc>
        <w:tc>
          <w:tcPr>
            <w:tcW w:type="dxa" w:w="3213"/>
          </w:tcPr>
          <w:p>
            <w:pPr>
              <w:spacing w:before="20" w:after="20"/>
            </w:pPr>
            <w:r>
              <w:rPr>
                <w:sz w:val="19"/>
              </w:rPr>
              <w:t>Idem.</w:t>
            </w:r>
          </w:p>
        </w:tc>
      </w:tr>
      <w:tr>
        <w:tc>
          <w:tcPr>
            <w:tcW w:type="dxa" w:w="3213"/>
          </w:tcPr>
          <w:p>
            <w:pPr>
              <w:spacing w:before="20" w:after="20"/>
            </w:pPr>
            <w:r>
              <w:rPr>
                <w:sz w:val="19"/>
              </w:rPr>
              <w:t>Le nom composé dépasse la longueur autorisée</w:t>
            </w:r>
          </w:p>
        </w:tc>
        <w:tc>
          <w:tcPr>
            <w:tcW w:type="dxa" w:w="3213"/>
          </w:tcPr>
          <w:p>
            <w:pPr>
              <w:spacing w:before="20" w:after="20"/>
            </w:pPr>
            <w:r>
              <w:rPr>
                <w:sz w:val="19"/>
              </w:rPr>
              <w:t>Le champ « nom composé du document » ne peut pas dépasser 255 caractères (reçu : &lt;n&gt;).</w:t>
            </w:r>
          </w:p>
        </w:tc>
        <w:tc>
          <w:tcPr>
            <w:tcW w:type="dxa" w:w="3213"/>
          </w:tcPr>
          <w:p>
            <w:pPr>
              <w:spacing w:before="20" w:after="20"/>
            </w:pPr>
            <w:r>
              <w:rPr>
                <w:sz w:val="19"/>
              </w:rPr>
              <w:t>Les index sont écrits mais le nom n'est pas gravé ; l'opération est annulée.</w:t>
            </w:r>
          </w:p>
        </w:tc>
      </w:tr>
      <w:tr>
        <w:tc>
          <w:tcPr>
            <w:tcW w:type="dxa" w:w="3213"/>
          </w:tcPr>
          <w:p>
            <w:pPr>
              <w:spacing w:before="20" w:after="20"/>
            </w:pPr>
            <w:r>
              <w:rPr>
                <w:sz w:val="19"/>
              </w:rPr>
              <w:t>Autre échec</w:t>
            </w:r>
          </w:p>
        </w:tc>
        <w:tc>
          <w:tcPr>
            <w:tcW w:type="dxa" w:w="3213"/>
          </w:tcPr>
          <w:p>
            <w:pPr>
              <w:spacing w:before="20" w:after="20"/>
            </w:pPr>
            <w:r>
              <w:rPr>
                <w:sz w:val="19"/>
              </w:rPr>
              <w:t>Le motif renvoyé par l'application, ou à défaut « Le document est déposé, mais l'enregistrement des index a été refusé. »</w:t>
            </w:r>
          </w:p>
        </w:tc>
        <w:tc>
          <w:tcPr>
            <w:tcW w:type="dxa" w:w="3213"/>
          </w:tcPr>
          <w:p>
            <w:pPr>
              <w:spacing w:before="20" w:after="20"/>
            </w:pPr>
            <w:r>
              <w:rPr>
                <w:sz w:val="19"/>
              </w:rPr>
              <w:t>Le document reste à indexer ; l'opérateur peut réessayer ou fermer.</w:t>
            </w:r>
          </w:p>
        </w:tc>
      </w:tr>
    </w:tbl>
    <w:p>
      <w:pPr>
        <w:spacing w:after="40"/>
      </w:pPr>
    </w:p>
    <w:p>
      <w:pPr>
        <w:pStyle w:val="Heading2"/>
      </w:pPr>
      <w:r>
        <w:t>7.5 Messages de fin de dépôt</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Issue</w:t>
            </w:r>
          </w:p>
        </w:tc>
        <w:tc>
          <w:tcPr>
            <w:tcW w:type="dxa" w:w="3213"/>
          </w:tcPr>
          <w:p>
            <w:pPr>
              <w:spacing w:before="20" w:after="20"/>
            </w:pPr>
            <w:r>
              <w:rPr>
                <w:b/>
                <w:sz w:val="19"/>
              </w:rPr>
              <w:t>Message exact affiché sur l'écran des documents</w:t>
            </w:r>
          </w:p>
        </w:tc>
        <w:tc>
          <w:tcPr>
            <w:tcW w:type="dxa" w:w="3213"/>
          </w:tcPr>
          <w:p>
            <w:pPr>
              <w:spacing w:before="20" w:after="20"/>
            </w:pPr>
            <w:r>
              <w:rPr>
                <w:b/>
                <w:sz w:val="19"/>
              </w:rPr>
              <w:t>Nature</w:t>
            </w:r>
          </w:p>
        </w:tc>
      </w:tr>
      <w:tr>
        <w:tc>
          <w:tcPr>
            <w:tcW w:type="dxa" w:w="3213"/>
          </w:tcPr>
          <w:p>
            <w:pPr>
              <w:spacing w:before="20" w:after="20"/>
            </w:pPr>
            <w:r>
              <w:rPr>
                <w:sz w:val="19"/>
              </w:rPr>
              <w:t>Indexé</w:t>
            </w:r>
          </w:p>
        </w:tc>
        <w:tc>
          <w:tcPr>
            <w:tcW w:type="dxa" w:w="3213"/>
          </w:tcPr>
          <w:p>
            <w:pPr>
              <w:spacing w:before="20" w:after="20"/>
            </w:pPr>
            <w:r>
              <w:rPr>
                <w:sz w:val="19"/>
              </w:rPr>
              <w:t>Document déposé, indexé, et circuit de signature lancé.</w:t>
            </w:r>
          </w:p>
        </w:tc>
        <w:tc>
          <w:tcPr>
            <w:tcW w:type="dxa" w:w="3213"/>
          </w:tcPr>
          <w:p>
            <w:pPr>
              <w:spacing w:before="20" w:after="20"/>
            </w:pPr>
            <w:r>
              <w:rPr>
                <w:sz w:val="19"/>
              </w:rPr>
              <w:t>Succès</w:t>
            </w:r>
          </w:p>
        </w:tc>
      </w:tr>
      <w:tr>
        <w:tc>
          <w:tcPr>
            <w:tcW w:type="dxa" w:w="3213"/>
          </w:tcPr>
          <w:p>
            <w:pPr>
              <w:spacing w:before="20" w:after="20"/>
            </w:pPr>
            <w:r>
              <w:rPr>
                <w:sz w:val="19"/>
              </w:rPr>
              <w:t>Sans plan</w:t>
            </w:r>
          </w:p>
        </w:tc>
        <w:tc>
          <w:tcPr>
            <w:tcW w:type="dxa" w:w="3213"/>
          </w:tcPr>
          <w:p>
            <w:pPr>
              <w:spacing w:before="20" w:after="20"/>
            </w:pPr>
            <w:r>
              <w:rPr>
                <w:sz w:val="19"/>
              </w:rPr>
              <w:t>Document déposé et circuit lancé. Son type n'a pas de plan d'indexation : aucun index à renseigner.</w:t>
            </w:r>
          </w:p>
        </w:tc>
        <w:tc>
          <w:tcPr>
            <w:tcW w:type="dxa" w:w="3213"/>
          </w:tcPr>
          <w:p>
            <w:pPr>
              <w:spacing w:before="20" w:after="20"/>
            </w:pPr>
            <w:r>
              <w:rPr>
                <w:sz w:val="19"/>
              </w:rPr>
              <w:t>Succès</w:t>
            </w:r>
          </w:p>
        </w:tc>
      </w:tr>
      <w:tr>
        <w:tc>
          <w:tcPr>
            <w:tcW w:type="dxa" w:w="3213"/>
          </w:tcPr>
          <w:p>
            <w:pPr>
              <w:spacing w:before="20" w:after="20"/>
            </w:pPr>
            <w:r>
              <w:rPr>
                <w:sz w:val="19"/>
              </w:rPr>
              <w:t>À indexer</w:t>
            </w:r>
          </w:p>
        </w:tc>
        <w:tc>
          <w:tcPr>
            <w:tcW w:type="dxa" w:w="3213"/>
          </w:tcPr>
          <w:p>
            <w:pPr>
              <w:spacing w:before="20" w:after="20"/>
            </w:pPr>
            <w:r>
              <w:rPr>
                <w:sz w:val="19"/>
              </w:rPr>
              <w:t>Document déposé et circuit lancé, mais il reste à indexer.</w:t>
            </w:r>
          </w:p>
        </w:tc>
        <w:tc>
          <w:tcPr>
            <w:tcW w:type="dxa" w:w="3213"/>
          </w:tcPr>
          <w:p>
            <w:pPr>
              <w:spacing w:before="20" w:after="20"/>
            </w:pPr>
            <w:r>
              <w:rPr>
                <w:sz w:val="19"/>
              </w:rPr>
              <w:t>Information</w:t>
            </w:r>
          </w:p>
        </w:tc>
      </w:tr>
    </w:tbl>
    <w:p>
      <w:pPr>
        <w:spacing w:after="40"/>
      </w:pPr>
    </w:p>
    <w:p>
      <w:pPr/>
      <w:r>
        <w:t>Un seul message est affiché, et il dit ce qui s'est réellement passé. La fenêtre de dépôt n'en émet aucun de son côté, sans quoi deux notifications se superposeraient.</w:t>
      </w:r>
    </w:p>
    <w:p>
      <w:pPr>
        <w:pStyle w:val="Heading1"/>
      </w:pPr>
      <w:r>
        <w:t>8. Les cas particuliers</w:t>
      </w:r>
    </w:p>
    <w:p>
      <w:pPr>
        <w:pStyle w:val="Heading2"/>
      </w:pPr>
      <w:r>
        <w:t>8.1 Les trois cas où le nom n'est pas composé</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Cas</w:t>
            </w:r>
          </w:p>
        </w:tc>
        <w:tc>
          <w:tcPr>
            <w:tcW w:type="dxa" w:w="3213"/>
          </w:tcPr>
          <w:p>
            <w:pPr>
              <w:spacing w:before="20" w:after="20"/>
            </w:pPr>
            <w:r>
              <w:rPr>
                <w:b/>
                <w:sz w:val="19"/>
              </w:rPr>
              <w:t>Comportement</w:t>
            </w:r>
          </w:p>
        </w:tc>
        <w:tc>
          <w:tcPr>
            <w:tcW w:type="dxa" w:w="3213"/>
          </w:tcPr>
          <w:p>
            <w:pPr>
              <w:spacing w:before="20" w:after="20"/>
            </w:pPr>
            <w:r>
              <w:rPr>
                <w:b/>
                <w:sz w:val="19"/>
              </w:rPr>
              <w:t>Ce que voit l'opérateur</w:t>
            </w:r>
          </w:p>
        </w:tc>
      </w:tr>
      <w:tr>
        <w:tc>
          <w:tcPr>
            <w:tcW w:type="dxa" w:w="3213"/>
          </w:tcPr>
          <w:p>
            <w:pPr>
              <w:spacing w:before="20" w:after="20"/>
            </w:pPr>
            <w:r>
              <w:rPr>
                <w:sz w:val="19"/>
              </w:rPr>
              <w:t>Le plan porte une charte manuelle</w:t>
            </w:r>
          </w:p>
        </w:tc>
        <w:tc>
          <w:tcPr>
            <w:tcW w:type="dxa" w:w="3213"/>
          </w:tcPr>
          <w:p>
            <w:pPr>
              <w:spacing w:before="20" w:after="20"/>
            </w:pPr>
            <w:r>
              <w:rPr>
                <w:sz w:val="19"/>
              </w:rPr>
              <w:t>Aucune recomposition n'a lieu. Le nom appartient à l'opérateur.</w:t>
            </w:r>
          </w:p>
        </w:tc>
        <w:tc>
          <w:tcPr>
            <w:tcW w:type="dxa" w:w="3213"/>
          </w:tcPr>
          <w:p>
            <w:pPr>
              <w:spacing w:before="20" w:after="20"/>
            </w:pPr>
            <w:r>
              <w:rPr>
                <w:sz w:val="19"/>
              </w:rPr>
              <w:t>Le champ « Nom du document » est saisissable, avec le texte indicatif « Par défaut : le nom du fichier ».</w:t>
            </w:r>
          </w:p>
        </w:tc>
      </w:tr>
      <w:tr>
        <w:tc>
          <w:tcPr>
            <w:tcW w:type="dxa" w:w="3213"/>
          </w:tcPr>
          <w:p>
            <w:pPr>
              <w:spacing w:before="20" w:after="20"/>
            </w:pPr>
            <w:r>
              <w:rPr>
                <w:sz w:val="19"/>
              </w:rPr>
              <w:t>Le type n'a pas de plan</w:t>
            </w:r>
          </w:p>
        </w:tc>
        <w:tc>
          <w:tcPr>
            <w:tcW w:type="dxa" w:w="3213"/>
          </w:tcPr>
          <w:p>
            <w:pPr>
              <w:spacing w:before="20" w:after="20"/>
            </w:pPr>
            <w:r>
              <w:rPr>
                <w:sz w:val="19"/>
              </w:rPr>
              <w:t>Aucun index n'est demandé, aucune table de champs n'apparaît.</w:t>
            </w:r>
          </w:p>
        </w:tc>
        <w:tc>
          <w:tcPr>
            <w:tcW w:type="dxa" w:w="3213"/>
          </w:tcPr>
          <w:p>
            <w:pPr>
              <w:spacing w:before="20" w:after="20"/>
            </w:pPr>
            <w:r>
              <w:rPr>
                <w:sz w:val="19"/>
              </w:rPr>
              <w:t>L'avertissement annonce que le document sera déposé sans aucun index. Le nom reste saisissable.</w:t>
            </w:r>
          </w:p>
        </w:tc>
      </w:tr>
      <w:tr>
        <w:tc>
          <w:tcPr>
            <w:tcW w:type="dxa" w:w="3213"/>
          </w:tcPr>
          <w:p>
            <w:pPr>
              <w:spacing w:before="20" w:after="20"/>
            </w:pPr>
            <w:r>
              <w:rPr>
                <w:sz w:val="19"/>
              </w:rPr>
              <w:t>La charte n'est pas redécoupable</w:t>
            </w:r>
          </w:p>
        </w:tc>
        <w:tc>
          <w:tcPr>
            <w:tcW w:type="dxa" w:w="3213"/>
          </w:tcPr>
          <w:p>
            <w:pPr>
              <w:spacing w:before="20" w:after="20"/>
            </w:pPr>
            <w:r>
              <w:rPr>
                <w:sz w:val="19"/>
              </w:rPr>
              <w:t>L'application renonce à recomposer plutôt que d'afficher un nom faux.</w:t>
            </w:r>
          </w:p>
        </w:tc>
        <w:tc>
          <w:tcPr>
            <w:tcW w:type="dxa" w:w="3213"/>
          </w:tcPr>
          <w:p>
            <w:pPr>
              <w:spacing w:before="20" w:after="20"/>
            </w:pPr>
            <w:r>
              <w:rPr>
                <w:sz w:val="19"/>
              </w:rPr>
              <w:t>Le champ « Nom du document » reste vide. L'aide sous le champ indique tout de même d'où viendra le nom.</w:t>
            </w:r>
          </w:p>
        </w:tc>
      </w:tr>
    </w:tbl>
    <w:p>
      <w:pPr>
        <w:spacing w:after="40"/>
      </w:pPr>
    </w:p>
    <w:p>
      <w:pPr>
        <w:pStyle w:val="Heading3"/>
      </w:pPr>
      <w:r>
        <w:t>Le piège du séparateur</w:t>
      </w:r>
    </w:p>
    <w:p>
      <w:pPr/>
      <w:r>
        <w:t>Le troisième cas mérite une explication. Pour recomposer le nom pendant la saisie, l'application découpe le nom issu de l'analyse selon le séparateur du plan, et met les morceaux en face des jetons de la charte. Si l'une des valeurs d'index contient elle-même le séparateur, le découpage produit un morceau de plus que la charte n'a de jetons : la correspondance est perdue, et recomposer produirait un nom faux. L'application préfère alors n'afficher aucun nom. Au dépôt, en revanche, le nom est composé correctement, puisqu'il l'est à partir des valeurs elles-mêmes et non d'un résultat déjà assemblé.</w:t>
      </w:r>
    </w:p>
    <w:p>
      <w:pPr/>
      <w:r>
        <w:rPr>
          <w:b/>
          <w:color w:val="8A3333"/>
          <w:sz w:val="20"/>
        </w:rPr>
        <w:t>Recommandation de paramétrage</w:t>
      </w:r>
    </w:p>
    <w:p>
      <w:pPr>
        <w:ind w:left="283"/>
      </w:pPr>
      <w:r>
        <w:rPr>
          <w:i/>
          <w:sz w:val="20"/>
        </w:rPr>
        <w:t>Choisir un séparateur qui n'a aucune chance d'apparaître dans une valeur d'index. Le tiret bas est un bon choix ; le tiret simple ou l'espace le sont beaucoup moins.</w:t>
      </w:r>
    </w:p>
    <w:p>
      <w:pPr>
        <w:pStyle w:val="Heading2"/>
      </w:pPr>
      <w:r>
        <w:t>8.2 Choisir le fichier avant le type</w:t>
      </w:r>
    </w:p>
    <w:p>
      <w:pPr/>
      <w:r>
        <w:t>C'est un enchaînement courant et il est pris en charge. Tant qu'aucun type n'est choisi, aucune analyse n'est possible : l'application ne sait pas selon quel plan découper. Dès que le type est retenu, le contrôle du fichier est rejoué et l'analyse est lancée. Un fichier accepté par un type peut être refusé par un autre.</w:t>
      </w:r>
    </w:p>
    <w:p>
      <w:pPr>
        <w:pStyle w:val="Heading2"/>
      </w:pPr>
      <w:r>
        <w:t>8.3 La reconnaissance des dates dans le nom du fichier</w:t>
      </w:r>
    </w:p>
    <w:p>
      <w:pPr/>
      <w:r>
        <w:t>Un nom de fichier porte rarement une date au format d'échange. L'application ramène donc les écritures usuelles à ce format avant de les confronter à l'index.</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Écriture dans le nom du fichier</w:t>
            </w:r>
          </w:p>
        </w:tc>
        <w:tc>
          <w:tcPr>
            <w:tcW w:type="dxa" w:w="4819"/>
          </w:tcPr>
          <w:p>
            <w:pPr>
              <w:spacing w:before="20" w:after="20"/>
            </w:pPr>
            <w:r>
              <w:rPr>
                <w:b/>
                <w:sz w:val="19"/>
              </w:rPr>
              <w:t>Interprétation</w:t>
            </w:r>
          </w:p>
        </w:tc>
      </w:tr>
      <w:tr>
        <w:tc>
          <w:tcPr>
            <w:tcW w:type="dxa" w:w="4819"/>
          </w:tcPr>
          <w:p>
            <w:pPr>
              <w:spacing w:before="20" w:after="20"/>
            </w:pPr>
            <w:r>
              <w:rPr>
                <w:sz w:val="19"/>
              </w:rPr>
              <w:t>2026-08-28, 2026/08/28, 2026.08.28</w:t>
            </w:r>
          </w:p>
        </w:tc>
        <w:tc>
          <w:tcPr>
            <w:tcW w:type="dxa" w:w="4819"/>
          </w:tcPr>
          <w:p>
            <w:pPr>
              <w:spacing w:before="20" w:after="20"/>
            </w:pPr>
            <w:r>
              <w:rPr>
                <w:sz w:val="19"/>
              </w:rPr>
              <w:t>Acceptée : l'année est en tête.</w:t>
            </w:r>
          </w:p>
        </w:tc>
      </w:tr>
      <w:tr>
        <w:tc>
          <w:tcPr>
            <w:tcW w:type="dxa" w:w="4819"/>
          </w:tcPr>
          <w:p>
            <w:pPr>
              <w:spacing w:before="20" w:after="20"/>
            </w:pPr>
            <w:r>
              <w:rPr>
                <w:sz w:val="19"/>
              </w:rPr>
              <w:t>28/08/2026, 28-08-2026, 28.08.2026</w:t>
            </w:r>
          </w:p>
        </w:tc>
        <w:tc>
          <w:tcPr>
            <w:tcW w:type="dxa" w:w="4819"/>
          </w:tcPr>
          <w:p>
            <w:pPr>
              <w:spacing w:before="20" w:after="20"/>
            </w:pPr>
            <w:r>
              <w:rPr>
                <w:sz w:val="19"/>
              </w:rPr>
              <w:t>Acceptée : l'année est en fin.</w:t>
            </w:r>
          </w:p>
        </w:tc>
      </w:tr>
      <w:tr>
        <w:tc>
          <w:tcPr>
            <w:tcW w:type="dxa" w:w="4819"/>
          </w:tcPr>
          <w:p>
            <w:pPr>
              <w:spacing w:before="20" w:after="20"/>
            </w:pPr>
            <w:r>
              <w:rPr>
                <w:sz w:val="19"/>
              </w:rPr>
              <w:t>20260828</w:t>
            </w:r>
          </w:p>
        </w:tc>
        <w:tc>
          <w:tcPr>
            <w:tcW w:type="dxa" w:w="4819"/>
          </w:tcPr>
          <w:p>
            <w:pPr>
              <w:spacing w:before="20" w:after="20"/>
            </w:pPr>
            <w:r>
              <w:rPr>
                <w:sz w:val="19"/>
              </w:rPr>
              <w:t>Acceptée : les quatre premiers chiffres forment une année plausible.</w:t>
            </w:r>
          </w:p>
        </w:tc>
      </w:tr>
      <w:tr>
        <w:tc>
          <w:tcPr>
            <w:tcW w:type="dxa" w:w="4819"/>
          </w:tcPr>
          <w:p>
            <w:pPr>
              <w:spacing w:before="20" w:after="20"/>
            </w:pPr>
            <w:r>
              <w:rPr>
                <w:sz w:val="19"/>
              </w:rPr>
              <w:t>28082026</w:t>
            </w:r>
          </w:p>
        </w:tc>
        <w:tc>
          <w:tcPr>
            <w:tcW w:type="dxa" w:w="4819"/>
          </w:tcPr>
          <w:p>
            <w:pPr>
              <w:spacing w:before="20" w:after="20"/>
            </w:pPr>
            <w:r>
              <w:rPr>
                <w:sz w:val="19"/>
              </w:rPr>
              <w:t>Acceptée : les quatre derniers chiffres forment une année plausible.</w:t>
            </w:r>
          </w:p>
        </w:tc>
      </w:tr>
      <w:tr>
        <w:tc>
          <w:tcPr>
            <w:tcW w:type="dxa" w:w="4819"/>
          </w:tcPr>
          <w:p>
            <w:pPr>
              <w:spacing w:before="20" w:after="20"/>
            </w:pPr>
            <w:r>
              <w:rPr>
                <w:sz w:val="19"/>
              </w:rPr>
              <w:t>260828</w:t>
            </w:r>
          </w:p>
        </w:tc>
        <w:tc>
          <w:tcPr>
            <w:tcW w:type="dxa" w:w="4819"/>
          </w:tcPr>
          <w:p>
            <w:pPr>
              <w:spacing w:before="20" w:after="20"/>
            </w:pPr>
            <w:r>
              <w:rPr>
                <w:sz w:val="19"/>
              </w:rPr>
              <w:t>Refusée. Une année sur deux chiffres se lit aussi bien 2026 que 2005 ; rien ne permet de trancher, et écrire une date fausse dans un index est plus grave que de la demander à l'opérateur.</w:t>
            </w:r>
          </w:p>
        </w:tc>
      </w:tr>
      <w:tr>
        <w:tc>
          <w:tcPr>
            <w:tcW w:type="dxa" w:w="4819"/>
          </w:tcPr>
          <w:p>
            <w:pPr>
              <w:spacing w:before="20" w:after="20"/>
            </w:pPr>
            <w:r>
              <w:rPr>
                <w:sz w:val="19"/>
              </w:rPr>
              <w:t>2026-02-31</w:t>
            </w:r>
          </w:p>
        </w:tc>
        <w:tc>
          <w:tcPr>
            <w:tcW w:type="dxa" w:w="4819"/>
          </w:tcPr>
          <w:p>
            <w:pPr>
              <w:spacing w:before="20" w:after="20"/>
            </w:pPr>
            <w:r>
              <w:rPr>
                <w:sz w:val="19"/>
              </w:rPr>
              <w:t>Refusée. Une date qui n'existe pas est rejetée, pas normalisée.</w:t>
            </w:r>
          </w:p>
        </w:tc>
      </w:tr>
    </w:tbl>
    <w:p>
      <w:pPr>
        <w:spacing w:after="40"/>
      </w:pPr>
    </w:p>
    <w:p>
      <w:pPr/>
      <w:r>
        <w:t>Une année est jugée plausible entre 1900 et 2100 : au-delà, la suite de chiffres est vraisemblablement un montant ou une référence, pas une date.</w:t>
      </w:r>
    </w:p>
    <w:p>
      <w:pPr>
        <w:pStyle w:val="Heading2"/>
      </w:pPr>
      <w:r>
        <w:t>8.4 Le découpage du nom du fichier</w:t>
      </w:r>
    </w:p>
    <w:p>
      <w:pPr/>
      <w:r>
        <w:t xml:space="preserve">L'extension est d'abord retirée, puis le nom est découpé selon le séparateur du plan. Les segments vides sont ignorés. Le premier segment alimente le premier index du plan, le deuxième le deuxième, et ainsi de suite. Il n'y a aucune reconnaissance par mot-clé dans le nom : </w:t>
      </w:r>
      <w:r>
        <w:rPr>
          <w:b/>
        </w:rPr>
        <w:t>c'est la position qui compte</w:t>
      </w:r>
      <w:r>
        <w:t>, ce qui suppose que les émetteurs respectent la charte de nommage.</w:t>
      </w:r>
    </w:p>
    <w:p>
      <w:pPr>
        <w:pStyle w:val="Heading2"/>
      </w:pPr>
      <w:r>
        <w:t>8.5 Réactiver l'indexation automatique après une saisie</w:t>
      </w:r>
    </w:p>
    <w:p>
      <w:pPr/>
      <w:r>
        <w:t>Les champs déjà touchés sont conservés tels quels. Seuls les champs restés intacts reçoivent une proposition. Le compteur de couverture, lui, reflète ce que la lecture a su déduire, indépendamment de ce que l'opérateur a saisi : il peut donc afficher « 2/4 » alors que les quatre champs sont renseignés.</w:t>
      </w:r>
    </w:p>
    <w:p>
      <w:pPr>
        <w:pStyle w:val="Heading2"/>
      </w:pPr>
      <w:r>
        <w:t>8.6 Le référentiel des étiquettes est vide ou inaccessible</w:t>
      </w:r>
    </w:p>
    <w:p>
      <w:pPr/>
      <w:r>
        <w:t>Le champ « Étiquettes (optionnel) » disparaît purement et simplement. Proposer un sélecteur vide laisserait croire à une panne, et l'opérateur chercherait une explication là où il n'y a rien à trouver. Le sélecteur charge jusqu'à deux cents étiquettes en une fois.</w:t>
      </w:r>
    </w:p>
    <w:p>
      <w:pPr>
        <w:pStyle w:val="Heading2"/>
      </w:pPr>
      <w:r>
        <w:t>8.7 Une analyse qui échoue n'empêche pas de déposer</w:t>
      </w:r>
    </w:p>
    <w:p>
      <w:pPr/>
      <w:r>
        <w:t>Si l'analyse n'aboutit pas, l'application retire les propositions et laisse les champs à la charge de l'opérateur. Le dépôt reste possible. Une analyse indisponible est une gêne, pas un motif de blocage.</w:t>
      </w:r>
    </w:p>
    <w:p>
      <w:pPr>
        <w:pStyle w:val="Heading2"/>
      </w:pPr>
      <w:r>
        <w:t>8.8 Limite connue : la reconnaissance optique</w:t>
      </w:r>
    </w:p>
    <w:p>
      <w:pPr/>
      <w:r>
        <w:rPr>
          <w:b/>
          <w:color w:val="8A3333"/>
          <w:sz w:val="20"/>
        </w:rPr>
        <w:t>À documenter auprès de l'exploitant</w:t>
      </w:r>
    </w:p>
    <w:p>
      <w:pPr>
        <w:ind w:left="283"/>
      </w:pPr>
      <w:r>
        <w:rPr>
          <w:i/>
          <w:sz w:val="20"/>
        </w:rPr>
        <w:t>La reconnaissance de caractères n'a jamais été validée de bout en bout sur un poste réel. En son absence, l'analyse se rabat sur le nom du fichier et sur la couche texte des documents qui en possèdent une. Les documents numérisés sans couche texte ne produiront donc aucune proposition, et leurs champs devront être saisis à la main.</w:t>
      </w:r>
    </w:p>
    <w:p>
      <w:pPr>
        <w:pStyle w:val="Heading2"/>
      </w:pPr>
      <w:r>
        <w:t>8.9 Le compteur de couverture et le décompte du pied ne mesurent pas la même chose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Indicateur</w:t>
            </w:r>
          </w:p>
        </w:tc>
        <w:tc>
          <w:tcPr>
            <w:tcW w:type="dxa" w:w="3213"/>
          </w:tcPr>
          <w:p>
            <w:pPr>
              <w:spacing w:before="20" w:after="20"/>
            </w:pPr>
            <w:r>
              <w:rPr>
                <w:b/>
                <w:sz w:val="19"/>
              </w:rPr>
              <w:t>Ce qu'il compte</w:t>
            </w:r>
          </w:p>
        </w:tc>
        <w:tc>
          <w:tcPr>
            <w:tcW w:type="dxa" w:w="3213"/>
          </w:tcPr>
          <w:p>
            <w:pPr>
              <w:spacing w:before="20" w:after="20"/>
            </w:pPr>
            <w:r>
              <w:rPr>
                <w:b/>
                <w:sz w:val="19"/>
              </w:rPr>
              <w:t>Où il se trouve</w:t>
            </w:r>
          </w:p>
        </w:tc>
      </w:tr>
      <w:tr>
        <w:tc>
          <w:tcPr>
            <w:tcW w:type="dxa" w:w="3213"/>
          </w:tcPr>
          <w:p>
            <w:pPr>
              <w:spacing w:before="20" w:after="20"/>
            </w:pPr>
            <w:r>
              <w:rPr>
                <w:sz w:val="19"/>
              </w:rPr>
              <w:t>« n/N champ(s) déduits automatiquement »</w:t>
            </w:r>
          </w:p>
        </w:tc>
        <w:tc>
          <w:tcPr>
            <w:tcW w:type="dxa" w:w="3213"/>
          </w:tcPr>
          <w:p>
            <w:pPr>
              <w:spacing w:before="20" w:after="20"/>
            </w:pPr>
            <w:r>
              <w:rPr>
                <w:sz w:val="19"/>
              </w:rPr>
              <w:t>Ce que la lecture a su déduire lors de la dernière analyse. Il ne bouge pas quand l'opérateur saisit.</w:t>
            </w:r>
          </w:p>
        </w:tc>
        <w:tc>
          <w:tcPr>
            <w:tcW w:type="dxa" w:w="3213"/>
          </w:tcPr>
          <w:p>
            <w:pPr>
              <w:spacing w:before="20" w:after="20"/>
            </w:pPr>
            <w:r>
              <w:rPr>
                <w:sz w:val="19"/>
              </w:rPr>
              <w:t>En haut du bloc d'indexation.</w:t>
            </w:r>
          </w:p>
        </w:tc>
      </w:tr>
      <w:tr>
        <w:tc>
          <w:tcPr>
            <w:tcW w:type="dxa" w:w="3213"/>
          </w:tcPr>
          <w:p>
            <w:pPr>
              <w:spacing w:before="20" w:after="20"/>
            </w:pPr>
            <w:r>
              <w:rPr>
                <w:sz w:val="19"/>
              </w:rPr>
              <w:t>« N champ(s) obligatoire(s) à renseigner »</w:t>
            </w:r>
          </w:p>
        </w:tc>
        <w:tc>
          <w:tcPr>
            <w:tcW w:type="dxa" w:w="3213"/>
          </w:tcPr>
          <w:p>
            <w:pPr>
              <w:spacing w:before="20" w:after="20"/>
            </w:pPr>
            <w:r>
              <w:rPr>
                <w:sz w:val="19"/>
              </w:rPr>
              <w:t>Les index obligatoires actuellement vides, saisie comprise. Il bloque le dépôt.</w:t>
            </w:r>
          </w:p>
        </w:tc>
        <w:tc>
          <w:tcPr>
            <w:tcW w:type="dxa" w:w="3213"/>
          </w:tcPr>
          <w:p>
            <w:pPr>
              <w:spacing w:before="20" w:after="20"/>
            </w:pPr>
            <w:r>
              <w:rPr>
                <w:sz w:val="19"/>
              </w:rPr>
              <w:t>Dans le pied de la fenêtre.</w:t>
            </w:r>
          </w:p>
        </w:tc>
      </w:tr>
      <w:tr>
        <w:tc>
          <w:tcPr>
            <w:tcW w:type="dxa" w:w="3213"/>
          </w:tcPr>
          <w:p>
            <w:pPr>
              <w:spacing w:before="20" w:after="20"/>
            </w:pPr>
            <w:r>
              <w:rPr>
                <w:sz w:val="19"/>
              </w:rPr>
              <w:t>« N champ(s) non renseigné(s) »</w:t>
            </w:r>
          </w:p>
        </w:tc>
        <w:tc>
          <w:tcPr>
            <w:tcW w:type="dxa" w:w="3213"/>
          </w:tcPr>
          <w:p>
            <w:pPr>
              <w:spacing w:before="20" w:after="20"/>
            </w:pPr>
            <w:r>
              <w:rPr>
                <w:sz w:val="19"/>
              </w:rPr>
              <w:t>Tous les index actuellement vides, saisie comprise. Il ne bloque pas.</w:t>
            </w:r>
          </w:p>
        </w:tc>
        <w:tc>
          <w:tcPr>
            <w:tcW w:type="dxa" w:w="3213"/>
          </w:tcPr>
          <w:p>
            <w:pPr>
              <w:spacing w:before="20" w:after="20"/>
            </w:pPr>
            <w:r>
              <w:rPr>
                <w:sz w:val="19"/>
              </w:rPr>
              <w:t>Dans le pied de la fenêtre, seulement si aucun obligatoire ne manque.</w:t>
            </w:r>
          </w:p>
        </w:tc>
      </w:tr>
    </w:tbl>
    <w:p>
      <w:pPr>
        <w:spacing w:after="40"/>
      </w:pPr>
    </w:p>
    <w:p>
      <w:pPr>
        <w:pStyle w:val="Heading1"/>
      </w:pPr>
      <w:r>
        <w:t>9. Enchaînement avec les autres interfaces</w:t>
      </w:r>
    </w:p>
    <w:p>
      <w:pPr>
        <w:pStyle w:val="Heading2"/>
      </w:pPr>
      <w:r>
        <w:t>9.1 Ce qui doit exister avant</w:t>
      </w:r>
    </w:p>
    <w:p>
      <w:pPr/>
      <w:r>
        <w:t>Le dépôt est l'écran qui consomme le plus d'amont du produit. Voici, pour chaque maillon, ce qu'il apporte et ce que l'opérateur constate s'il manque.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 amont</w:t>
            </w:r>
          </w:p>
        </w:tc>
        <w:tc>
          <w:tcPr>
            <w:tcW w:type="dxa" w:w="3213"/>
          </w:tcPr>
          <w:p>
            <w:pPr>
              <w:spacing w:before="20" w:after="20"/>
            </w:pPr>
            <w:r>
              <w:rPr>
                <w:b/>
                <w:sz w:val="19"/>
              </w:rPr>
              <w:t>Ce qu'elle apporte au dépôt</w:t>
            </w:r>
          </w:p>
        </w:tc>
        <w:tc>
          <w:tcPr>
            <w:tcW w:type="dxa" w:w="3213"/>
          </w:tcPr>
          <w:p>
            <w:pPr>
              <w:spacing w:before="20" w:after="20"/>
            </w:pPr>
            <w:r>
              <w:rPr>
                <w:b/>
                <w:sz w:val="19"/>
              </w:rPr>
              <w:t>Ce que l'opérateur constate si elle manque ou est mal réglée</w:t>
            </w:r>
          </w:p>
        </w:tc>
      </w:tr>
      <w:tr>
        <w:tc>
          <w:tcPr>
            <w:tcW w:type="dxa" w:w="3213"/>
          </w:tcPr>
          <w:p>
            <w:pPr>
              <w:spacing w:before="20" w:after="20"/>
            </w:pPr>
            <w:r>
              <w:rPr>
                <w:sz w:val="19"/>
              </w:rPr>
              <w:t>06 Index</w:t>
            </w:r>
          </w:p>
        </w:tc>
        <w:tc>
          <w:tcPr>
            <w:tcW w:type="dxa" w:w="3213"/>
          </w:tcPr>
          <w:p>
            <w:pPr>
              <w:spacing w:before="20" w:after="20"/>
            </w:pPr>
            <w:r>
              <w:rPr>
                <w:sz w:val="19"/>
              </w:rPr>
              <w:t>La nature de chaque champ, ses valeurs autorisées, son caractère obligatoire.</w:t>
            </w:r>
          </w:p>
        </w:tc>
        <w:tc>
          <w:tcPr>
            <w:tcW w:type="dxa" w:w="3213"/>
          </w:tcPr>
          <w:p>
            <w:pPr>
              <w:spacing w:before="20" w:after="20"/>
            </w:pPr>
            <w:r>
              <w:rPr>
                <w:sz w:val="19"/>
              </w:rPr>
              <w:t>Sans le référentiel des index, tous les champs s'affichent en simple zone de texte et aucun n'est signalé obligatoire. Le blocage attendu n'a pas lieu, et le refus n'intervient qu'après la création du document, qui reste alors à indexer.</w:t>
            </w:r>
          </w:p>
        </w:tc>
      </w:tr>
      <w:tr>
        <w:tc>
          <w:tcPr>
            <w:tcW w:type="dxa" w:w="3213"/>
          </w:tcPr>
          <w:p>
            <w:pPr>
              <w:spacing w:before="20" w:after="20"/>
            </w:pPr>
            <w:r>
              <w:rPr>
                <w:sz w:val="19"/>
              </w:rPr>
              <w:t>07 Plan d'indexation</w:t>
            </w:r>
          </w:p>
        </w:tc>
        <w:tc>
          <w:tcPr>
            <w:tcW w:type="dxa" w:w="3213"/>
          </w:tcPr>
          <w:p>
            <w:pPr>
              <w:spacing w:before="20" w:after="20"/>
            </w:pPr>
            <w:r>
              <w:rPr>
                <w:sz w:val="19"/>
              </w:rPr>
              <w:t>L'ordre des index, le séparateur, la charte de nommage, le réglage de casse et le mode manuel ou automatique.</w:t>
            </w:r>
          </w:p>
        </w:tc>
        <w:tc>
          <w:tcPr>
            <w:tcW w:type="dxa" w:w="3213"/>
          </w:tcPr>
          <w:p>
            <w:pPr>
              <w:spacing w:before="20" w:after="20"/>
            </w:pPr>
            <w:r>
              <w:rPr>
                <w:sz w:val="19"/>
              </w:rPr>
              <w:t>Sans charte, l'application ne sait pas recomposer le nom pendant la saisie ; le champ reste vide. Un séparateur mal choisi provoque le piège décrit en 8.1.</w:t>
            </w:r>
          </w:p>
        </w:tc>
      </w:tr>
      <w:tr>
        <w:tc>
          <w:tcPr>
            <w:tcW w:type="dxa" w:w="3213"/>
          </w:tcPr>
          <w:p>
            <w:pPr>
              <w:spacing w:before="20" w:after="20"/>
            </w:pPr>
            <w:r>
              <w:rPr>
                <w:sz w:val="19"/>
              </w:rPr>
              <w:t>08 Type de document</w:t>
            </w:r>
          </w:p>
        </w:tc>
        <w:tc>
          <w:tcPr>
            <w:tcW w:type="dxa" w:w="3213"/>
          </w:tcPr>
          <w:p>
            <w:pPr>
              <w:spacing w:before="20" w:after="20"/>
            </w:pPr>
            <w:r>
              <w:rPr>
                <w:sz w:val="19"/>
              </w:rPr>
              <w:t>Le point d'entrée du parcours : dossier, formats acceptés, taille maximale, plan.</w:t>
            </w:r>
          </w:p>
        </w:tc>
        <w:tc>
          <w:tcPr>
            <w:tcW w:type="dxa" w:w="3213"/>
          </w:tcPr>
          <w:p>
            <w:pPr>
              <w:spacing w:before="20" w:after="20"/>
            </w:pPr>
            <w:r>
              <w:rPr>
                <w:sz w:val="19"/>
              </w:rPr>
              <w:t>Sans type, le dépôt est impossible. Un type sans plan dépose sans aucun index.</w:t>
            </w:r>
          </w:p>
        </w:tc>
      </w:tr>
      <w:tr>
        <w:tc>
          <w:tcPr>
            <w:tcW w:type="dxa" w:w="3213"/>
          </w:tcPr>
          <w:p>
            <w:pPr>
              <w:spacing w:before="20" w:after="20"/>
            </w:pPr>
            <w:r>
              <w:rPr>
                <w:sz w:val="19"/>
              </w:rPr>
              <w:t>03 Espace de travail</w:t>
            </w:r>
          </w:p>
        </w:tc>
        <w:tc>
          <w:tcPr>
            <w:tcW w:type="dxa" w:w="3213"/>
          </w:tcPr>
          <w:p>
            <w:pPr>
              <w:spacing w:before="20" w:after="20"/>
            </w:pPr>
            <w:r>
              <w:rPr>
                <w:sz w:val="19"/>
              </w:rPr>
              <w:t>Le dossier de rangement du document et la règle de workflow appliquée.</w:t>
            </w:r>
          </w:p>
        </w:tc>
        <w:tc>
          <w:tcPr>
            <w:tcW w:type="dxa" w:w="3213"/>
          </w:tcPr>
          <w:p>
            <w:pPr>
              <w:spacing w:before="20" w:after="20"/>
            </w:pPr>
            <w:r>
              <w:rPr>
                <w:sz w:val="19"/>
              </w:rPr>
              <w:t>Le document est rangé dans l'espace du type ; l'opérateur ne le choisit jamais.</w:t>
            </w:r>
          </w:p>
        </w:tc>
      </w:tr>
      <w:tr>
        <w:tc>
          <w:tcPr>
            <w:tcW w:type="dxa" w:w="3213"/>
          </w:tcPr>
          <w:p>
            <w:pPr>
              <w:spacing w:before="20" w:after="20"/>
            </w:pPr>
            <w:r>
              <w:rPr>
                <w:sz w:val="19"/>
              </w:rPr>
              <w:t>04 Règle de workflow</w:t>
            </w:r>
          </w:p>
        </w:tc>
        <w:tc>
          <w:tcPr>
            <w:tcW w:type="dxa" w:w="3213"/>
          </w:tcPr>
          <w:p>
            <w:pPr>
              <w:spacing w:before="20" w:after="20"/>
            </w:pPr>
            <w:r>
              <w:rPr>
                <w:sz w:val="19"/>
              </w:rPr>
              <w:t>Les étapes du circuit de validation ouvert au dépôt.</w:t>
            </w:r>
          </w:p>
        </w:tc>
        <w:tc>
          <w:tcPr>
            <w:tcW w:type="dxa" w:w="3213"/>
          </w:tcPr>
          <w:p>
            <w:pPr>
              <w:spacing w:before="20" w:after="20"/>
            </w:pPr>
            <w:r>
              <w:rPr>
                <w:sz w:val="19"/>
              </w:rPr>
              <w:t>Sans règle sur l'espace, aucune étape n'est créée : le document est actif immédiatement et n'apparaît jamais dans « Mes workflow ».</w:t>
            </w:r>
          </w:p>
        </w:tc>
      </w:tr>
      <w:tr>
        <w:tc>
          <w:tcPr>
            <w:tcW w:type="dxa" w:w="3213"/>
          </w:tcPr>
          <w:p>
            <w:pPr>
              <w:spacing w:before="20" w:after="20"/>
            </w:pPr>
            <w:r>
              <w:rPr>
                <w:sz w:val="19"/>
              </w:rPr>
              <w:t>09 Étiquette</w:t>
            </w:r>
          </w:p>
        </w:tc>
        <w:tc>
          <w:tcPr>
            <w:tcW w:type="dxa" w:w="3213"/>
          </w:tcPr>
          <w:p>
            <w:pPr>
              <w:spacing w:before="20" w:after="20"/>
            </w:pPr>
            <w:r>
              <w:rPr>
                <w:sz w:val="19"/>
              </w:rPr>
              <w:t>Les marqueurs proposés au dépôt.</w:t>
            </w:r>
          </w:p>
        </w:tc>
        <w:tc>
          <w:tcPr>
            <w:tcW w:type="dxa" w:w="3213"/>
          </w:tcPr>
          <w:p>
            <w:pPr>
              <w:spacing w:before="20" w:after="20"/>
            </w:pPr>
            <w:r>
              <w:rPr>
                <w:sz w:val="19"/>
              </w:rPr>
              <w:t>Le champ « Étiquettes (optionnel) » disparaît de la fenêtre.</w:t>
            </w:r>
          </w:p>
        </w:tc>
      </w:tr>
    </w:tbl>
    <w:p>
      <w:pPr>
        <w:spacing w:after="40"/>
      </w:pPr>
    </w:p>
    <w:p>
      <w:pPr>
        <w:pStyle w:val="Heading2"/>
      </w:pPr>
      <w:r>
        <w:t>9.2 Ce qui dépend de cet écran</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Interface aval</w:t>
            </w:r>
          </w:p>
        </w:tc>
        <w:tc>
          <w:tcPr>
            <w:tcW w:type="dxa" w:w="4819"/>
          </w:tcPr>
          <w:p>
            <w:pPr>
              <w:spacing w:before="20" w:after="20"/>
            </w:pPr>
            <w:r>
              <w:rPr>
                <w:b/>
                <w:sz w:val="19"/>
              </w:rPr>
              <w:t>Ce qu'elle reçoit du dépôt</w:t>
            </w:r>
          </w:p>
        </w:tc>
      </w:tr>
      <w:tr>
        <w:tc>
          <w:tcPr>
            <w:tcW w:type="dxa" w:w="4819"/>
          </w:tcPr>
          <w:p>
            <w:pPr>
              <w:spacing w:before="20" w:after="20"/>
            </w:pPr>
            <w:r>
              <w:rPr>
                <w:sz w:val="19"/>
              </w:rPr>
              <w:t>10 Documents</w:t>
            </w:r>
          </w:p>
        </w:tc>
        <w:tc>
          <w:tcPr>
            <w:tcW w:type="dxa" w:w="4819"/>
          </w:tcPr>
          <w:p>
            <w:pPr>
              <w:spacing w:before="20" w:after="20"/>
            </w:pPr>
            <w:r>
              <w:rPr>
                <w:sz w:val="19"/>
              </w:rPr>
              <w:t>Le document lui-même, avec son nom composé, sa version initiale intitulée « Version initiale », ses étiquettes, son échéance et ses valeurs d'index. La liste est rechargée immédiatement après la fermeture de la fenêtre.</w:t>
            </w:r>
          </w:p>
        </w:tc>
      </w:tr>
      <w:tr>
        <w:tc>
          <w:tcPr>
            <w:tcW w:type="dxa" w:w="4819"/>
          </w:tcPr>
          <w:p>
            <w:pPr>
              <w:spacing w:before="20" w:after="20"/>
            </w:pPr>
            <w:r>
              <w:rPr>
                <w:sz w:val="19"/>
              </w:rPr>
              <w:t>12 Mes workflow</w:t>
            </w:r>
          </w:p>
        </w:tc>
        <w:tc>
          <w:tcPr>
            <w:tcW w:type="dxa" w:w="4819"/>
          </w:tcPr>
          <w:p>
            <w:pPr>
              <w:spacing w:before="20" w:after="20"/>
            </w:pPr>
            <w:r>
              <w:rPr>
                <w:sz w:val="19"/>
              </w:rPr>
              <w:t>Une demande de signature par étape de la règle de workflow du dossier. La pastille du menu et le compteur de l'onglet sont recalculés dans la foulée.</w:t>
            </w:r>
          </w:p>
        </w:tc>
      </w:tr>
      <w:tr>
        <w:tc>
          <w:tcPr>
            <w:tcW w:type="dxa" w:w="4819"/>
          </w:tcPr>
          <w:p>
            <w:pPr>
              <w:spacing w:before="20" w:after="20"/>
            </w:pPr>
            <w:r>
              <w:rPr>
                <w:sz w:val="19"/>
              </w:rPr>
              <w:t>13 Profil</w:t>
            </w:r>
          </w:p>
        </w:tc>
        <w:tc>
          <w:tcPr>
            <w:tcW w:type="dxa" w:w="4819"/>
          </w:tcPr>
          <w:p>
            <w:pPr>
              <w:spacing w:before="20" w:after="20"/>
            </w:pPr>
            <w:r>
              <w:rPr>
                <w:sz w:val="19"/>
              </w:rPr>
              <w:t>Le compteur « Documents déposés » de la personne qui a effectué le dépôt.</w:t>
            </w:r>
          </w:p>
        </w:tc>
      </w:tr>
      <w:tr>
        <w:tc>
          <w:tcPr>
            <w:tcW w:type="dxa" w:w="4819"/>
          </w:tcPr>
          <w:p>
            <w:pPr>
              <w:spacing w:before="20" w:after="20"/>
            </w:pPr>
            <w:r>
              <w:rPr>
                <w:sz w:val="19"/>
              </w:rPr>
              <w:t>02 Accueil</w:t>
            </w:r>
          </w:p>
        </w:tc>
        <w:tc>
          <w:tcPr>
            <w:tcW w:type="dxa" w:w="4819"/>
          </w:tcPr>
          <w:p>
            <w:pPr>
              <w:spacing w:before="20" w:after="20"/>
            </w:pPr>
            <w:r>
              <w:rPr>
                <w:sz w:val="19"/>
              </w:rPr>
              <w:t>Les indicateurs du tableau de bord.</w:t>
            </w:r>
          </w:p>
        </w:tc>
      </w:tr>
    </w:tbl>
    <w:p>
      <w:pPr>
        <w:spacing w:after="40"/>
      </w:pPr>
    </w:p>
    <w:p>
      <w:pPr>
        <w:pStyle w:val="Heading1"/>
      </w:pPr>
      <w:r>
        <w:t>10. Points de vigilance</w:t>
      </w:r>
    </w:p>
    <w:p>
      <w:pPr>
        <w:pStyle w:val="Heading2"/>
      </w:pPr>
      <w:r>
        <w:t>10.1 Ce qui est mal compris</w:t>
      </w:r>
    </w:p>
    <w:p>
      <w:pPr>
        <w:pStyle w:val="ListBullet"/>
      </w:pPr>
      <w:r>
        <w:rPr>
          <w:b/>
        </w:rPr>
        <w:t>La référence composée n'est pas le nom du document.</w:t>
      </w:r>
      <w:r>
        <w:t xml:space="preserve"> Elle ne joint que les index, quand le nom y ajoute les jetons système de la charte. Elles peuvent légitimement différer, et le fait qu'elles diffèrent n'est pas un défaut.</w:t>
      </w:r>
    </w:p>
    <w:p>
      <w:pPr>
        <w:pStyle w:val="ListBullet"/>
      </w:pPr>
      <w:r>
        <w:rPr>
          <w:b/>
        </w:rPr>
        <w:t>Le point d'interrogation de la référence ne se retrouve pas dans le nom.</w:t>
      </w:r>
      <w:r>
        <w:t xml:space="preserve"> Le nom réellement gravé omet les jetons sans valeur ; la référence, elle, les marque pour que l'opérateur voie ce qui manque.</w:t>
      </w:r>
    </w:p>
    <w:p>
      <w:pPr>
        <w:pStyle w:val="ListBullet"/>
      </w:pPr>
      <w:r>
        <w:rPr>
          <w:b/>
        </w:rPr>
        <w:t>Les valeurs proposées sont des propositions, jamais des verdicts.</w:t>
      </w:r>
      <w:r>
        <w:t xml:space="preserve"> Elles sont modifiables et l'écran attend une relecture. C'est même la raison d'être de la mention de provenance.</w:t>
      </w:r>
    </w:p>
    <w:p>
      <w:pPr>
        <w:pStyle w:val="ListBullet"/>
      </w:pPr>
      <w:r>
        <w:rPr>
          <w:b/>
        </w:rPr>
        <w:t>L'indexation automatique n'est pas la reconnaissance optique.</w:t>
      </w:r>
      <w:r>
        <w:t xml:space="preserve"> Elle commence par découper le nom du fichier, qui suffit dans la plupart des cas ; la lecture du contenu n'intervient qu'en second recours.</w:t>
      </w:r>
    </w:p>
    <w:p>
      <w:pPr>
        <w:pStyle w:val="ListBullet"/>
      </w:pPr>
      <w:r>
        <w:rPr>
          <w:b/>
        </w:rPr>
        <w:t>Le compteur « n/N » ne mesure pas l'avancement de la saisie</w:t>
      </w:r>
      <w:r>
        <w:t>, mais la couverture de la dernière lecture. Il peut afficher « 0/4 » alors que les quatre champs sont remplis à la main.</w:t>
      </w:r>
    </w:p>
    <w:p>
      <w:pPr>
        <w:pStyle w:val="ListBullet"/>
      </w:pPr>
      <w:r>
        <w:rPr>
          <w:b/>
        </w:rPr>
        <w:t>Le dossier de rangement ne se choisit pas.</w:t>
      </w:r>
      <w:r>
        <w:t xml:space="preserve"> Il découle du type de document.</w:t>
      </w:r>
    </w:p>
    <w:p>
      <w:pPr>
        <w:pStyle w:val="Heading2"/>
      </w:pPr>
      <w:r>
        <w:t>10.2 Ce qui a déjà causé des erreurs</w:t>
      </w:r>
    </w:p>
    <w:p>
      <w:pPr>
        <w:pStyle w:val="ListBullet"/>
      </w:pPr>
      <w:r>
        <w:rPr>
          <w:b/>
        </w:rPr>
        <w:t>L'écriture avant confirmation.</w:t>
      </w:r>
      <w:r>
        <w:t xml:space="preserve"> L'ancienne version en deux étapes écrivait les valeurs déduites avant validation. Un opérateur qui abandonnait laissait un document renommé avec des informations que personne n'avait relues.</w:t>
      </w:r>
    </w:p>
    <w:p>
      <w:pPr>
        <w:pStyle w:val="ListBullet"/>
      </w:pPr>
      <w:r>
        <w:rPr>
          <w:b/>
        </w:rPr>
        <w:t>La fenêtre qui ne se fermait pas.</w:t>
      </w:r>
      <w:r>
        <w:t xml:space="preserve"> La seconde fenêtre d'indexation verrouillait sa propre fermeture ; la seule sortie était de recharger la page.</w:t>
      </w:r>
    </w:p>
    <w:p>
      <w:pPr>
        <w:pStyle w:val="ListBullet"/>
      </w:pPr>
      <w:r>
        <w:rPr>
          <w:b/>
        </w:rPr>
        <w:t>La réponse d'analyse arrivée après coup.</w:t>
      </w:r>
      <w:r>
        <w:t xml:space="preserve"> Un fichier lourd suivi d'un autre faisait repeupler les champs avec les données du fichier abandonné, sans aucun signal.</w:t>
      </w:r>
    </w:p>
    <w:p>
      <w:pPr>
        <w:pStyle w:val="ListBullet"/>
      </w:pPr>
      <w:r>
        <w:rPr>
          <w:b/>
        </w:rPr>
        <w:t>La correction manuelle écrasée.</w:t>
      </w:r>
      <w:r>
        <w:t xml:space="preserve"> L'appartenance d'un champ à l'opérateur était déduite de la provenance de la valeur, qui ne change pas quand l'opérateur tape. Une correction était effacée en croyant retirer une suggestion.</w:t>
      </w:r>
    </w:p>
    <w:p>
      <w:pPr>
        <w:pStyle w:val="ListBullet"/>
      </w:pPr>
      <w:r>
        <w:rPr>
          <w:b/>
        </w:rPr>
        <w:t>Le travail perdu au basculement de l'interrupteur.</w:t>
      </w:r>
      <w:r>
        <w:t xml:space="preserve"> Une version antérieure vidait tous les champs dans les deux sens : l'opérateur perdait sa saisie pour avoir touché un réglage.</w:t>
      </w:r>
    </w:p>
    <w:p>
      <w:pPr>
        <w:pStyle w:val="ListBullet"/>
      </w:pPr>
      <w:r>
        <w:rPr>
          <w:b/>
        </w:rPr>
        <w:t>Le fichier envoyé pour rien.</w:t>
      </w:r>
      <w:r>
        <w:t xml:space="preserve"> L'analyse ne contrôlait ni le format ni la taille ; un fichier de cinquante méga-octets était transmis et lu à chaque sélection, alors que le dépôt l'aurait refusé.</w:t>
      </w:r>
    </w:p>
    <w:p>
      <w:pPr>
        <w:pStyle w:val="ListBullet"/>
      </w:pPr>
      <w:r>
        <w:rPr>
          <w:b/>
        </w:rPr>
        <w:t>Le double dépôt.</w:t>
      </w:r>
      <w:r>
        <w:t xml:space="preserve"> Deux clics rapprochés créaient deux documents identiques.</w:t>
      </w:r>
    </w:p>
    <w:p>
      <w:pPr>
        <w:pStyle w:val="ListBullet"/>
      </w:pPr>
      <w:r>
        <w:rPr>
          <w:b/>
        </w:rPr>
        <w:t>Le type modifiable après création.</w:t>
      </w:r>
      <w:r>
        <w:t xml:space="preserve"> On changeait de type après un échec d'indexation, et « Réessayer » écrivait les index d'un autre plan sur le document, sans contrôle de ses propres index obligatoires.</w:t>
      </w:r>
    </w:p>
    <w:p>
      <w:pPr>
        <w:pStyle w:val="ListBullet"/>
      </w:pPr>
      <w:r>
        <w:rPr>
          <w:b/>
        </w:rPr>
        <w:t>Le point d'interrogation dans le nom.</w:t>
      </w:r>
      <w:r>
        <w:t xml:space="preserve"> Il finissait dans le nom du fichier proposé au téléchargement, où ce caractère est interdit sous Windows : la pièce devenait inenregistrable sur le poste de travail.</w:t>
      </w:r>
    </w:p>
    <w:p>
      <w:pPr>
        <w:pStyle w:val="Heading2"/>
      </w:pPr>
      <w:r>
        <w:t>10.3 Ce que l'application ne fait pas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Constat</w:t>
            </w:r>
          </w:p>
        </w:tc>
        <w:tc>
          <w:tcPr>
            <w:tcW w:type="dxa" w:w="3213"/>
          </w:tcPr>
          <w:p>
            <w:pPr>
              <w:spacing w:before="20" w:after="20"/>
            </w:pPr>
            <w:r>
              <w:rPr>
                <w:b/>
                <w:sz w:val="19"/>
              </w:rPr>
              <w:t>Conséquence pratique</w:t>
            </w:r>
          </w:p>
        </w:tc>
        <w:tc>
          <w:tcPr>
            <w:tcW w:type="dxa" w:w="3213"/>
          </w:tcPr>
          <w:p>
            <w:pPr>
              <w:spacing w:before="20" w:after="20"/>
            </w:pPr>
            <w:r>
              <w:rPr>
                <w:b/>
                <w:sz w:val="19"/>
              </w:rPr>
              <w:t>Recommandation</w:t>
            </w:r>
          </w:p>
        </w:tc>
      </w:tr>
      <w:tr>
        <w:tc>
          <w:tcPr>
            <w:tcW w:type="dxa" w:w="3213"/>
          </w:tcPr>
          <w:p>
            <w:pPr>
              <w:spacing w:before="20" w:after="20"/>
            </w:pPr>
            <w:r>
              <w:rPr>
                <w:sz w:val="19"/>
              </w:rPr>
              <w:t>Aucun écran ne permet de reprendre l'indexation d'un document déjà déposé.</w:t>
            </w:r>
          </w:p>
        </w:tc>
        <w:tc>
          <w:tcPr>
            <w:tcW w:type="dxa" w:w="3213"/>
          </w:tcPr>
          <w:p>
            <w:pPr>
              <w:spacing w:before="20" w:after="20"/>
            </w:pPr>
            <w:r>
              <w:rPr>
                <w:sz w:val="19"/>
              </w:rPr>
              <w:t>Un document terminé sur l'issue « à indexer » ne peut plus être indexé depuis l'interface : la fenêtre de dépôt ne traite que les créations, et les champs indexés de la fiche du document sont en lecture seule. La seule issue consiste à supprimer le document et à le redéposer.</w:t>
            </w:r>
          </w:p>
        </w:tc>
        <w:tc>
          <w:tcPr>
            <w:tcW w:type="dxa" w:w="3213"/>
          </w:tcPr>
          <w:p>
            <w:pPr>
              <w:spacing w:before="20" w:after="20"/>
            </w:pPr>
            <w:r>
              <w:rPr>
                <w:sz w:val="19"/>
              </w:rPr>
              <w:t>Manque fonctionnel majeur. Ouvrir l'indexation depuis la fiche du document, ou rendre la fenêtre de dépôt réutilisable sur un document existant.</w:t>
            </w:r>
          </w:p>
        </w:tc>
      </w:tr>
      <w:tr>
        <w:tc>
          <w:tcPr>
            <w:tcW w:type="dxa" w:w="3213"/>
          </w:tcPr>
          <w:p>
            <w:pPr>
              <w:spacing w:before="20" w:after="20"/>
            </w:pPr>
            <w:r>
              <w:rPr>
                <w:sz w:val="19"/>
              </w:rPr>
              <w:t>La reconnaissance optique n'a jamais été validée sur un poste réel.</w:t>
            </w:r>
          </w:p>
        </w:tc>
        <w:tc>
          <w:tcPr>
            <w:tcW w:type="dxa" w:w="3213"/>
          </w:tcPr>
          <w:p>
            <w:pPr>
              <w:spacing w:before="20" w:after="20"/>
            </w:pPr>
            <w:r>
              <w:rPr>
                <w:sz w:val="19"/>
              </w:rPr>
              <w:t>Les documents numérisés sans couche texte ne produisent aucune proposition.</w:t>
            </w:r>
          </w:p>
        </w:tc>
        <w:tc>
          <w:tcPr>
            <w:tcW w:type="dxa" w:w="3213"/>
          </w:tcPr>
          <w:p>
            <w:pPr>
              <w:spacing w:before="20" w:after="20"/>
            </w:pPr>
            <w:r>
              <w:rPr>
                <w:sz w:val="19"/>
              </w:rPr>
              <w:t>Valider la chaîne sur l'environnement cible, ou annoncer clairement la limite aux utilisateurs.</w:t>
            </w:r>
          </w:p>
        </w:tc>
      </w:tr>
      <w:tr>
        <w:tc>
          <w:tcPr>
            <w:tcW w:type="dxa" w:w="3213"/>
          </w:tcPr>
          <w:p>
            <w:pPr>
              <w:spacing w:before="20" w:after="20"/>
            </w:pPr>
            <w:r>
              <w:rPr>
                <w:sz w:val="19"/>
              </w:rPr>
              <w:t>Le plafond général de cent méga-octets est une valeur fixe de l'écran, qu'aucun paramétrage ne permet de modifier.</w:t>
            </w:r>
          </w:p>
        </w:tc>
        <w:tc>
          <w:tcPr>
            <w:tcW w:type="dxa" w:w="3213"/>
          </w:tcPr>
          <w:p>
            <w:pPr>
              <w:spacing w:before="20" w:after="20"/>
            </w:pPr>
            <w:r>
              <w:rPr>
                <w:sz w:val="19"/>
              </w:rPr>
              <w:t>Si l'exploitant modifie cette limite, l'écran continuera d'annoncer l'ancienne.</w:t>
            </w:r>
          </w:p>
        </w:tc>
        <w:tc>
          <w:tcPr>
            <w:tcW w:type="dxa" w:w="3213"/>
          </w:tcPr>
          <w:p>
            <w:pPr>
              <w:spacing w:before="20" w:after="20"/>
            </w:pPr>
            <w:r>
              <w:rPr>
                <w:sz w:val="19"/>
              </w:rPr>
              <w:t>Faire annoncer la limite par l'application elle-même, comme cela est déjà fait pour la disponibilité de la lecture automatique.</w:t>
            </w:r>
          </w:p>
        </w:tc>
      </w:tr>
      <w:tr>
        <w:tc>
          <w:tcPr>
            <w:tcW w:type="dxa" w:w="3213"/>
          </w:tcPr>
          <w:p>
            <w:pPr>
              <w:spacing w:before="20" w:after="20"/>
            </w:pPr>
            <w:r>
              <w:rPr>
                <w:sz w:val="19"/>
              </w:rPr>
              <w:t>Le décompte des index obligatoires ne nomme pas les champs concernés.</w:t>
            </w:r>
          </w:p>
        </w:tc>
        <w:tc>
          <w:tcPr>
            <w:tcW w:type="dxa" w:w="3213"/>
          </w:tcPr>
          <w:p>
            <w:pPr>
              <w:spacing w:before="20" w:after="20"/>
            </w:pPr>
            <w:r>
              <w:rPr>
                <w:sz w:val="19"/>
              </w:rPr>
              <w:t>Sur un plan de huit index, l'opérateur doit repérer lui-même l'astérisque du champ vide.</w:t>
            </w:r>
          </w:p>
        </w:tc>
        <w:tc>
          <w:tcPr>
            <w:tcW w:type="dxa" w:w="3213"/>
          </w:tcPr>
          <w:p>
            <w:pPr>
              <w:spacing w:before="20" w:after="20"/>
            </w:pPr>
            <w:r>
              <w:rPr>
                <w:sz w:val="19"/>
              </w:rPr>
              <w:t>Nommer le premier champ fautif, ou l'amener sous les yeux.</w:t>
            </w:r>
          </w:p>
        </w:tc>
      </w:tr>
      <w:tr>
        <w:tc>
          <w:tcPr>
            <w:tcW w:type="dxa" w:w="3213"/>
          </w:tcPr>
          <w:p>
            <w:pPr>
              <w:spacing w:before="20" w:after="20"/>
            </w:pPr>
            <w:r>
              <w:rPr>
                <w:sz w:val="19"/>
              </w:rPr>
              <w:t>L'analyse transmet le fichier entier à chaque sélection.</w:t>
            </w:r>
          </w:p>
        </w:tc>
        <w:tc>
          <w:tcPr>
            <w:tcW w:type="dxa" w:w="3213"/>
          </w:tcPr>
          <w:p>
            <w:pPr>
              <w:spacing w:before="20" w:after="20"/>
            </w:pPr>
            <w:r>
              <w:rPr>
                <w:sz w:val="19"/>
              </w:rPr>
              <w:t>Sur un réseau lent et un fichier volumineux, l'attente est perceptible avant même le dépôt.</w:t>
            </w:r>
          </w:p>
        </w:tc>
        <w:tc>
          <w:tcPr>
            <w:tcW w:type="dxa" w:w="3213"/>
          </w:tcPr>
          <w:p>
            <w:pPr>
              <w:spacing w:before="20" w:after="20"/>
            </w:pPr>
            <w:r>
              <w:rPr>
                <w:sz w:val="19"/>
              </w:rPr>
              <w:t>Comportement assumé : il n'existe pas d'autre moyen de lire le contenu. Les contrôles immédiats limitent déjà le gaspillage.</w:t>
            </w:r>
          </w:p>
        </w:tc>
      </w:tr>
      <w:tr>
        <w:tc>
          <w:tcPr>
            <w:tcW w:type="dxa" w:w="3213"/>
          </w:tcPr>
          <w:p>
            <w:pPr>
              <w:spacing w:before="20" w:after="20"/>
            </w:pPr>
            <w:r>
              <w:rPr>
                <w:sz w:val="19"/>
              </w:rPr>
              <w:t>Le nom composé affiché pendant la saisie peut différer du nom finalement gravé.</w:t>
            </w:r>
          </w:p>
        </w:tc>
        <w:tc>
          <w:tcPr>
            <w:tcW w:type="dxa" w:w="3213"/>
          </w:tcPr>
          <w:p>
            <w:pPr>
              <w:spacing w:before="20" w:after="20"/>
            </w:pPr>
            <w:r>
              <w:rPr>
                <w:sz w:val="19"/>
              </w:rPr>
              <w:t>Les jetons sans valeur sont marqués à l'écran et omis à l'enregistrement ; le nom définitif est donc parfois plus court que celui qui était affiché.</w:t>
            </w:r>
          </w:p>
        </w:tc>
        <w:tc>
          <w:tcPr>
            <w:tcW w:type="dxa" w:w="3213"/>
          </w:tcPr>
          <w:p>
            <w:pPr>
              <w:spacing w:before="20" w:after="20"/>
            </w:pPr>
            <w:r>
              <w:rPr>
                <w:sz w:val="19"/>
              </w:rPr>
              <w:t>Comportement volontaire ; à expliquer en formation.</w:t>
            </w:r>
          </w:p>
        </w:tc>
      </w:tr>
      <w:tr>
        <w:tc>
          <w:tcPr>
            <w:tcW w:type="dxa" w:w="3213"/>
          </w:tcPr>
          <w:p>
            <w:pPr>
              <w:spacing w:before="20" w:after="20"/>
            </w:pPr>
            <w:r>
              <w:rPr>
                <w:sz w:val="19"/>
              </w:rPr>
              <w:t>La fenêtre ne propose pas de déposer plusieurs fichiers en une fois.</w:t>
            </w:r>
          </w:p>
        </w:tc>
        <w:tc>
          <w:tcPr>
            <w:tcW w:type="dxa" w:w="3213"/>
          </w:tcPr>
          <w:p>
            <w:pPr>
              <w:spacing w:before="20" w:after="20"/>
            </w:pPr>
            <w:r>
              <w:rPr>
                <w:sz w:val="19"/>
              </w:rPr>
              <w:t>Chaque pièce demande un passage complet dans la fenêtre.</w:t>
            </w:r>
          </w:p>
        </w:tc>
        <w:tc>
          <w:tcPr>
            <w:tcW w:type="dxa" w:w="3213"/>
          </w:tcPr>
          <w:p>
            <w:pPr>
              <w:spacing w:before="20" w:after="20"/>
            </w:pPr>
            <w:r>
              <w:rPr>
                <w:sz w:val="19"/>
              </w:rPr>
              <w:t>Évolution à envisager si le volume de dépôt quotidien le justifie.</w:t>
            </w:r>
          </w:p>
        </w:tc>
      </w:tr>
      <w:tr>
        <w:tc>
          <w:tcPr>
            <w:tcW w:type="dxa" w:w="3213"/>
          </w:tcPr>
          <w:p>
            <w:pPr>
              <w:spacing w:before="20" w:after="20"/>
            </w:pPr>
            <w:r>
              <w:rPr>
                <w:sz w:val="19"/>
              </w:rPr>
              <w:t>L'espace de travail n'est ni affiché ni choisi dans la fenêtre.</w:t>
            </w:r>
          </w:p>
        </w:tc>
        <w:tc>
          <w:tcPr>
            <w:tcW w:type="dxa" w:w="3213"/>
          </w:tcPr>
          <w:p>
            <w:pPr>
              <w:spacing w:before="20" w:after="20"/>
            </w:pPr>
            <w:r>
              <w:rPr>
                <w:sz w:val="19"/>
              </w:rPr>
              <w:t>L'opérateur ne voit pas où sa pièce va être rangée avant de la déposer.</w:t>
            </w:r>
          </w:p>
        </w:tc>
        <w:tc>
          <w:tcPr>
            <w:tcW w:type="dxa" w:w="3213"/>
          </w:tcPr>
          <w:p>
            <w:pPr>
              <w:spacing w:before="20" w:after="20"/>
            </w:pPr>
            <w:r>
              <w:rPr>
                <w:sz w:val="19"/>
              </w:rPr>
              <w:t>Afficher l'espace du type retenu, en lecture seule, sous le sélecteur de type.</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11 Dépôt et indexation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