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60" w:after="120"/>
      </w:pPr>
      <w:r>
        <w:rPr>
          <w:b/>
          <w:color w:val="1F6F68"/>
          <w:sz w:val="28"/>
          <w:szCs w:val="28"/>
        </w:rPr>
        <w:t>Arabic Poetry</w:t>
      </w:r>
    </w:p>
    <w:p>
      <w:pPr>
        <w:spacing w:before="200" w:after="60"/>
      </w:pPr>
      <w:r>
        <w:rPr>
          <w:b/>
          <w:i/>
          <w:sz w:val="22"/>
          <w:szCs w:val="22"/>
        </w:rPr>
        <w:t>Al-Mutanabbi — single couplet, balanced</w:t>
      </w:r>
    </w:p>
    <w:p>
      <w:pPr>
        <w:spacing w:before="40" w:after="40"/>
        <w:ind w:left="360"/>
      </w:pPr>
      <w:r>
        <w:rPr>
          <w:i/>
          <w:color w:val="5F666D"/>
          <w:sz w:val="18"/>
          <w:szCs w:val="18"/>
        </w:rPr>
        <w:t>إذا غامرت في شرف مروم / فلا تقنع بما دون النجوم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إذا غامَرتَ في شَرَفٍ مَرومِ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فَلا تَقنَع بما دونَ النُّجومِ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Al-Mutanabbi — qasida (3 stanzas), balanced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على قدرِ أهلِ العزمِ تأتي العزائمُ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وتأتي على قدرِ الكرامِ المكارمُ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وتعظمُ في عينِ الصغيرِ صغارُها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وتصغرُ في عينِ العظيمِ العظائمُ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يُكلَّفُ سيفُ الدولةِ الجيشَ همَّهُ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وقد عجزَت عنهُ الجيوشُ الخضارمُ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3-misra triple row (علم / جهل / عقل)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gridSpan w:val="2"/>
            <w:tcW w:w="1702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العلمُ نورٌ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والجهلُ ظلامٌ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4"/>
            <w:tcW w:w="3404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والعقلُ ميزانٌ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Single couplet — stacked layout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2"/>
            <w:tcW w:w="2674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إذا غامَرتَ في شَرَفٍ مَرومِ</w:t>
            </w:r>
          </w:p>
        </w:tc>
        <w:tc>
          <w:tcPr>
            <w:gridSpan w:val="2"/>
            <w:tcW w:w="2674" w:type="dxa"/>
          </w:tcPr>
          <w:p/>
        </w:tc>
      </w:tr>
      <w:tr>
        <w:tc>
          <w:tcPr>
            <w:gridSpan w:val="2"/>
            <w:tcW w:w="2674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center"/>
              <w:ind w:right="640"/>
            </w:pPr>
            <w:r>
              <w:rPr>
                <w:rtl/>
              </w:rPr>
              <w:t xml:space="preserve">فَلا تَقنَع بما دونَ النُّجومِ</w:t>
            </w:r>
          </w:p>
        </w:tc>
        <w:tc>
          <w:tcPr>
            <w:gridSpan w:val="2"/>
            <w:tcW w:w="2674" w:type="dxa"/>
          </w:tcPr>
          <w:p/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Single couplet — compact layout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إذا غامَرتَ في شَرَفٍ مَرومِ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فَلا تَقنَع بما دونَ النُّجومِ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Single couplet — kashida (tatweelCount 6)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إذا غــامَـرتَ فـي شَـرَفٍ مَـرومِ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فَـلا تَـقـنَـع بـمـا دونَ النُّجومِ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Single couplet — tab-stop paragraphs</w:t>
      </w:r>
    </w:p>
    <w:p>
      <w:pPr>
        <w:tabs>
          <w:tab w:val="left" w:pos="0"/>
        </w:tabs>
        <w:bidi/>
        <w:spacing w:after="0"/>
      </w:pPr>
      <w:r>
        <w:rPr>
          <w:rtl/>
        </w:rPr>
        <w:t xml:space="preserve">إذا غامَرتَ في شَرَفٍ مَرومِ</w:t>
      </w:r>
      <w:r>
        <w:tab/>
      </w:r>
      <w:r>
        <w:rPr>
          <w:rtl/>
        </w:rPr>
        <w:t xml:space="preserve">فَلا تَقنَع بما دونَ النُّجومِ</w:t>
      </w:r>
    </w:p>
    <w:p>
      <w:pPr>
        <w:spacing w:after="80"/>
      </w:pPr>
    </w:p>
    <w:p>
      <w:pPr>
        <w:spacing w:before="360" w:after="120"/>
      </w:pPr>
      <w:r>
        <w:rPr>
          <w:b/>
          <w:color w:val="1F6F68"/>
          <w:sz w:val="28"/>
          <w:szCs w:val="28"/>
        </w:rPr>
        <w:t>Farsi / Persian Poetry</w:t>
      </w:r>
    </w:p>
    <w:p>
      <w:pPr>
        <w:spacing w:before="200" w:after="60"/>
      </w:pPr>
      <w:r>
        <w:rPr>
          <w:b/>
          <w:i/>
          <w:sz w:val="22"/>
          <w:szCs w:val="22"/>
        </w:rPr>
        <w:t>Hafiz — ghazal (3 bayts)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بیا که قصر امل سخت سست بنیاد است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بیار باده که بنیاد عمر بر باد است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غلام همت آنم که زیر چرخ کبود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ز هر چه رنگ تعلق پذیرد آزاد است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چه باشد ار شود افشای راز دلدارم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چو عاشقان همه عالم بدین گرفتارند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Rumi — Masnavi opening couplet</w:t>
      </w:r>
    </w:p>
    <w:p>
      <w:pPr>
        <w:spacing w:before="40" w:after="40"/>
        <w:ind w:left="360"/>
      </w:pPr>
      <w:r>
        <w:rPr>
          <w:i/>
          <w:color w:val="5F666D"/>
          <w:sz w:val="18"/>
          <w:szCs w:val="18"/>
        </w:rPr>
        <w:t>بشنو این نی چون شکایت می‌کند / از جدایی‌ها حکایت می‌کند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بشنو این نی چون شکایت می‌کند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از جدایی‌ها حکایت می‌کند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Saadi — Gulistan solo line (| syntax)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بنی آدم اعضای یکدیگرند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که در آفرینش ز یک گوهرند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Hafiz ghazal — Arabic serif font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Scheherazade New"/>
              </w:rPr>
              <w:t xml:space="preserve">بیا که قصر امل سخت سست بنیاد است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Scheherazade New"/>
              </w:rPr>
              <w:t xml:space="preserve">بیار باده که بنیاد عمر بر باد است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Scheherazade New"/>
              </w:rPr>
              <w:t xml:space="preserve">غلام همت آنم که زیر چرخ کبود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Scheherazade New"/>
              </w:rPr>
              <w:t xml:space="preserve">ز هر چه رنگ تعلق پذیرد آزاد است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Scheherazade New"/>
              </w:rPr>
              <w:t xml:space="preserve">چه باشد ار شود افشای راز دلدارم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Scheherazade New"/>
              </w:rPr>
              <w:t xml:space="preserve">چو عاشقان همه عالم بدین گرفتارند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Rumi couplet — kashida (tatweelCount 5)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بـشـنـو ایـن نـی چون شکایت می‌کند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از جـدایـی‌هـا حـکـایت می‌کند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Rumi couplet — tab-stop paragraphs</w:t>
      </w:r>
    </w:p>
    <w:p>
      <w:pPr>
        <w:tabs>
          <w:tab w:val="left" w:pos="0"/>
        </w:tabs>
        <w:bidi/>
        <w:spacing w:after="0"/>
      </w:pPr>
      <w:r>
        <w:rPr>
          <w:rtl/>
        </w:rPr>
        <w:t xml:space="preserve">بشنو این نی چون شکایت می‌کند</w:t>
      </w:r>
      <w:r>
        <w:tab/>
      </w:r>
      <w:r>
        <w:rPr>
          <w:rtl/>
        </w:rPr>
        <w:t xml:space="preserve">از جدایی‌ها حکایت می‌کند</w:t>
      </w:r>
    </w:p>
    <w:p>
      <w:pPr>
        <w:spacing w:after="80"/>
      </w:pPr>
    </w:p>
    <w:p>
      <w:pPr>
        <w:spacing w:before="360" w:after="120"/>
      </w:pPr>
      <w:r>
        <w:rPr>
          <w:b/>
          <w:color w:val="1F6F68"/>
          <w:sz w:val="28"/>
          <w:szCs w:val="28"/>
        </w:rPr>
        <w:t>Urdu Poetry</w:t>
      </w:r>
    </w:p>
    <w:p>
      <w:pPr>
        <w:spacing w:before="200" w:after="60"/>
      </w:pPr>
      <w:r>
        <w:rPr>
          <w:b/>
          <w:i/>
          <w:sz w:val="22"/>
          <w:szCs w:val="22"/>
        </w:rPr>
        <w:t>Ghalib — ghazal (3 bayts)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دل ناداں تجھے ہوا کیا ہے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آخر اس درد کی دوا کیا ہے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ہم ہیں مشتاق اور وہ بیزار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یا الہی یہ ماجرا کیا ہے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میں بھی منہ میں زبان رکھتا ہوں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کاش پوچھو کہ مدعا کیا ہے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Iqbal — single couplet, Nastaliq</w:t>
      </w:r>
    </w:p>
    <w:p>
      <w:pPr>
        <w:spacing w:before="40" w:after="40"/>
        <w:ind w:left="360"/>
      </w:pPr>
      <w:r>
        <w:rPr>
          <w:i/>
          <w:color w:val="5F666D"/>
          <w:sz w:val="18"/>
          <w:szCs w:val="18"/>
        </w:rPr>
        <w:t>خودی کو کر بلند اتنا کہ ہر تقدیر سے پہلے / خدا بندے سے خود پوچھے بتا تیری رضا کیا ہے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Noto Nastaliq Urdu"/>
              </w:rPr>
              <w:t xml:space="preserve">خودی کو کر بلند اتنا کہ ہر تقدیر سے پہلے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Noto Nastaliq Urdu"/>
              </w:rPr>
              <w:t xml:space="preserve">خدا بندے سے خود پوچھے بتا تیری رضا کیا ہے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Mir Taqi Mir — 2 bayts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الٹی ہو گئیں سب تدبیریں کچھ نہ دوا نے کام کیا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دیکھا اس بیماریِ دل نے آخر کام تمام کیا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مت سہل ہمیں جانو پھرتا ہے فلک برسوں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تب خاک کے پردے سے انسان نکلتے ہیں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Ghalib ghazal — with refrain bayts (% marker)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color w:val="A7352A"/>
              </w:rPr>
              <w:t xml:space="preserve">دل ناداں تجھے ہوا کیا ہے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color w:val="A7352A"/>
              </w:rPr>
              <w:t xml:space="preserve">آخر اس درد کی دوا کیا ہے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ہم ہیں مشتاق اور وہ بیزار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یا الہی یہ ماجرا کیا ہے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میں بھی منہ میں زبان رکھتا ہوں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کاش پوچھو کہ مدعا کیا ہے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color w:val="A7352A"/>
              </w:rPr>
              <w:t xml:space="preserve">دل ناداں تجھے ہوا کیا ہے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color w:val="A7352A"/>
              </w:rPr>
              <w:t xml:space="preserve">آخر اس درد کی دوا کیا ہے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Marsiya stanza 1 — 3-misra + solo + paired refrain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شاه كے اصحاب تھے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خلق ميں الباب تھے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صدق كے ارباب تھے</w:t>
            </w:r>
          </w:p>
        </w:tc>
      </w:tr>
      <w:tr>
        <w:tc>
          <w:tcPr>
            <w:gridSpan w:val="4"/>
            <w:tcW w:w="3404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هو گئے شہ پر فدا</w:t>
            </w:r>
          </w:p>
        </w:tc>
        <w:tc>
          <w:tcPr>
            <w:gridSpan w:val="4"/>
            <w:tcW w:w="3404" w:type="dxa"/>
          </w:tcPr>
          <w:p/>
        </w:tc>
      </w:tr>
      <w:tr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هائے كربلاء والو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هائے كربلاء والو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Marsiya stanza 2 — 3-misra + solo + paired refrain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اهلِ بيت تھے عجب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اٗفقِ دعوت كے شٗہٗب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هو گئے قربان سب</w:t>
            </w:r>
          </w:p>
        </w:tc>
      </w:tr>
      <w:tr>
        <w:tc>
          <w:tcPr>
            <w:gridSpan w:val="4"/>
            <w:tcW w:w="3404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خالي لشكر هو گيا</w:t>
            </w:r>
          </w:p>
        </w:tc>
        <w:tc>
          <w:tcPr>
            <w:gridSpan w:val="4"/>
            <w:tcW w:w="3404" w:type="dxa"/>
          </w:tcPr>
          <w:p/>
        </w:tc>
      </w:tr>
      <w:tr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هائے كربلاء والو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هائے كربلاء والو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Multi-stanza marsiya (--- separator)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شاه كے اصحاب تھے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خلق ميں الباب تھے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صدق كے ارباب تھے</w:t>
            </w:r>
          </w:p>
        </w:tc>
      </w:tr>
      <w:tr>
        <w:tc>
          <w:tcPr>
            <w:gridSpan w:val="4"/>
            <w:tcW w:w="3404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هو گئے شہ پر فدا</w:t>
            </w:r>
          </w:p>
        </w:tc>
        <w:tc>
          <w:tcPr>
            <w:gridSpan w:val="4"/>
            <w:tcW w:w="3404" w:type="dxa"/>
          </w:tcPr>
          <w:p/>
        </w:tc>
      </w:tr>
      <w:tr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هائے كربلاء والو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هائے كربلاء والو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اهلِ بيت تھے عجب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اٗفقِ دعوت كے شٗہٗب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هو گئے قربان سب</w:t>
            </w:r>
          </w:p>
        </w:tc>
      </w:tr>
      <w:tr>
        <w:tc>
          <w:tcPr>
            <w:gridSpan w:val="4"/>
            <w:tcW w:w="3404" w:type="dxa"/>
          </w:tcPr>
          <w:p/>
        </w:tc>
        <w:tc>
          <w:tcPr>
            <w:gridSpan w:val="3"/>
            <w:tcW w:w="2553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خالي لشكر هو گيا</w:t>
            </w:r>
          </w:p>
        </w:tc>
        <w:tc>
          <w:tcPr>
            <w:gridSpan w:val="4"/>
            <w:tcW w:w="3404" w:type="dxa"/>
          </w:tcPr>
          <w:p/>
        </w:tc>
      </w:tr>
      <w:tr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هائے كربلاء والو</w:t>
            </w:r>
          </w:p>
        </w:tc>
        <w:tc>
          <w:tcPr>
            <w:gridSpan w:val="1"/>
            <w:tcW w:w="851" w:type="dxa"/>
          </w:tcPr>
          <w:p/>
        </w:tc>
        <w:tc>
          <w:tcPr>
            <w:gridSpan w:val="5"/>
            <w:tcW w:w="4255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هائے كربلاء والو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Rubaʿi — 4-misra row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c>
          <w:tcPr>
            <w:gridSpan w:val="3"/>
            <w:tcW w:w="1872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مست چلو</w:t>
            </w:r>
          </w:p>
        </w:tc>
        <w:tc>
          <w:tcPr>
            <w:gridSpan w:val="1"/>
            <w:tcW w:w="624" w:type="dxa"/>
          </w:tcPr>
          <w:p/>
        </w:tc>
        <w:tc>
          <w:tcPr>
            <w:gridSpan w:val="3"/>
            <w:tcW w:w="1872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شاد چلو</w:t>
            </w:r>
          </w:p>
        </w:tc>
        <w:tc>
          <w:tcPr>
            <w:gridSpan w:val="1"/>
            <w:tcW w:w="624" w:type="dxa"/>
          </w:tcPr>
          <w:p/>
        </w:tc>
        <w:tc>
          <w:tcPr>
            <w:gridSpan w:val="3"/>
            <w:tcW w:w="1872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آزاد چلو</w:t>
            </w:r>
          </w:p>
        </w:tc>
        <w:tc>
          <w:tcPr>
            <w:gridSpan w:val="1"/>
            <w:tcW w:w="624" w:type="dxa"/>
          </w:tcPr>
          <w:p/>
        </w:tc>
        <w:tc>
          <w:tcPr>
            <w:gridSpan w:val="3"/>
            <w:tcW w:w="1872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خوش چلو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Ghalib ghazal — stacked layout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2"/>
            <w:tcW w:w="2674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دل ناداں تجھے ہوا کیا ہے</w:t>
            </w:r>
          </w:p>
        </w:tc>
        <w:tc>
          <w:tcPr>
            <w:gridSpan w:val="2"/>
            <w:tcW w:w="2674" w:type="dxa"/>
          </w:tcPr>
          <w:p/>
        </w:tc>
      </w:tr>
      <w:tr>
        <w:tc>
          <w:tcPr>
            <w:gridSpan w:val="2"/>
            <w:tcW w:w="2674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center"/>
              <w:ind w:right="640"/>
            </w:pPr>
            <w:r>
              <w:rPr>
                <w:rtl/>
              </w:rPr>
              <w:t xml:space="preserve">آخر اس درد کی دوا کیا ہے</w:t>
            </w:r>
          </w:p>
        </w:tc>
        <w:tc>
          <w:tcPr>
            <w:gridSpan w:val="2"/>
            <w:tcW w:w="2674" w:type="dxa"/>
          </w:tcPr>
          <w:p/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2"/>
            <w:tcW w:w="2674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ہم ہیں مشتاق اور وہ بیزار</w:t>
            </w:r>
          </w:p>
        </w:tc>
        <w:tc>
          <w:tcPr>
            <w:gridSpan w:val="2"/>
            <w:tcW w:w="2674" w:type="dxa"/>
          </w:tcPr>
          <w:p/>
        </w:tc>
      </w:tr>
      <w:tr>
        <w:tc>
          <w:tcPr>
            <w:gridSpan w:val="2"/>
            <w:tcW w:w="2674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center"/>
              <w:ind w:right="640"/>
            </w:pPr>
            <w:r>
              <w:rPr>
                <w:rtl/>
              </w:rPr>
              <w:t xml:space="preserve">یا الہی یہ ماجرا کیا ہے</w:t>
            </w:r>
          </w:p>
        </w:tc>
        <w:tc>
          <w:tcPr>
            <w:gridSpan w:val="2"/>
            <w:tcW w:w="2674" w:type="dxa"/>
          </w:tcPr>
          <w:p/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2"/>
            <w:tcW w:w="2674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 xml:space="preserve">میں بھی منہ میں زبان رکھتا ہوں</w:t>
            </w:r>
          </w:p>
        </w:tc>
        <w:tc>
          <w:tcPr>
            <w:gridSpan w:val="2"/>
            <w:tcW w:w="2674" w:type="dxa"/>
          </w:tcPr>
          <w:p/>
        </w:tc>
      </w:tr>
      <w:tr>
        <w:tc>
          <w:tcPr>
            <w:gridSpan w:val="2"/>
            <w:tcW w:w="2674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center"/>
              <w:ind w:right="640"/>
            </w:pPr>
            <w:r>
              <w:rPr>
                <w:rtl/>
              </w:rPr>
              <w:t xml:space="preserve">کاش پوچھو کہ مدعا کیا ہے</w:t>
            </w:r>
          </w:p>
        </w:tc>
        <w:tc>
          <w:tcPr>
            <w:gridSpan w:val="2"/>
            <w:tcW w:w="2674" w:type="dxa"/>
          </w:tcPr>
          <w:p/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Ghalib ghazal — compact layout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دل ناداں تجھے ہوا کیا ہے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آخر اس درد کی دوا کیا ہے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ہم ہیں مشتاق اور وہ بیزار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یا الہی یہ ماجرا کیا ہے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میں بھی منہ میں زبان رکھتا ہوں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کاش پوچھو کہ مدعا کیا ہے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Iqbal — tab-stop paragraphs</w:t>
      </w:r>
    </w:p>
    <w:p>
      <w:pPr>
        <w:tabs>
          <w:tab w:val="left" w:pos="0"/>
        </w:tabs>
        <w:bidi/>
        <w:spacing w:after="0"/>
      </w:pPr>
      <w:r>
        <w:rPr>
          <w:rtl/>
        </w:rPr>
        <w:t xml:space="preserve">خودی کو کر بلند اتنا کہ ہر تقدیر سے پہلے</w:t>
      </w:r>
      <w:r>
        <w:tab/>
      </w:r>
      <w:r>
        <w:rPr>
          <w:rtl/>
        </w:rPr>
        <w:t xml:space="preserve">خدا بندے سے خود پوچھے بتا تیری رضا کیا ہے</w:t>
      </w:r>
    </w:p>
    <w:p>
      <w:pPr>
        <w:spacing w:before="200" w:after="60"/>
      </w:pPr>
      <w:r>
        <w:rPr>
          <w:b/>
          <w:i/>
          <w:sz w:val="22"/>
          <w:szCs w:val="22"/>
        </w:rPr>
        <w:t>Marsiya — tab-stop paragraphs (3-misra)</w:t>
      </w:r>
    </w:p>
    <w:p>
      <w:pPr>
        <w:tabs>
          <w:tab w:val="left" w:pos="0"/>
          <w:tab w:val="center" w:pos="4680"/>
        </w:tabs>
        <w:bidi/>
        <w:spacing w:after="0"/>
      </w:pPr>
      <w:r>
        <w:rPr>
          <w:rtl/>
        </w:rPr>
        <w:t xml:space="preserve">شاه كے اصحاب تھے</w:t>
      </w:r>
      <w:r>
        <w:tab/>
      </w:r>
      <w:r>
        <w:rPr>
          <w:rtl/>
        </w:rPr>
        <w:t xml:space="preserve">خلق ميں الباب تھے</w:t>
      </w:r>
      <w:r>
        <w:tab/>
      </w:r>
      <w:r>
        <w:rPr>
          <w:rtl/>
        </w:rPr>
        <w:t xml:space="preserve">صدق كے ارباب تھے</w:t>
      </w:r>
    </w:p>
    <w:p>
      <w:pPr>
        <w:bidi/>
        <w:spacing w:after="0"/>
        <w:jc w:val="center"/>
      </w:pPr>
      <w:r>
        <w:rPr>
          <w:rtl/>
        </w:rPr>
        <w:t xml:space="preserve">هو گئے شہ پر فدا</w:t>
      </w:r>
    </w:p>
    <w:p>
      <w:pPr>
        <w:tabs>
          <w:tab w:val="left" w:pos="0"/>
          <w:tab w:val="center" w:pos="4680"/>
        </w:tabs>
        <w:bidi/>
        <w:spacing w:after="0"/>
      </w:pPr>
      <w:r>
        <w:rPr>
          <w:rtl/>
        </w:rPr>
        <w:t xml:space="preserve">هائے كربلاء والو</w:t>
      </w:r>
      <w:r>
        <w:tab/>
      </w:r>
      <w:r>
        <w:tab/>
      </w:r>
      <w:r>
        <w:rPr>
          <w:rtl/>
        </w:rPr>
        <w:t xml:space="preserve">هائے كربلاء والو</w:t>
      </w:r>
    </w:p>
    <w:p>
      <w:pPr>
        <w:spacing w:before="200" w:after="60"/>
      </w:pPr>
      <w:r>
        <w:rPr>
          <w:b/>
          <w:i/>
          <w:sz w:val="22"/>
          <w:szCs w:val="22"/>
        </w:rPr>
        <w:t>Ghalib — kashida (tatweelCount 6)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دل نـاداں تـجـھـے ہوا کـیـا ہے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آخــر اس درد کــی دوا کـیـا ہے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ہم ہیـں مـشـتـاق اور وہ بـیـزار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یـا الـہی یـہ مـاجـرا کـیا ہے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مـیـں بـھـی مـنـہ میں زبان رکھتا ہوں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کـاش پـوچـھـو کـہ مـدعا کیا ہے</w:t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Ghalib — Nastaliq + kashida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Noto Nastaliq Urdu"/>
              </w:rPr>
              <w:t xml:space="preserve">دل نـاداں تـجـھـے ہوا کیا ہے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Noto Nastaliq Urdu"/>
              </w:rPr>
              <w:t xml:space="preserve">آخـر اس درد کـی دوا کـیـا ہے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Noto Nastaliq Urdu"/>
              </w:rPr>
              <w:t xml:space="preserve">ہم ہیـں مـشـتـاق اور وہ بیزار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Noto Nastaliq Urdu"/>
              </w:rPr>
              <w:t xml:space="preserve">یـا الـہی یـہ مـاجرا کیا ہے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  <w:rFonts w:cs="Noto Nastaliq Urdu"/>
              </w:rPr>
              <w:t xml:space="preserve">مـیـں بـھـی منہ میں زبان رکھتا ہوں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  <w:rFonts w:cs="Noto Nastaliq Urdu"/>
              </w:rPr>
              <w:t xml:space="preserve">کـاش پـوچـھـو کہ مدعا کیا ہے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1F6F68"/>
          <w:sz w:val="28"/>
          <w:szCs w:val="28"/>
        </w:rPr>
        <w:t>Multi-Script — Arabic + Farsi + Urdu (--- separator)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إذا غامَرتَ في شَرَفٍ مَرومِ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فَلا تَقنَع بما دونَ النُّجومِ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بشنو این نی چون شکایت می‌کند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از جدایی‌ها حکایت می‌کند</w:t>
            </w:r>
          </w:p>
        </w:tc>
      </w:tr>
    </w:tbl>
    <w:p/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 xml:space="preserve">دل ناداں تجھے ہوا کیا ہے</w:t>
            </w:r>
          </w:p>
        </w:tc>
        <w:tc>
          <w:tcPr>
            <w:gridSpan w:val="1"/>
            <w:tcW w:w="1337" w:type="dxa"/>
          </w:tcPr>
          <w:p/>
        </w:tc>
        <w:tc>
          <w:tcPr>
            <w:gridSpan w:val="3"/>
            <w:tcW w:w="4011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 xml:space="preserve">آخر اس درد کی دوا کیا ہے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1F6F68"/>
          <w:sz w:val="28"/>
          <w:szCs w:val="28"/>
        </w:rPr>
        <w:t>Grid &amp; Template</w:t>
      </w:r>
    </w:p>
    <w:p>
      <w:pPr>
        <w:spacing w:before="200" w:after="60"/>
      </w:pPr>
      <w:r>
        <w:rPr>
          <w:b/>
          <w:i/>
          <w:sz w:val="22"/>
          <w:szCs w:val="22"/>
        </w:rPr>
        <w:t>Blank 12-column grid (Drop Grid)</w:t>
      </w:r>
    </w:p>
    <w:p>
      <w:pPr>
        <w:spacing w:before="40" w:after="40"/>
        <w:ind w:left="360"/>
      </w:pPr>
      <w:r>
        <w:rPr>
          <w:i/>
          <w:color w:val="5F666D"/>
          <w:sz w:val="18"/>
          <w:szCs w:val="18"/>
        </w:rPr>
        <w:t>Merge cells in Word, then use Capture from Word to save as a template.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bidiVisual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  <w:tc>
          <w:tcPr>
            <w:gridSpan w:val="1"/>
            <w:tcW w:w="780" w:type="dxa"/>
            <w:vAlign w:val="bottom"/>
          </w:tcPr>
          <w:p>
            <w:pPr>
              <w:bidi/>
              <w:spacing w:after="200"/>
            </w:pP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Captured template — bayt layout (5 + 2 + 5)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gridSpan w:val="5"/>
            <w:tcW w:w="3900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/>
            </w:r>
          </w:p>
        </w:tc>
        <w:tc>
          <w:tcPr>
            <w:gridSpan w:val="2"/>
            <w:tcW w:w="1560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/>
            </w:r>
          </w:p>
        </w:tc>
        <w:tc>
          <w:tcPr>
            <w:gridSpan w:val="5"/>
            <w:tcW w:w="3900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/>
            </w:r>
          </w:p>
        </w:tc>
      </w:tr>
    </w:tbl>
    <w:p>
      <w:pPr>
        <w:spacing w:before="200" w:after="60"/>
      </w:pPr>
      <w:r>
        <w:rPr>
          <w:b/>
          <w:i/>
          <w:sz w:val="22"/>
          <w:szCs w:val="22"/>
        </w:rPr>
        <w:t>Captured template — marsiya layout (4 + 4 + 4 / 12)</w:t>
      </w: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gridSpan w:val="4"/>
            <w:tcW w:w="3120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/>
            </w:r>
          </w:p>
        </w:tc>
        <w:tc>
          <w:tcPr>
            <w:gridSpan w:val="4"/>
            <w:tcW w:w="3120" w:type="dxa"/>
            <w:vAlign w:val="bottom"/>
          </w:tcPr>
          <w:p>
            <w:pPr>
              <w:bidi/>
              <w:spacing w:after="80"/>
              <w:jc w:val="center"/>
            </w:pPr>
            <w:r>
              <w:rPr>
                <w:rtl/>
              </w:rPr>
              <w:t/>
            </w:r>
          </w:p>
        </w:tc>
        <w:tc>
          <w:tcPr>
            <w:gridSpan w:val="4"/>
            <w:tcW w:w="3120" w:type="dxa"/>
            <w:vAlign w:val="bottom"/>
          </w:tcPr>
          <w:p>
            <w:pPr>
              <w:bidi/>
              <w:spacing w:after="80"/>
              <w:jc w:val="left"/>
            </w:pPr>
            <w:r>
              <w:rPr>
                <w:rtl/>
              </w:rPr>
              <w:t/>
            </w:r>
          </w:p>
        </w:tc>
      </w:tr>
      <w:tr>
        <w:tc>
          <w:tcPr>
            <w:gridSpan w:val="12"/>
            <w:tcW w:w="9360" w:type="dxa"/>
            <w:vAlign w:val="bottom"/>
          </w:tcPr>
          <w:p>
            <w:pPr>
              <w:bidi/>
              <w:spacing w:after="80"/>
              <w:jc w:val="right"/>
            </w:pPr>
            <w:r>
              <w:rPr>
                <w:rtl/>
              </w:rPr>
              <w:t/>
            </w:r>
          </w:p>
        </w:tc>
      </w:tr>
    </w:tbl>
    <w:p>
      <w:pPr>
        <w:spacing w:after="80"/>
      </w:pPr>
    </w:p>
    <w:sectPr/>
  </w:body>
</w:document>
</file>

<file path=word/_rels/document.xml.rels><?xml version="1.0" encoding="UTF-8" standalone="yes"?><Relationships xmlns="http://schemas.openxmlformats.org/package/2006/relationships"/>
</file>