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left"/>
        <w:spacing w:after="120"/>
      </w:pPr>
      <w:r>
        <w:t xml:space="preserve">Ashaar — Adopt &amp; Convert test document</w:t>
      </w:r>
    </w:p>
    <w:p>
      <w:pPr>
        <w:jc w:val="left"/>
        <w:spacing w:after="200"/>
      </w:pPr>
      <w:r>
        <w:t xml:space="preserve">Tables below are plain Word tables (not Ashaar blocks). Click inside one and use “Adopt Existing Table”. The raw text blocks at the bottom are for “Load Selection” / paste + separator conversion.</w:t>
      </w:r>
    </w:p>
    <w:p>
      <w:pPr>
        <w:spacing w:before="200" w:after="60"/>
      </w:pPr>
      <w:r>
        <w:rPr>
          <w:b/>
          <w:color w:val="1F6F68"/>
        </w:rPr>
        <w:t xml:space="preserve">TABLE 1 — Plain couplet (2 columns). Adopt → balanced Ashaar block.</w:t>
      </w:r>
    </w:p>
    <w:tbl>
      <w:tblPr>
        <w:tblW w:w="9360" w:type="dxa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bidiVisual/>
      </w:tblPr>
      <w:tblGrid>
        <w:gridCol w:w="4680"/>
        <w:gridCol w:w="4680"/>
      </w:tblGrid>
      <w:tr>
        <w:tc>
          <w:tcPr>
            <w:gridSpan w:val="1"/>
            <w:tcW w:w="4680" w:type="dxa"/>
          </w:tcPr>
          <w:p>
            <w:pPr>
              <w:bidi/>
              <w:jc w:val="right"/>
            </w:pPr>
            <w:r>
              <w:rPr>
                <w:rtl/>
              </w:rPr>
              <w:t xml:space="preserve">دل ناداں تجھے ہوا کیا ہے</w:t>
            </w:r>
          </w:p>
        </w:tc>
        <w:tc>
          <w:tcPr>
            <w:gridSpan w:val="1"/>
            <w:tcW w:w="4680" w:type="dxa"/>
          </w:tcPr>
          <w:p>
            <w:pPr>
              <w:bidi/>
              <w:jc w:val="left"/>
            </w:pPr>
            <w:r>
              <w:rPr>
                <w:rtl/>
              </w:rPr>
              <w:t xml:space="preserve">آخر اس درد کی دوا کیا ہے</w:t>
            </w:r>
          </w:p>
        </w:tc>
      </w:tr>
      <w:tr>
        <w:tc>
          <w:tcPr>
            <w:gridSpan w:val="1"/>
            <w:tcW w:w="4680" w:type="dxa"/>
          </w:tcPr>
          <w:p>
            <w:pPr>
              <w:bidi/>
              <w:jc w:val="right"/>
            </w:pPr>
            <w:r>
              <w:rPr>
                <w:rtl/>
              </w:rPr>
              <w:t xml:space="preserve">ہم ہیں مشتاق اور وہ بیزار</w:t>
            </w:r>
          </w:p>
        </w:tc>
        <w:tc>
          <w:tcPr>
            <w:gridSpan w:val="1"/>
            <w:tcW w:w="4680" w:type="dxa"/>
          </w:tcPr>
          <w:p>
            <w:pPr>
              <w:bidi/>
              <w:jc w:val="left"/>
            </w:pPr>
            <w:r>
              <w:rPr>
                <w:rtl/>
              </w:rPr>
              <w:t xml:space="preserve">یا الٰہی یہ ماجرا کیا ہے</w:t>
            </w:r>
          </w:p>
        </w:tc>
      </w:tr>
    </w:tbl>
    <w:p/>
    <w:p>
      <w:pPr>
        <w:spacing w:before="200" w:after="60"/>
      </w:pPr>
      <w:r>
        <w:rPr>
          <w:b/>
          <w:color w:val="1F6F68"/>
        </w:rPr>
        <w:t xml:space="preserve">TABLE 2 — Mixed solos + couplet. Solo rows span the full width; couplet splits.</w:t>
      </w:r>
    </w:p>
    <w:tbl>
      <w:tblPr>
        <w:tblW w:w="9360" w:type="dxa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bidiVisual/>
      </w:tblPr>
      <w:tblGrid>
        <w:gridCol w:w="4680"/>
        <w:gridCol w:w="4680"/>
      </w:tblGrid>
      <w:tr>
        <w:tc>
          <w:tcPr>
            <w:gridSpan w:val="2"/>
            <w:tcW w:w="9360" w:type="dxa"/>
          </w:tcPr>
          <w:p>
            <w:pPr>
              <w:bidi/>
              <w:jc w:val="center"/>
            </w:pPr>
            <w:r>
              <w:rPr>
                <w:rtl/>
              </w:rPr>
              <w:t xml:space="preserve">یہ ایک تنہا مصرع ہے</w:t>
            </w:r>
          </w:p>
        </w:tc>
      </w:tr>
      <w:tr>
        <w:tc>
          <w:tcPr>
            <w:gridSpan w:val="1"/>
            <w:tcW w:w="4680" w:type="dxa"/>
          </w:tcPr>
          <w:p>
            <w:pPr>
              <w:bidi/>
              <w:jc w:val="right"/>
            </w:pPr>
            <w:r>
              <w:rPr>
                <w:rtl/>
              </w:rPr>
              <w:t xml:space="preserve">میں بھی منہ میں زبان رکھتا ہوں</w:t>
            </w:r>
          </w:p>
        </w:tc>
        <w:tc>
          <w:tcPr>
            <w:gridSpan w:val="1"/>
            <w:tcW w:w="4680" w:type="dxa"/>
          </w:tcPr>
          <w:p>
            <w:pPr>
              <w:bidi/>
              <w:jc w:val="left"/>
            </w:pPr>
            <w:r>
              <w:rPr>
                <w:rtl/>
              </w:rPr>
              <w:t xml:space="preserve">کاش پوچھو کہ مدعا کیا ہے</w:t>
            </w:r>
          </w:p>
        </w:tc>
      </w:tr>
      <w:tr>
        <w:tc>
          <w:tcPr>
            <w:gridSpan w:val="2"/>
            <w:tcW w:w="9360" w:type="dxa"/>
          </w:tcPr>
          <w:p>
            <w:pPr>
              <w:bidi/>
              <w:jc w:val="center"/>
            </w:pPr>
            <w:r>
              <w:rPr>
                <w:rtl/>
              </w:rPr>
              <w:t xml:space="preserve">اور یہ دوسرا تنہا مصرع</w:t>
            </w:r>
          </w:p>
        </w:tc>
      </w:tr>
    </w:tbl>
    <w:p/>
    <w:p>
      <w:pPr>
        <w:spacing w:before="200" w:after="60"/>
      </w:pPr>
      <w:r>
        <w:rPr>
          <w:b/>
          <w:color w:val="1F6F68"/>
        </w:rPr>
        <w:t xml:space="preserve">TABLE 3 — Three-misra row (3 columns) → multi-misra line.</w:t>
      </w:r>
    </w:p>
    <w:tbl>
      <w:tblPr>
        <w:tblW w:w="9360" w:type="dxa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bidiVisual/>
      </w:tblPr>
      <w:tblGrid>
        <w:gridCol w:w="3120"/>
        <w:gridCol w:w="3120"/>
        <w:gridCol w:w="3120"/>
      </w:tblGrid>
      <w:tr>
        <w:tc>
          <w:tcPr>
            <w:gridSpan w:val="1"/>
            <w:tcW w:w="3120" w:type="dxa"/>
          </w:tcPr>
          <w:p>
            <w:pPr>
              <w:bidi/>
              <w:jc w:val="right"/>
            </w:pPr>
            <w:r>
              <w:rPr>
                <w:rtl/>
              </w:rPr>
              <w:t xml:space="preserve">شاه كے اصحاب تھے</w:t>
            </w:r>
          </w:p>
        </w:tc>
        <w:tc>
          <w:tcPr>
            <w:gridSpan w:val="1"/>
            <w:tcW w:w="3120" w:type="dxa"/>
          </w:tcPr>
          <w:p>
            <w:pPr>
              <w:bidi/>
              <w:jc w:val="center"/>
            </w:pPr>
            <w:r>
              <w:rPr>
                <w:rtl/>
              </w:rPr>
              <w:t xml:space="preserve">خلق ميں الباب تھے</w:t>
            </w:r>
          </w:p>
        </w:tc>
        <w:tc>
          <w:tcPr>
            <w:gridSpan w:val="1"/>
            <w:tcW w:w="3120" w:type="dxa"/>
          </w:tcPr>
          <w:p>
            <w:pPr>
              <w:bidi/>
              <w:jc w:val="left"/>
            </w:pPr>
            <w:r>
              <w:rPr>
                <w:rtl/>
              </w:rPr>
              <w:t xml:space="preserve">صدق كے ارباب تھے</w:t>
            </w:r>
          </w:p>
        </w:tc>
      </w:tr>
    </w:tbl>
    <w:p/>
    <w:p>
      <w:pPr>
        <w:spacing w:before="200" w:after="60"/>
      </w:pPr>
      <w:r>
        <w:rPr>
          <w:b/>
          <w:color w:val="1F6F68"/>
        </w:rPr>
        <w:t xml:space="preserve">TABLE 4 — Already kashida-justified (has tatweels). Adopt should clean them.</w:t>
      </w:r>
    </w:p>
    <w:tbl>
      <w:tblPr>
        <w:tblW w:w="9360" w:type="dxa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bidiVisual/>
      </w:tblPr>
      <w:tblGrid>
        <w:gridCol w:w="4680"/>
        <w:gridCol w:w="4680"/>
      </w:tblGrid>
      <w:tr>
        <w:tc>
          <w:tcPr>
            <w:gridSpan w:val="1"/>
            <w:tcW w:w="4680" w:type="dxa"/>
          </w:tcPr>
          <w:p>
            <w:pPr>
              <w:bidi/>
              <w:jc w:val="right"/>
            </w:pPr>
            <w:r>
              <w:rPr>
                <w:rtl/>
              </w:rPr>
              <w:t xml:space="preserve">دل نــاداں تجھے ہــوا کیا ہے</w:t>
            </w:r>
          </w:p>
        </w:tc>
        <w:tc>
          <w:tcPr>
            <w:gridSpan w:val="1"/>
            <w:tcW w:w="4680" w:type="dxa"/>
          </w:tcPr>
          <w:p>
            <w:pPr>
              <w:bidi/>
              <w:jc w:val="left"/>
            </w:pPr>
            <w:r>
              <w:rPr>
                <w:rtl/>
              </w:rPr>
              <w:t xml:space="preserve">آخر اس درد کی دوا کیا ہے</w:t>
            </w:r>
          </w:p>
        </w:tc>
      </w:tr>
    </w:tbl>
    <w:p/>
    <w:p>
      <w:pPr>
        <w:spacing w:before="200" w:after="60"/>
      </w:pPr>
      <w:r>
        <w:rPr>
          <w:b/>
          <w:color w:val="1F6F68"/>
        </w:rPr>
        <w:t xml:space="preserve">TABLE 5 — Couplet with an empty middle gap column (3 cols). Gap must be ignored.</w:t>
      </w:r>
    </w:p>
    <w:tbl>
      <w:tblPr>
        <w:tblW w:w="13140" w:type="dxa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bidiVisual/>
      </w:tblPr>
      <w:tblGrid>
        <w:gridCol w:w="4380"/>
        <w:gridCol w:w="4380"/>
        <w:gridCol w:w="4380"/>
      </w:tblGrid>
      <w:tr>
        <w:tc>
          <w:tcPr>
            <w:gridSpan w:val="1"/>
            <w:tcW w:w="4380" w:type="dxa"/>
          </w:tcPr>
          <w:p>
            <w:pPr>
              <w:bidi/>
              <w:jc w:val="right"/>
            </w:pPr>
            <w:r>
              <w:rPr>
                <w:rtl/>
              </w:rPr>
              <w:t xml:space="preserve">خودی کو کر بلند اتنا</w:t>
            </w:r>
          </w:p>
        </w:tc>
        <w:tc>
          <w:tcPr>
            <w:gridSpan w:val="1"/>
            <w:tcW w:w="4380" w:type="dxa"/>
          </w:tcPr>
          <w:p>
            <w:pPr>
              <w:bidi/>
              <w:jc w:val="center"/>
            </w:pPr>
            <w:r>
              <w:rPr>
                <w:rtl/>
              </w:rPr>
              <w:t xml:space="preserve"/>
            </w:r>
          </w:p>
        </w:tc>
        <w:tc>
          <w:tcPr>
            <w:gridSpan w:val="1"/>
            <w:tcW w:w="4380" w:type="dxa"/>
          </w:tcPr>
          <w:p>
            <w:pPr>
              <w:bidi/>
              <w:jc w:val="left"/>
            </w:pPr>
            <w:r>
              <w:rPr>
                <w:rtl/>
              </w:rPr>
              <w:t xml:space="preserve">کہ ہر تقدیر سے پہلے</w:t>
            </w:r>
          </w:p>
        </w:tc>
      </w:tr>
    </w:tbl>
    <w:p/>
    <w:p>
      <w:pPr>
        <w:spacing w:before="200" w:after="60"/>
      </w:pPr>
      <w:r>
        <w:rPr>
          <w:b/>
          <w:color w:val="1F6F68"/>
        </w:rPr>
        <w:t xml:space="preserve">TEXT A — Dash-separated. Select these two lines → Load Selection.</w:t>
      </w:r>
    </w:p>
    <w:p>
      <w:pPr>
        <w:bidi/>
        <w:jc w:val="right"/>
      </w:pPr>
      <w:r>
        <w:rPr>
          <w:rtl/>
        </w:rPr>
        <w:t xml:space="preserve">بیا کہ قصر امل سخت سست بنیاد است - بیار بادہ کہ بنیاد عمر بر باد است</w:t>
      </w:r>
    </w:p>
    <w:p>
      <w:pPr>
        <w:bidi/>
        <w:jc w:val="right"/>
      </w:pPr>
      <w:r>
        <w:rPr>
          <w:rtl/>
        </w:rPr>
        <w:t xml:space="preserve">غلام ہمت آنم کہ زیر چرخ کبود - ز ہر چہ رنگ تعلق پذیرد آزاد است</w:t>
      </w:r>
    </w:p>
    <w:p/>
    <w:p>
      <w:pPr>
        <w:spacing w:before="200" w:after="60"/>
      </w:pPr>
      <w:r>
        <w:rPr>
          <w:b/>
          <w:color w:val="1F6F68"/>
        </w:rPr>
        <w:t xml:space="preserve">TEXT B — Tab-separated.</w:t>
      </w:r>
    </w:p>
    <w:p>
      <w:pPr>
        <w:bidi/>
      </w:pPr>
      <w:r>
        <w:rPr>
          <w:rtl/>
        </w:rPr>
        <w:t xml:space="preserve">على قدرِ أهلِ العزمِ تأتي العزائمُ</w:t>
      </w:r>
      <w:r>
        <w:tab/>
      </w:r>
      <w:r>
        <w:rPr>
          <w:rtl/>
        </w:rPr>
        <w:t xml:space="preserve">وتأتي على قدرِ الكرامِ المكارمُ</w:t>
      </w:r>
    </w:p>
    <w:p/>
    <w:p>
      <w:pPr>
        <w:spacing w:before="200" w:after="60"/>
      </w:pPr>
      <w:r>
        <w:rPr>
          <w:b/>
          <w:color w:val="1F6F68"/>
        </w:rPr>
        <w:t xml:space="preserve">TEXT C — Asterisk-separated (m1 * m2).</w:t>
      </w:r>
    </w:p>
    <w:p>
      <w:pPr>
        <w:bidi/>
        <w:jc w:val="right"/>
      </w:pPr>
      <w:r>
        <w:rPr>
          <w:rtl/>
        </w:rPr>
        <w:t xml:space="preserve">إذا غامَرتَ في شَرَفٍ مَرومِ * فَلا تَقنَع بما دونَ النُّجومِ</w:t>
      </w:r>
    </w:p>
    <w:p/>
    <w:p>
      <w:pPr>
        <w:spacing w:before="200" w:after="60"/>
      </w:pPr>
      <w:r>
        <w:rPr>
          <w:b/>
          <w:color w:val="1F6F68"/>
        </w:rPr>
        <w:t xml:space="preserve">TEXT D — Wide gap (multiple spaces between hemistichs).</w:t>
      </w:r>
    </w:p>
    <w:p>
      <w:pPr>
        <w:bidi/>
        <w:jc w:val="right"/>
      </w:pPr>
      <w:r>
        <w:rPr>
          <w:rtl/>
        </w:rPr>
        <w:t xml:space="preserve">بشنو این نی چون شکایت می‌کند     از جدایی‌ها حکایت می‌کند</w:t>
      </w:r>
    </w:p>
    <w:p/>
    <w:p>
      <w:pPr>
        <w:spacing w:before="200" w:after="60"/>
      </w:pPr>
      <w:r>
        <w:rPr>
          <w:b/>
          <w:color w:val="1F6F68"/>
        </w:rPr>
        <w:t xml:space="preserve">TEXT E — One hemistich per line (use “Pair every 2 lines”).</w:t>
      </w:r>
    </w:p>
    <w:p>
      <w:pPr>
        <w:bidi/>
        <w:jc w:val="right"/>
      </w:pPr>
      <w:r>
        <w:rPr>
          <w:rtl/>
        </w:rPr>
        <w:t xml:space="preserve">الٹی ہو گئیں سب تدبیریں کچھ نہ دوا نے کام کیا</w:t>
      </w:r>
    </w:p>
    <w:p>
      <w:pPr>
        <w:bidi/>
        <w:jc w:val="right"/>
      </w:pPr>
      <w:r>
        <w:rPr>
          <w:rtl/>
        </w:rPr>
        <w:t xml:space="preserve">دیکھا اس بیماریِ دل نے آخر کام تمام کیا</w:t>
      </w:r>
    </w:p>
    <w:p>
      <w:pPr>
        <w:bidi/>
        <w:jc w:val="right"/>
      </w:pPr>
      <w:r>
        <w:rPr>
          <w:rtl/>
        </w:rPr>
        <w:t xml:space="preserve">مت سہل ہمیں جانو پھرتا ہے فلک برسوں</w:t>
      </w:r>
    </w:p>
    <w:p>
      <w:pPr>
        <w:bidi/>
        <w:jc w:val="right"/>
      </w:pPr>
      <w:r>
        <w:rPr>
          <w:rtl/>
        </w:rPr>
        <w:t xml:space="preserve">تب خاک کے پردے سے انسان نکلتے ہیں</w:t>
      </w:r>
    </w:p>
    <w:p/>
    <w:p>
      <w:pPr>
        <w:spacing w:before="200" w:after="60"/>
      </w:pPr>
      <w:r>
        <w:rPr>
          <w:b/>
          <w:color w:val="1F6F68"/>
        </w:rPr>
        <w:t xml:space="preserve">TEXT F — Hyphenated word (must NOT be split): far-flung, well-known.</w:t>
      </w:r>
    </w:p>
    <w:p>
      <w:pPr>
        <w:bidi/>
        <w:jc w:val="right"/>
      </w:pPr>
      <w:r>
        <w:rPr>
          <w:rtl/>
        </w:rPr>
        <w:t xml:space="preserve">یہ far-flung اور well-known مصرع ہے</w:t>
      </w:r>
    </w:p>
    <w:sectPr>
      <w:pgSz w:w="12240" w:h="15840"/>
      <w:pgMar w:top="1440" w:right="1440" w:bottom="1440" w:left="1440"/>
    </w:sectPr>
  </w:body>
</w:document>
</file>

<file path=word/_rels/document.xml.rels><?xml version="1.0" encoding="UTF-8" standalone="yes"?><Relationships xmlns="http://schemas.openxmlformats.org/package/2006/relationships"></Relationships>
</file>