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 w:after="100"/>
      </w:pPr>
      <w:r>
        <w:rPr>
          <w:b/>
          <w:color w:val="1F6F68"/>
          <w:sz w:val="30"/>
          <w:szCs w:val="30"/>
        </w:rPr>
        <w:t>Nastaliq Fonts &amp; Kashida — Sample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Select a block's table, choose the matching Font + Kashida in the pane, and click Justify Selected Text. Each font uses a different kashida mechanism (see each heading). Or pick “Word justify” on any block to re-render it with native Word kashida.</w:t>
      </w:r>
    </w:p>
    <w:p>
      <w:pPr>
        <w:spacing w:before="280" w:after="100"/>
      </w:pPr>
      <w:r>
        <w:rPr>
          <w:b/>
          <w:sz w:val="24"/>
          <w:szCs w:val="24"/>
        </w:rPr>
        <w:t>Mehr Nastaliq — tatweel mechanism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Font → Mehr Nastaliq, Kashida. Expect discrete trailing tatweels at whitelisted joins.</w:t>
      </w:r>
    </w:p>
    <w:tbl>
      <w:tblPr>
        <w:tblW w:w="936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Mehr Nastaliq Web"/>
              </w:rPr>
              <w:t xml:space="preserve">دل ناداں تجھے ہوا کیا ہے</w:t>
            </w:r>
          </w:p>
        </w:tc>
        <w:tc>
          <w:tcPr>
            <w:gridSpan w:val="1"/>
            <w:tcW w:w="720" w:type="dxa"/>
          </w:tcPr>
          <w:p/>
        </w:tc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Mehr Nastaliq Web"/>
              </w:rPr>
              <w:t xml:space="preserve">آخر اس درد کی دوا کیا ہے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b/>
          <w:sz w:val="24"/>
          <w:szCs w:val="24"/>
        </w:rPr>
        <w:t>Jameel Noori Kasheeda — font-swap mechanism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Font → Jameel Noori Kasheeda, Kashida. Expect swapped fasls in the wider Kasheeda face.</w:t>
      </w:r>
    </w:p>
    <w:tbl>
      <w:tblPr>
        <w:tblW w:w="936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Jameel Noori Nastaleeq"/>
              </w:rPr>
              <w:t xml:space="preserve">دل ناداں تجھے ہوا کیا ہے</w:t>
            </w:r>
          </w:p>
        </w:tc>
        <w:tc>
          <w:tcPr>
            <w:gridSpan w:val="1"/>
            <w:tcW w:w="720" w:type="dxa"/>
          </w:tcPr>
          <w:p/>
        </w:tc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Jameel Noori Nastaleeq"/>
              </w:rPr>
              <w:t xml:space="preserve">آخر اس درد کی دوا کیا ہے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b/>
          <w:sz w:val="24"/>
          <w:szCs w:val="24"/>
        </w:rPr>
        <w:t>Gulzar — whitespace (spacing) mechanism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Font → Gulzar, Kashida. No designed tatweel, so it fills with spacing.</w:t>
      </w:r>
    </w:p>
    <w:tbl>
      <w:tblPr>
        <w:tblW w:w="936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Gulzar"/>
              </w:rPr>
              <w:t xml:space="preserve">دل ناداں تجھے ہوا کیا ہے</w:t>
            </w:r>
          </w:p>
        </w:tc>
        <w:tc>
          <w:tcPr>
            <w:gridSpan w:val="1"/>
            <w:tcW w:w="720" w:type="dxa"/>
          </w:tcPr>
          <w:p/>
        </w:tc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Gulzar"/>
              </w:rPr>
              <w:t xml:space="preserve">آخر اس درد کی دوا کیا ہے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b/>
          <w:sz w:val="24"/>
          <w:szCs w:val="24"/>
        </w:rPr>
        <w:t>Noto Nastaliq Urdu — whitespace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Font → Noto Nastaliq Urdu. Longer Iqbal couplet — good for testing no-wrap auto-widen.</w:t>
      </w:r>
    </w:p>
    <w:tbl>
      <w:tblPr>
        <w:tblW w:w="936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Noto Nastaliq Urdu"/>
              </w:rPr>
              <w:t xml:space="preserve">خودی کو کر بلند اتنا کہ ہر تقدیر سے پہلے</w:t>
            </w:r>
          </w:p>
        </w:tc>
        <w:tc>
          <w:tcPr>
            <w:gridSpan w:val="1"/>
            <w:tcW w:w="720" w:type="dxa"/>
          </w:tcPr>
          <w:p/>
        </w:tc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Noto Nastaliq Urdu"/>
              </w:rPr>
              <w:t xml:space="preserve">خدا بندے سے خود پوچھے بتا تیری رضا کیا ہے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b/>
          <w:sz w:val="24"/>
          <w:szCs w:val="24"/>
        </w:rPr>
        <w:t>Arabic serif (Scheherazade) — Ashaar.js engine kashida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Font → Arabic serif, Kashida + strength. The tatweel engine with the expressive 15–24 regime.</w:t>
      </w:r>
    </w:p>
    <w:tbl>
      <w:tblPr>
        <w:tblW w:w="936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Scheherazade New"/>
              </w:rPr>
              <w:t xml:space="preserve">دل ناداں تجھے ہوا کیا ہے</w:t>
            </w:r>
          </w:p>
        </w:tc>
        <w:tc>
          <w:tcPr>
            <w:gridSpan w:val="1"/>
            <w:tcW w:w="720" w:type="dxa"/>
          </w:tcPr>
          <w:p/>
        </w:tc>
        <w:tc>
          <w:tcPr>
            <w:gridSpan w:val="6"/>
            <w:tcW w:w="432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Scheherazade New"/>
              </w:rPr>
              <w:t xml:space="preserve">آخر اس درد کی دوا کیا ہے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b/>
          <w:sz w:val="24"/>
          <w:szCs w:val="24"/>
        </w:rPr>
        <w:t>Marsiya grid (Mehr) — 3-misra + solo + refrain</w:t>
      </w:r>
    </w:p>
    <w:p>
      <w:pPr>
        <w:ind w:left="360"/>
        <w:spacing w:after="120"/>
      </w:pPr>
      <w:r>
        <w:rPr>
          <w:i/>
          <w:color w:val="5F666D"/>
          <w:sz w:val="20"/>
          <w:szCs w:val="20"/>
        </w:rPr>
        <w:t>Multi-row band. Justify with Mehr (tatweel) or Word justify; solo/refrain sit at misra width.</w:t>
      </w:r>
    </w:p>
    <w:tbl>
      <w:tblPr>
        <w:tblW w:w="936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c>
          <w:tcPr>
            <w:gridSpan w:val="6"/>
            <w:tcW w:w="2808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Mehr Nastaliq Web"/>
              </w:rPr>
              <w:t xml:space="preserve">شاه كے اصحاب تھے</w:t>
            </w:r>
          </w:p>
        </w:tc>
        <w:tc>
          <w:tcPr>
            <w:gridSpan w:val="1"/>
            <w:tcW w:w="468" w:type="dxa"/>
          </w:tcPr>
          <w:p/>
        </w:tc>
        <w:tc>
          <w:tcPr>
            <w:gridSpan w:val="6"/>
            <w:tcW w:w="2808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  <w:rFonts w:cs="Mehr Nastaliq Web"/>
              </w:rPr>
              <w:t xml:space="preserve">خلق ميں الباب تھے</w:t>
            </w:r>
          </w:p>
        </w:tc>
        <w:tc>
          <w:tcPr>
            <w:gridSpan w:val="1"/>
            <w:tcW w:w="468" w:type="dxa"/>
          </w:tcPr>
          <w:p/>
        </w:tc>
        <w:tc>
          <w:tcPr>
            <w:gridSpan w:val="6"/>
            <w:tcW w:w="2808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Mehr Nastaliq Web"/>
              </w:rPr>
              <w:t xml:space="preserve">صدق كے ارباب تھے</w:t>
            </w:r>
          </w:p>
        </w:tc>
      </w:tr>
      <w:tr>
        <w:tc>
          <w:tcPr>
            <w:gridSpan w:val="7"/>
            <w:tcW w:w="3276" w:type="dxa"/>
          </w:tcPr>
          <w:p/>
        </w:tc>
        <w:tc>
          <w:tcPr>
            <w:gridSpan w:val="6"/>
            <w:tcW w:w="2808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  <w:rFonts w:cs="Mehr Nastaliq Web"/>
              </w:rPr>
              <w:t xml:space="preserve">هو گئے شہ پر فدا</w:t>
            </w:r>
          </w:p>
        </w:tc>
        <w:tc>
          <w:tcPr>
            <w:gridSpan w:val="7"/>
            <w:tcW w:w="3276" w:type="dxa"/>
          </w:tcPr>
          <w:p/>
        </w:tc>
      </w:tr>
      <w:tr>
        <w:tc>
          <w:tcPr>
            <w:gridSpan w:val="10"/>
            <w:tcW w:w="468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Mehr Nastaliq Web"/>
              </w:rPr>
              <w:t xml:space="preserve">هائے كربلاء والو</w:t>
            </w:r>
          </w:p>
        </w:tc>
        <w:tc>
          <w:tcPr>
            <w:gridSpan w:val="1"/>
            <w:tcW w:w="468" w:type="dxa"/>
          </w:tcPr>
          <w:p/>
        </w:tc>
        <w:tc>
          <w:tcPr>
            <w:gridSpan w:val="9"/>
            <w:tcW w:w="4212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Mehr Nastaliq Web"/>
              </w:rPr>
              <w:t xml:space="preserve">هائے كربلاء والو</w:t>
            </w:r>
          </w:p>
        </w:tc>
      </w:tr>
    </w:tbl>
    <w:p>
      <w:pPr>
        <w:spacing w:after="80"/>
      </w:pPr>
    </w:p>
    <w:sectPr/>
  </w:body>
</w:document>
</file>

<file path=word/_rels/document.xml.rels><?xml version="1.0" encoding="UTF-8" standalone="yes"?><Relationships xmlns="http://schemas.openxmlformats.org/package/2006/relationships"/>
</file>