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382" w:rsidRPr="00C13799" w:rsidRDefault="00EA410D">
      <w:pPr>
        <w:spacing w:after="240"/>
        <w:rPr>
          <w:lang w:val="fr-FR"/>
        </w:rPr>
      </w:pPr>
      <w:r w:rsidRPr="00C13799">
        <w:rPr>
          <w:rFonts w:ascii="Arial" w:hAnsi="Arial"/>
          <w:b/>
          <w:color w:val="1A365D"/>
          <w:sz w:val="40"/>
          <w:lang w:val="fr-FR"/>
        </w:rPr>
        <w:t>Rapport d'Analyse Comparative : Prédiction du Rayonnement Diffus Horizontal (DHI)</w:t>
      </w:r>
    </w:p>
    <w:p w:rsidR="008F2382" w:rsidRPr="00C13799" w:rsidRDefault="00EA410D">
      <w:pPr>
        <w:spacing w:after="240"/>
        <w:rPr>
          <w:lang w:val="fr-FR"/>
        </w:rPr>
      </w:pPr>
      <w:r w:rsidRPr="00C13799">
        <w:rPr>
          <w:rFonts w:ascii="Arial" w:hAnsi="Arial"/>
          <w:sz w:val="21"/>
          <w:lang w:val="fr-FR"/>
        </w:rPr>
        <w:t>Voici l'analyse comparative des prédictions du rayonnement diffus horizontal (DHI) pour les différents modèles et horizons de prévision (FH = 0,5 ; 1 ; 3 ; 6 ; 10 h), accompagnée des illustrations prêtes pour publication utilisant le jour de l'année (DOY) sur l'axe des abscisses.</w:t>
      </w:r>
    </w:p>
    <w:p w:rsidR="008F2382" w:rsidRPr="00C13799" w:rsidRDefault="00EA410D">
      <w:pPr>
        <w:keepNext/>
        <w:spacing w:before="360" w:after="120"/>
        <w:rPr>
          <w:lang w:val="fr-FR"/>
        </w:rPr>
      </w:pPr>
      <w:r w:rsidRPr="00C13799">
        <w:rPr>
          <w:rFonts w:ascii="Arial" w:hAnsi="Arial"/>
          <w:b/>
          <w:color w:val="1A365D"/>
          <w:sz w:val="32"/>
          <w:lang w:val="fr-FR"/>
        </w:rPr>
        <w:t xml:space="preserve">1. Synthèse des performances (Période Diurne, </w:t>
      </w:r>
      <w:proofErr w:type="spellStart"/>
      <w:r w:rsidRPr="00C13799">
        <w:rPr>
          <w:rFonts w:ascii="Arial" w:hAnsi="Arial"/>
          <w:b/>
          <w:color w:val="1A365D"/>
          <w:sz w:val="32"/>
          <w:lang w:val="fr-FR"/>
        </w:rPr>
        <w:t>y_true</w:t>
      </w:r>
      <w:proofErr w:type="spellEnd"/>
      <w:r w:rsidRPr="00C13799">
        <w:rPr>
          <w:rFonts w:ascii="Arial" w:hAnsi="Arial"/>
          <w:b/>
          <w:color w:val="1A365D"/>
          <w:sz w:val="32"/>
          <w:lang w:val="fr-FR"/>
        </w:rPr>
        <w:t xml:space="preserve"> &gt; 0)</w:t>
      </w:r>
    </w:p>
    <w:p w:rsidR="008F2382" w:rsidRPr="00C13799" w:rsidRDefault="00EA410D">
      <w:pPr>
        <w:spacing w:after="120"/>
        <w:rPr>
          <w:lang w:val="fr-FR"/>
        </w:rPr>
      </w:pPr>
      <w:r w:rsidRPr="00C13799">
        <w:rPr>
          <w:rFonts w:ascii="Arial" w:hAnsi="Arial"/>
          <w:sz w:val="21"/>
          <w:lang w:val="fr-FR"/>
        </w:rPr>
        <w:t>Les métriques ci-dessous ont été calculées sur la période diurne pour éviter le biais d'évaluation lié aux heures nocturnes (DHI = 0).</w:t>
      </w:r>
    </w:p>
    <w:tbl>
      <w:tblPr>
        <w:tblW w:w="0" w:type="auto"/>
        <w:jc w:val="center"/>
        <w:tblLayout w:type="fixed"/>
        <w:tblLook w:val="04A0" w:firstRow="1" w:lastRow="0" w:firstColumn="1" w:lastColumn="0" w:noHBand="0" w:noVBand="1"/>
      </w:tblPr>
      <w:tblGrid>
        <w:gridCol w:w="2160"/>
        <w:gridCol w:w="1152"/>
        <w:gridCol w:w="1152"/>
        <w:gridCol w:w="1152"/>
        <w:gridCol w:w="1152"/>
        <w:gridCol w:w="1152"/>
        <w:gridCol w:w="1152"/>
      </w:tblGrid>
      <w:tr w:rsidR="008F2382">
        <w:trPr>
          <w:cantSplit/>
          <w:tblHeader/>
          <w:jc w:val="center"/>
        </w:trPr>
        <w:tc>
          <w:tcPr>
            <w:tcW w:w="2160" w:type="dxa"/>
            <w:shd w:val="clear" w:color="auto" w:fill="2B6CB0"/>
            <w:tcMar>
              <w:top w:w="100" w:type="dxa"/>
              <w:left w:w="100" w:type="dxa"/>
              <w:bottom w:w="100" w:type="dxa"/>
              <w:right w:w="100" w:type="dxa"/>
            </w:tcMar>
          </w:tcPr>
          <w:p w:rsidR="008F2382" w:rsidRDefault="00EA410D">
            <w:pPr>
              <w:spacing w:before="40" w:after="40"/>
            </w:pPr>
            <w:proofErr w:type="spellStart"/>
            <w:r>
              <w:rPr>
                <w:rFonts w:ascii="Arial" w:hAnsi="Arial"/>
                <w:b/>
                <w:color w:val="FFFFFF"/>
                <w:sz w:val="19"/>
              </w:rPr>
              <w:t>Méthode</w:t>
            </w:r>
            <w:proofErr w:type="spellEnd"/>
          </w:p>
        </w:tc>
        <w:tc>
          <w:tcPr>
            <w:tcW w:w="1152" w:type="dxa"/>
            <w:shd w:val="clear" w:color="auto" w:fill="2B6CB0"/>
            <w:tcMar>
              <w:top w:w="100" w:type="dxa"/>
              <w:left w:w="100" w:type="dxa"/>
              <w:bottom w:w="100" w:type="dxa"/>
              <w:right w:w="100" w:type="dxa"/>
            </w:tcMar>
          </w:tcPr>
          <w:p w:rsidR="008F2382" w:rsidRDefault="00EA410D">
            <w:pPr>
              <w:spacing w:before="40" w:after="40"/>
              <w:jc w:val="center"/>
            </w:pPr>
            <w:r>
              <w:rPr>
                <w:rFonts w:ascii="Arial" w:hAnsi="Arial"/>
                <w:b/>
                <w:color w:val="FFFFFF"/>
                <w:sz w:val="19"/>
              </w:rPr>
              <w:t>Horizon FH (h)</w:t>
            </w:r>
          </w:p>
        </w:tc>
        <w:tc>
          <w:tcPr>
            <w:tcW w:w="1152" w:type="dxa"/>
            <w:shd w:val="clear" w:color="auto" w:fill="2B6CB0"/>
            <w:tcMar>
              <w:top w:w="100" w:type="dxa"/>
              <w:left w:w="100" w:type="dxa"/>
              <w:bottom w:w="100" w:type="dxa"/>
              <w:right w:w="100" w:type="dxa"/>
            </w:tcMar>
          </w:tcPr>
          <w:p w:rsidR="008F2382" w:rsidRDefault="00EA410D">
            <w:pPr>
              <w:spacing w:before="40" w:after="40"/>
              <w:jc w:val="center"/>
            </w:pPr>
            <w:r>
              <w:rPr>
                <w:rFonts w:ascii="Arial" w:hAnsi="Arial"/>
                <w:b/>
                <w:color w:val="FFFFFF"/>
                <w:sz w:val="19"/>
              </w:rPr>
              <w:t>RMSE (W/m²)</w:t>
            </w:r>
          </w:p>
        </w:tc>
        <w:tc>
          <w:tcPr>
            <w:tcW w:w="1152" w:type="dxa"/>
            <w:shd w:val="clear" w:color="auto" w:fill="2B6CB0"/>
            <w:tcMar>
              <w:top w:w="100" w:type="dxa"/>
              <w:left w:w="100" w:type="dxa"/>
              <w:bottom w:w="100" w:type="dxa"/>
              <w:right w:w="100" w:type="dxa"/>
            </w:tcMar>
          </w:tcPr>
          <w:p w:rsidR="008F2382" w:rsidRDefault="00EA410D">
            <w:pPr>
              <w:spacing w:before="40" w:after="40"/>
              <w:jc w:val="center"/>
            </w:pPr>
            <w:r>
              <w:rPr>
                <w:rFonts w:ascii="Arial" w:hAnsi="Arial"/>
                <w:b/>
                <w:color w:val="FFFFFF"/>
                <w:sz w:val="19"/>
              </w:rPr>
              <w:t>nRMSE (%)</w:t>
            </w:r>
          </w:p>
        </w:tc>
        <w:tc>
          <w:tcPr>
            <w:tcW w:w="1152" w:type="dxa"/>
            <w:shd w:val="clear" w:color="auto" w:fill="2B6CB0"/>
            <w:tcMar>
              <w:top w:w="100" w:type="dxa"/>
              <w:left w:w="100" w:type="dxa"/>
              <w:bottom w:w="100" w:type="dxa"/>
              <w:right w:w="100" w:type="dxa"/>
            </w:tcMar>
          </w:tcPr>
          <w:p w:rsidR="008F2382" w:rsidRDefault="00EA410D">
            <w:pPr>
              <w:spacing w:before="40" w:after="40"/>
              <w:jc w:val="center"/>
            </w:pPr>
            <w:r>
              <w:rPr>
                <w:rFonts w:ascii="Arial" w:hAnsi="Arial"/>
                <w:b/>
                <w:color w:val="FFFFFF"/>
                <w:sz w:val="19"/>
              </w:rPr>
              <w:t>MAE (W/m²)</w:t>
            </w:r>
          </w:p>
        </w:tc>
        <w:tc>
          <w:tcPr>
            <w:tcW w:w="1152" w:type="dxa"/>
            <w:shd w:val="clear" w:color="auto" w:fill="2B6CB0"/>
            <w:tcMar>
              <w:top w:w="100" w:type="dxa"/>
              <w:left w:w="100" w:type="dxa"/>
              <w:bottom w:w="100" w:type="dxa"/>
              <w:right w:w="100" w:type="dxa"/>
            </w:tcMar>
          </w:tcPr>
          <w:p w:rsidR="008F2382" w:rsidRDefault="00EA410D">
            <w:pPr>
              <w:spacing w:before="40" w:after="40"/>
              <w:jc w:val="center"/>
            </w:pPr>
            <w:r>
              <w:rPr>
                <w:rFonts w:ascii="Arial" w:hAnsi="Arial"/>
                <w:b/>
                <w:color w:val="FFFFFF"/>
                <w:sz w:val="19"/>
              </w:rPr>
              <w:t>nMAE (%)</w:t>
            </w:r>
          </w:p>
        </w:tc>
        <w:tc>
          <w:tcPr>
            <w:tcW w:w="1152" w:type="dxa"/>
            <w:shd w:val="clear" w:color="auto" w:fill="2B6CB0"/>
            <w:tcMar>
              <w:top w:w="100" w:type="dxa"/>
              <w:left w:w="100" w:type="dxa"/>
              <w:bottom w:w="100" w:type="dxa"/>
              <w:right w:w="100" w:type="dxa"/>
            </w:tcMar>
          </w:tcPr>
          <w:p w:rsidR="008F2382" w:rsidRDefault="00EA410D">
            <w:pPr>
              <w:spacing w:before="40" w:after="40"/>
              <w:jc w:val="center"/>
            </w:pPr>
            <w:r>
              <w:rPr>
                <w:rFonts w:ascii="Arial" w:hAnsi="Arial"/>
                <w:b/>
                <w:color w:val="FFFFFF"/>
                <w:sz w:val="19"/>
              </w:rPr>
              <w:t>MBE (W/m²)</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EA410D">
            <w:pPr>
              <w:spacing w:before="40" w:after="40"/>
            </w:pPr>
            <w:r>
              <w:rPr>
                <w:rFonts w:ascii="Arial" w:hAnsi="Arial"/>
                <w:b/>
                <w:sz w:val="19"/>
              </w:rPr>
              <w:t>ELM Ridge / Robust</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b/>
                <w:sz w:val="19"/>
              </w:rPr>
              <w:t>0.5</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40.06</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31.15%</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21.84</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16.98%</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+1.47</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8F2382">
            <w:pPr>
              <w:spacing w:before="40" w:after="40"/>
            </w:pP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b/>
                <w:sz w:val="19"/>
              </w:rPr>
              <w:t>1.0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52.44</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40.77%</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29.91</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23.26%</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+2.11</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8F2382">
            <w:pPr>
              <w:spacing w:before="40" w:after="40"/>
            </w:pP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b/>
                <w:sz w:val="19"/>
              </w:rPr>
              <w:t>3.0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68.26</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53.08%</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41.90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32.58%</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+2.16</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8F2382">
            <w:pPr>
              <w:spacing w:before="40" w:after="40"/>
            </w:pP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b/>
                <w:sz w:val="19"/>
              </w:rPr>
              <w:t>6.0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74.46</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57.90%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47.58</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36.99%</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+3.08</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8F2382">
            <w:pPr>
              <w:spacing w:before="40" w:after="40"/>
            </w:pP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b/>
                <w:sz w:val="19"/>
              </w:rPr>
              <w:t>10.0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75.45</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58.66%</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48.17</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37.45%</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+3.18</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EA410D">
            <w:pPr>
              <w:spacing w:before="40" w:after="40"/>
            </w:pPr>
            <w:r>
              <w:rPr>
                <w:rFonts w:ascii="Arial" w:hAnsi="Arial"/>
                <w:sz w:val="19"/>
              </w:rPr>
              <w:t>BLEND_opti</w:t>
            </w:r>
          </w:p>
        </w:tc>
        <w:tc>
          <w:tcPr>
            <w:tcW w:w="1152" w:type="dxa"/>
            <w:shd w:val="clear" w:color="auto" w:fill="FFFFFF"/>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0.5</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40.56</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31.54%</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22.42</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17.43%</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-1.11</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8F2382">
            <w:pPr>
              <w:spacing w:before="40" w:after="40"/>
            </w:pPr>
          </w:p>
        </w:tc>
        <w:tc>
          <w:tcPr>
            <w:tcW w:w="1152" w:type="dxa"/>
            <w:shd w:val="clear" w:color="auto" w:fill="F7FAFC"/>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1.0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56.19</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43.69%</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31.21</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24.27%</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-2.96</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8F2382">
            <w:pPr>
              <w:spacing w:before="40" w:after="40"/>
            </w:pPr>
          </w:p>
        </w:tc>
        <w:tc>
          <w:tcPr>
            <w:tcW w:w="1152" w:type="dxa"/>
            <w:shd w:val="clear" w:color="auto" w:fill="FFFFFF"/>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3.0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77.42</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60.20%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44.22</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34.39%</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-10.76</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8F2382">
            <w:pPr>
              <w:spacing w:before="40" w:after="40"/>
            </w:pPr>
          </w:p>
        </w:tc>
        <w:tc>
          <w:tcPr>
            <w:tcW w:w="1152" w:type="dxa"/>
            <w:shd w:val="clear" w:color="auto" w:fill="F7FAFC"/>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6.0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87.67</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68.16%</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50.27</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39.09%</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-17.86</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8F2382">
            <w:pPr>
              <w:spacing w:before="40" w:after="40"/>
            </w:pPr>
          </w:p>
        </w:tc>
        <w:tc>
          <w:tcPr>
            <w:tcW w:w="1152" w:type="dxa"/>
            <w:shd w:val="clear" w:color="auto" w:fill="FFFFFF"/>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10.0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89.94</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69.92%</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51.94</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40.38%</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-21.78</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EA410D">
            <w:pPr>
              <w:spacing w:before="40" w:after="40"/>
            </w:pPr>
            <w:r>
              <w:rPr>
                <w:rFonts w:ascii="Arial" w:hAnsi="Arial"/>
                <w:sz w:val="19"/>
              </w:rPr>
              <w:t>ELM (Standard)</w:t>
            </w:r>
          </w:p>
        </w:tc>
        <w:tc>
          <w:tcPr>
            <w:tcW w:w="1152" w:type="dxa"/>
            <w:shd w:val="clear" w:color="auto" w:fill="F7FAFC"/>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0.5</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44.27</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34.43%</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24.62</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19.14%</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+2.39</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8F2382">
            <w:pPr>
              <w:spacing w:before="40" w:after="40"/>
            </w:pPr>
          </w:p>
        </w:tc>
        <w:tc>
          <w:tcPr>
            <w:tcW w:w="1152" w:type="dxa"/>
            <w:shd w:val="clear" w:color="auto" w:fill="FFFFFF"/>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1.0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58.18</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45.24%</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32.37</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25.17%</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+2.51</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8F2382">
            <w:pPr>
              <w:spacing w:before="40" w:after="40"/>
            </w:pPr>
          </w:p>
        </w:tc>
        <w:tc>
          <w:tcPr>
            <w:tcW w:w="1152" w:type="dxa"/>
            <w:shd w:val="clear" w:color="auto" w:fill="F7FAFC"/>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3.0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74.17</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57.68%</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44.55</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34.64%</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+3.21</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8F2382">
            <w:pPr>
              <w:spacing w:before="40" w:after="40"/>
            </w:pPr>
          </w:p>
        </w:tc>
        <w:tc>
          <w:tcPr>
            <w:tcW w:w="1152" w:type="dxa"/>
            <w:shd w:val="clear" w:color="auto" w:fill="FFFFFF"/>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6.0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82.32</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64.00%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51.06</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39.70%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+8.27</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8F2382">
            <w:pPr>
              <w:spacing w:before="40" w:after="40"/>
            </w:pPr>
          </w:p>
        </w:tc>
        <w:tc>
          <w:tcPr>
            <w:tcW w:w="1152" w:type="dxa"/>
            <w:shd w:val="clear" w:color="auto" w:fill="F7FAFC"/>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10.0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81.82</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63.61%</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51.87</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40.32%</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+7.94</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EA410D">
            <w:pPr>
              <w:spacing w:before="40" w:after="40"/>
            </w:pPr>
            <w:r>
              <w:rPr>
                <w:rFonts w:ascii="Arial" w:hAnsi="Arial"/>
                <w:sz w:val="19"/>
              </w:rPr>
              <w:t>Persistence_P</w:t>
            </w:r>
          </w:p>
        </w:tc>
        <w:tc>
          <w:tcPr>
            <w:tcW w:w="1152" w:type="dxa"/>
            <w:shd w:val="clear" w:color="auto" w:fill="FFFFFF"/>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0.5</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43.57</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33.88%</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25.84</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20.09%</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-0.23</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8F2382">
            <w:pPr>
              <w:spacing w:before="40" w:after="40"/>
            </w:pPr>
          </w:p>
        </w:tc>
        <w:tc>
          <w:tcPr>
            <w:tcW w:w="1152" w:type="dxa"/>
            <w:shd w:val="clear" w:color="auto" w:fill="F7FAFC"/>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1.0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66.30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51.55%</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42.71</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33.21%</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-1.31</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8F2382">
            <w:pPr>
              <w:spacing w:before="40" w:after="40"/>
            </w:pPr>
          </w:p>
        </w:tc>
        <w:tc>
          <w:tcPr>
            <w:tcW w:w="1152" w:type="dxa"/>
            <w:shd w:val="clear" w:color="auto" w:fill="FFFFFF"/>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3.0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123.79</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96.26%</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88.35</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68.70%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-15.64</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8F2382">
            <w:pPr>
              <w:spacing w:before="40" w:after="40"/>
            </w:pPr>
          </w:p>
        </w:tc>
        <w:tc>
          <w:tcPr>
            <w:tcW w:w="1152" w:type="dxa"/>
            <w:shd w:val="clear" w:color="auto" w:fill="F7FAFC"/>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6.0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163.73</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127.30%</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121.76</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94.67%</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-57.88</w:t>
            </w:r>
          </w:p>
        </w:tc>
      </w:tr>
      <w:tr w:rsidR="008F2382">
        <w:trPr>
          <w:cantSplit/>
          <w:jc w:val="center"/>
        </w:trPr>
        <w:tc>
          <w:tcPr>
            <w:tcW w:w="2160" w:type="dxa"/>
            <w:shd w:val="clear" w:color="auto" w:fill="FFFFFF"/>
            <w:tcMar>
              <w:top w:w="100" w:type="dxa"/>
              <w:left w:w="100" w:type="dxa"/>
              <w:bottom w:w="100" w:type="dxa"/>
              <w:right w:w="100" w:type="dxa"/>
            </w:tcMar>
          </w:tcPr>
          <w:p w:rsidR="008F2382" w:rsidRDefault="008F2382">
            <w:pPr>
              <w:spacing w:before="40" w:after="40"/>
            </w:pPr>
          </w:p>
        </w:tc>
        <w:tc>
          <w:tcPr>
            <w:tcW w:w="1152" w:type="dxa"/>
            <w:shd w:val="clear" w:color="auto" w:fill="FFFFFF"/>
            <w:tcMar>
              <w:top w:w="100" w:type="dxa"/>
              <w:left w:w="100" w:type="dxa"/>
              <w:bottom w:w="100" w:type="dxa"/>
              <w:right w:w="100" w:type="dxa"/>
            </w:tcMar>
          </w:tcPr>
          <w:p w:rsidR="008F2382" w:rsidRPr="000A4721" w:rsidRDefault="00EA410D">
            <w:pPr>
              <w:spacing w:before="40" w:after="40"/>
              <w:jc w:val="center"/>
              <w:rPr>
                <w:b/>
                <w:bCs/>
              </w:rPr>
            </w:pPr>
            <w:r w:rsidRPr="000A4721">
              <w:rPr>
                <w:rFonts w:ascii="Arial" w:hAnsi="Arial"/>
                <w:b/>
                <w:bCs/>
                <w:sz w:val="19"/>
              </w:rPr>
              <w:t>10.0</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169.39</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131.69%</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131.52</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102.25%</w:t>
            </w:r>
          </w:p>
        </w:tc>
        <w:tc>
          <w:tcPr>
            <w:tcW w:w="1152" w:type="dxa"/>
            <w:shd w:val="clear" w:color="auto" w:fill="FFFFFF"/>
            <w:tcMar>
              <w:top w:w="100" w:type="dxa"/>
              <w:left w:w="100" w:type="dxa"/>
              <w:bottom w:w="100" w:type="dxa"/>
              <w:right w:w="100" w:type="dxa"/>
            </w:tcMar>
          </w:tcPr>
          <w:p w:rsidR="008F2382" w:rsidRDefault="00EA410D">
            <w:pPr>
              <w:spacing w:before="40" w:after="40"/>
              <w:jc w:val="center"/>
            </w:pPr>
            <w:r>
              <w:rPr>
                <w:rFonts w:ascii="Arial" w:hAnsi="Arial"/>
                <w:sz w:val="19"/>
              </w:rPr>
              <w:t>-113.49</w:t>
            </w:r>
          </w:p>
        </w:tc>
      </w:tr>
      <w:tr w:rsidR="008F2382">
        <w:trPr>
          <w:cantSplit/>
          <w:jc w:val="center"/>
        </w:trPr>
        <w:tc>
          <w:tcPr>
            <w:tcW w:w="2160" w:type="dxa"/>
            <w:shd w:val="clear" w:color="auto" w:fill="F7FAFC"/>
            <w:tcMar>
              <w:top w:w="100" w:type="dxa"/>
              <w:left w:w="100" w:type="dxa"/>
              <w:bottom w:w="100" w:type="dxa"/>
              <w:right w:w="100" w:type="dxa"/>
            </w:tcMar>
          </w:tcPr>
          <w:p w:rsidR="008F2382" w:rsidRDefault="00EA410D">
            <w:pPr>
              <w:spacing w:before="40" w:after="40"/>
            </w:pPr>
            <w:r>
              <w:rPr>
                <w:rFonts w:ascii="Arial" w:hAnsi="Arial"/>
                <w:sz w:val="19"/>
              </w:rPr>
              <w:t>Persistence_Pcyclic</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Tout FH</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93.59</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72.78%</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49.78</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38.71%</w:t>
            </w:r>
          </w:p>
        </w:tc>
        <w:tc>
          <w:tcPr>
            <w:tcW w:w="1152" w:type="dxa"/>
            <w:shd w:val="clear" w:color="auto" w:fill="F7FAFC"/>
            <w:tcMar>
              <w:top w:w="100" w:type="dxa"/>
              <w:left w:w="100" w:type="dxa"/>
              <w:bottom w:w="100" w:type="dxa"/>
              <w:right w:w="100" w:type="dxa"/>
            </w:tcMar>
          </w:tcPr>
          <w:p w:rsidR="008F2382" w:rsidRDefault="00EA410D">
            <w:pPr>
              <w:spacing w:before="40" w:after="40"/>
              <w:jc w:val="center"/>
            </w:pPr>
            <w:r>
              <w:rPr>
                <w:rFonts w:ascii="Arial" w:hAnsi="Arial"/>
                <w:sz w:val="19"/>
              </w:rPr>
              <w:t>-0.49</w:t>
            </w:r>
          </w:p>
        </w:tc>
      </w:tr>
    </w:tbl>
    <w:p w:rsidR="008F2382" w:rsidRDefault="00EA410D">
      <w:pPr>
        <w:keepNext/>
        <w:spacing w:before="360" w:after="120"/>
      </w:pPr>
      <w:r>
        <w:rPr>
          <w:rFonts w:ascii="Arial" w:hAnsi="Arial"/>
          <w:b/>
          <w:color w:val="1A365D"/>
          <w:sz w:val="32"/>
        </w:rPr>
        <w:t>2. Graphiques générés pour publication</w:t>
      </w:r>
    </w:p>
    <w:p w:rsidR="008F2382" w:rsidRPr="00C13799" w:rsidRDefault="00EA410D">
      <w:pPr>
        <w:keepNext/>
        <w:spacing w:before="280" w:after="80"/>
        <w:rPr>
          <w:lang w:val="fr-FR"/>
        </w:rPr>
      </w:pPr>
      <w:r w:rsidRPr="00C13799">
        <w:rPr>
          <w:rFonts w:ascii="Arial" w:hAnsi="Arial"/>
          <w:b/>
          <w:color w:val="2B6CB0"/>
          <w:sz w:val="26"/>
          <w:lang w:val="fr-FR"/>
        </w:rPr>
        <w:t>Figure 1 : Métriques d'erreur en fonction de l'horizon de prévision (FH)</w:t>
      </w:r>
    </w:p>
    <w:p w:rsidR="008F2382" w:rsidRDefault="00EA410D">
      <w:pPr>
        <w:spacing w:after="120"/>
        <w:rPr>
          <w:rFonts w:ascii="Arial" w:hAnsi="Arial"/>
          <w:sz w:val="21"/>
          <w:lang w:val="fr-FR"/>
        </w:rPr>
      </w:pPr>
      <w:r w:rsidRPr="00C13799">
        <w:rPr>
          <w:rFonts w:ascii="Arial" w:hAnsi="Arial"/>
          <w:sz w:val="21"/>
          <w:lang w:val="fr-FR"/>
        </w:rPr>
        <w:t xml:space="preserve">Cette figure compare l'évolution de la </w:t>
      </w:r>
      <w:proofErr w:type="spellStart"/>
      <w:r w:rsidRPr="00C13799">
        <w:rPr>
          <w:rFonts w:ascii="Arial" w:hAnsi="Arial"/>
          <w:sz w:val="21"/>
          <w:lang w:val="fr-FR"/>
        </w:rPr>
        <w:t>nRMSE</w:t>
      </w:r>
      <w:proofErr w:type="spellEnd"/>
      <w:r w:rsidRPr="00C13799">
        <w:rPr>
          <w:rFonts w:ascii="Arial" w:hAnsi="Arial"/>
          <w:sz w:val="21"/>
          <w:lang w:val="fr-FR"/>
        </w:rPr>
        <w:t xml:space="preserve"> et de la </w:t>
      </w:r>
      <w:proofErr w:type="spellStart"/>
      <w:r w:rsidRPr="00C13799">
        <w:rPr>
          <w:rFonts w:ascii="Arial" w:hAnsi="Arial"/>
          <w:sz w:val="21"/>
          <w:lang w:val="fr-FR"/>
        </w:rPr>
        <w:t>nMAE</w:t>
      </w:r>
      <w:proofErr w:type="spellEnd"/>
      <w:r w:rsidRPr="00C13799">
        <w:rPr>
          <w:rFonts w:ascii="Arial" w:hAnsi="Arial"/>
          <w:sz w:val="21"/>
          <w:lang w:val="fr-FR"/>
        </w:rPr>
        <w:t xml:space="preserve"> de chaque modèle lorsque l'horizon de prévision augmente de 0,5 h à 10 h. ELM </w:t>
      </w:r>
      <w:proofErr w:type="spellStart"/>
      <w:r w:rsidRPr="00C13799">
        <w:rPr>
          <w:rFonts w:ascii="Arial" w:hAnsi="Arial"/>
          <w:sz w:val="21"/>
          <w:lang w:val="fr-FR"/>
        </w:rPr>
        <w:t>Ridge</w:t>
      </w:r>
      <w:proofErr w:type="spellEnd"/>
      <w:r w:rsidRPr="00C13799">
        <w:rPr>
          <w:rFonts w:ascii="Arial" w:hAnsi="Arial"/>
          <w:sz w:val="21"/>
          <w:lang w:val="fr-FR"/>
        </w:rPr>
        <w:t xml:space="preserve"> / </w:t>
      </w:r>
      <w:proofErr w:type="spellStart"/>
      <w:r w:rsidRPr="00C13799">
        <w:rPr>
          <w:rFonts w:ascii="Arial" w:hAnsi="Arial"/>
          <w:sz w:val="21"/>
          <w:lang w:val="fr-FR"/>
        </w:rPr>
        <w:t>Robust</w:t>
      </w:r>
      <w:proofErr w:type="spellEnd"/>
      <w:r w:rsidRPr="00C13799">
        <w:rPr>
          <w:rFonts w:ascii="Arial" w:hAnsi="Arial"/>
          <w:sz w:val="21"/>
          <w:lang w:val="fr-FR"/>
        </w:rPr>
        <w:t xml:space="preserve"> maintient la meilleure précision globale sur tous les horizons.</w:t>
      </w:r>
    </w:p>
    <w:p w:rsidR="001B14D4" w:rsidRDefault="001B14D4">
      <w:pPr>
        <w:spacing w:after="120"/>
        <w:rPr>
          <w:rFonts w:ascii="Arial" w:hAnsi="Arial"/>
          <w:sz w:val="21"/>
          <w:lang w:val="fr-FR"/>
        </w:rPr>
      </w:pPr>
    </w:p>
    <w:p w:rsidR="00EA410D" w:rsidRDefault="00EC152E">
      <w:pPr>
        <w:spacing w:after="120"/>
        <w:rPr>
          <w:lang w:val="fr-FR"/>
        </w:rPr>
      </w:pPr>
      <w:r>
        <w:rPr>
          <w:noProof/>
          <w:lang w:val="fr-FR" w:eastAsia="fr-FR"/>
        </w:rPr>
        <w:lastRenderedPageBreak/>
        <w:drawing>
          <wp:inline distT="0" distB="0" distL="0" distR="0">
            <wp:extent cx="6622040" cy="4495800"/>
            <wp:effectExtent l="0" t="0" r="7620" b="0"/>
            <wp:docPr id="38" name="Image 38" descr="C:\Users\ADMIN\AppData\Local\Microsoft\Windows\INetCache\Content.Word\pred_vs_truth_Printemps_2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AppData\Local\Microsoft\Windows\INetCache\Content.Word\pred_vs_truth_Printemps_2x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5378" cy="4504855"/>
                    </a:xfrm>
                    <a:prstGeom prst="rect">
                      <a:avLst/>
                    </a:prstGeom>
                    <a:noFill/>
                    <a:ln>
                      <a:noFill/>
                    </a:ln>
                  </pic:spPr>
                </pic:pic>
              </a:graphicData>
            </a:graphic>
          </wp:inline>
        </w:drawing>
      </w:r>
      <w:r>
        <w:rPr>
          <w:noProof/>
          <w:lang w:val="fr-FR" w:eastAsia="fr-FR"/>
        </w:rPr>
        <w:lastRenderedPageBreak/>
        <w:drawing>
          <wp:inline distT="0" distB="0" distL="0" distR="0">
            <wp:extent cx="6723054" cy="4564380"/>
            <wp:effectExtent l="0" t="0" r="1905" b="7620"/>
            <wp:docPr id="37" name="Image 37" descr="C:\Users\ADMIN\AppData\Local\Microsoft\Windows\INetCache\Content.Word\pred_vs_truth_Persistence_Pcyclic_Printe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AppData\Local\Microsoft\Windows\INetCache\Content.Word\pred_vs_truth_Persistence_Pcyclic_Printemp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39668" cy="4575659"/>
                    </a:xfrm>
                    <a:prstGeom prst="rect">
                      <a:avLst/>
                    </a:prstGeom>
                    <a:noFill/>
                    <a:ln>
                      <a:noFill/>
                    </a:ln>
                  </pic:spPr>
                </pic:pic>
              </a:graphicData>
            </a:graphic>
          </wp:inline>
        </w:drawing>
      </w:r>
      <w:r>
        <w:rPr>
          <w:noProof/>
          <w:lang w:val="fr-FR" w:eastAsia="fr-FR"/>
        </w:rPr>
        <w:lastRenderedPageBreak/>
        <w:drawing>
          <wp:inline distT="0" distB="0" distL="0" distR="0">
            <wp:extent cx="6723380" cy="4564601"/>
            <wp:effectExtent l="0" t="0" r="1270" b="7620"/>
            <wp:docPr id="36" name="Image 36" descr="C:\Users\ADMIN\AppData\Local\Microsoft\Windows\INetCache\Content.Word\pred_vs_truth_Persistence_Pcyclic_H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AppData\Local\Microsoft\Windows\INetCache\Content.Word\pred_vs_truth_Persistence_Pcyclic_Hive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1554" cy="4583729"/>
                    </a:xfrm>
                    <a:prstGeom prst="rect">
                      <a:avLst/>
                    </a:prstGeom>
                    <a:noFill/>
                    <a:ln>
                      <a:noFill/>
                    </a:ln>
                  </pic:spPr>
                </pic:pic>
              </a:graphicData>
            </a:graphic>
          </wp:inline>
        </w:drawing>
      </w:r>
      <w:r>
        <w:rPr>
          <w:noProof/>
          <w:lang w:val="fr-FR" w:eastAsia="fr-FR"/>
        </w:rPr>
        <w:lastRenderedPageBreak/>
        <w:drawing>
          <wp:inline distT="0" distB="0" distL="0" distR="0">
            <wp:extent cx="6675120" cy="4531837"/>
            <wp:effectExtent l="0" t="0" r="0" b="2540"/>
            <wp:docPr id="35" name="Image 35" descr="C:\Users\ADMIN\AppData\Local\Microsoft\Windows\INetCache\Content.Word\pred_vs_truth_Persistence_Pcyclic_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AppData\Local\Microsoft\Windows\INetCache\Content.Word\pred_vs_truth_Persistence_Pcyclic_Et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0257" cy="4542114"/>
                    </a:xfrm>
                    <a:prstGeom prst="rect">
                      <a:avLst/>
                    </a:prstGeom>
                    <a:noFill/>
                    <a:ln>
                      <a:noFill/>
                    </a:ln>
                  </pic:spPr>
                </pic:pic>
              </a:graphicData>
            </a:graphic>
          </wp:inline>
        </w:drawing>
      </w:r>
      <w:r>
        <w:rPr>
          <w:noProof/>
          <w:lang w:val="fr-FR" w:eastAsia="fr-FR"/>
        </w:rPr>
        <w:lastRenderedPageBreak/>
        <w:drawing>
          <wp:inline distT="0" distB="0" distL="0" distR="0">
            <wp:extent cx="6629523" cy="4500880"/>
            <wp:effectExtent l="0" t="0" r="0" b="0"/>
            <wp:docPr id="34" name="Image 34" descr="C:\Users\ADMIN\AppData\Local\Microsoft\Windows\INetCache\Content.Word\pred_vs_truth_Persistence_Pcyclic_Autom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AppData\Local\Microsoft\Windows\INetCache\Content.Word\pred_vs_truth_Persistence_Pcyclic_Automn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2542" cy="4516508"/>
                    </a:xfrm>
                    <a:prstGeom prst="rect">
                      <a:avLst/>
                    </a:prstGeom>
                    <a:noFill/>
                    <a:ln>
                      <a:noFill/>
                    </a:ln>
                  </pic:spPr>
                </pic:pic>
              </a:graphicData>
            </a:graphic>
          </wp:inline>
        </w:drawing>
      </w:r>
      <w:r>
        <w:rPr>
          <w:noProof/>
          <w:lang w:val="fr-FR" w:eastAsia="fr-FR"/>
        </w:rPr>
        <w:lastRenderedPageBreak/>
        <w:drawing>
          <wp:inline distT="0" distB="0" distL="0" distR="0">
            <wp:extent cx="6677588" cy="4533512"/>
            <wp:effectExtent l="0" t="0" r="9525" b="635"/>
            <wp:docPr id="33" name="Image 33" descr="C:\Users\ADMIN\AppData\Local\Microsoft\Windows\INetCache\Content.Word\pred_vs_truth_Persistence_P_Printe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Microsoft\Windows\INetCache\Content.Word\pred_vs_truth_Persistence_P_Printemp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10072" cy="4555566"/>
                    </a:xfrm>
                    <a:prstGeom prst="rect">
                      <a:avLst/>
                    </a:prstGeom>
                    <a:noFill/>
                    <a:ln>
                      <a:noFill/>
                    </a:ln>
                  </pic:spPr>
                </pic:pic>
              </a:graphicData>
            </a:graphic>
          </wp:inline>
        </w:drawing>
      </w:r>
      <w:r>
        <w:rPr>
          <w:noProof/>
          <w:lang w:val="fr-FR" w:eastAsia="fr-FR"/>
        </w:rPr>
        <w:lastRenderedPageBreak/>
        <w:drawing>
          <wp:inline distT="0" distB="0" distL="0" distR="0">
            <wp:extent cx="6682040" cy="4536535"/>
            <wp:effectExtent l="0" t="0" r="5080" b="0"/>
            <wp:docPr id="32" name="Image 32" descr="C:\Users\ADMIN\AppData\Local\Microsoft\Windows\INetCache\Content.Word\pred_vs_truth_Persistence_P_H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Microsoft\Windows\INetCache\Content.Word\pred_vs_truth_Persistence_P_Hive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4403" cy="4551718"/>
                    </a:xfrm>
                    <a:prstGeom prst="rect">
                      <a:avLst/>
                    </a:prstGeom>
                    <a:noFill/>
                    <a:ln>
                      <a:noFill/>
                    </a:ln>
                  </pic:spPr>
                </pic:pic>
              </a:graphicData>
            </a:graphic>
          </wp:inline>
        </w:drawing>
      </w:r>
      <w:r>
        <w:rPr>
          <w:noProof/>
          <w:lang w:val="fr-FR" w:eastAsia="fr-FR"/>
        </w:rPr>
        <w:lastRenderedPageBreak/>
        <w:drawing>
          <wp:inline distT="0" distB="0" distL="0" distR="0">
            <wp:extent cx="6599592" cy="4480560"/>
            <wp:effectExtent l="0" t="0" r="0" b="0"/>
            <wp:docPr id="31" name="Image 31" descr="C:\Users\ADMIN\AppData\Local\Microsoft\Windows\INetCache\Content.Word\pred_vs_truth_Persistence_P_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Microsoft\Windows\INetCache\Content.Word\pred_vs_truth_Persistence_P_Et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2406" cy="4496049"/>
                    </a:xfrm>
                    <a:prstGeom prst="rect">
                      <a:avLst/>
                    </a:prstGeom>
                    <a:noFill/>
                    <a:ln>
                      <a:noFill/>
                    </a:ln>
                  </pic:spPr>
                </pic:pic>
              </a:graphicData>
            </a:graphic>
          </wp:inline>
        </w:drawing>
      </w:r>
      <w:r>
        <w:rPr>
          <w:noProof/>
          <w:lang w:val="fr-FR" w:eastAsia="fr-FR"/>
        </w:rPr>
        <w:lastRenderedPageBreak/>
        <w:drawing>
          <wp:inline distT="0" distB="0" distL="0" distR="0">
            <wp:extent cx="6423660" cy="4361117"/>
            <wp:effectExtent l="0" t="0" r="0" b="1905"/>
            <wp:docPr id="30" name="Image 30" descr="C:\Users\ADMIN\AppData\Local\Microsoft\Windows\INetCache\Content.Word\pred_vs_truth_Persistence_P_Autom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AppData\Local\Microsoft\Windows\INetCache\Content.Word\pred_vs_truth_Persistence_P_Automn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9649" cy="4385550"/>
                    </a:xfrm>
                    <a:prstGeom prst="rect">
                      <a:avLst/>
                    </a:prstGeom>
                    <a:noFill/>
                    <a:ln>
                      <a:noFill/>
                    </a:ln>
                  </pic:spPr>
                </pic:pic>
              </a:graphicData>
            </a:graphic>
          </wp:inline>
        </w:drawing>
      </w:r>
      <w:r>
        <w:rPr>
          <w:noProof/>
          <w:lang w:val="fr-FR" w:eastAsia="fr-FR"/>
        </w:rPr>
        <w:lastRenderedPageBreak/>
        <w:drawing>
          <wp:inline distT="0" distB="0" distL="0" distR="0">
            <wp:extent cx="6553200" cy="4449063"/>
            <wp:effectExtent l="0" t="0" r="0" b="8890"/>
            <wp:docPr id="29" name="Image 29" descr="C:\Users\ADMIN\AppData\Local\Microsoft\Windows\INetCache\Content.Word\pred_vs_truth_Hiver_2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Word\pred_vs_truth_Hiver_2x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0402" cy="4460742"/>
                    </a:xfrm>
                    <a:prstGeom prst="rect">
                      <a:avLst/>
                    </a:prstGeom>
                    <a:noFill/>
                    <a:ln>
                      <a:noFill/>
                    </a:ln>
                  </pic:spPr>
                </pic:pic>
              </a:graphicData>
            </a:graphic>
          </wp:inline>
        </w:drawing>
      </w:r>
    </w:p>
    <w:p w:rsidR="00EA410D" w:rsidRDefault="00EA410D">
      <w:pPr>
        <w:spacing w:after="120"/>
        <w:rPr>
          <w:lang w:val="fr-FR"/>
        </w:rPr>
      </w:pPr>
    </w:p>
    <w:p w:rsidR="00EA410D" w:rsidRDefault="00EC152E">
      <w:pPr>
        <w:spacing w:after="120"/>
        <w:rPr>
          <w:lang w:val="fr-FR"/>
        </w:rPr>
      </w:pPr>
      <w:r>
        <w:rPr>
          <w:noProof/>
          <w:lang w:val="fr-FR" w:eastAsia="fr-FR"/>
        </w:rPr>
        <w:lastRenderedPageBreak/>
        <w:drawing>
          <wp:inline distT="0" distB="0" distL="0" distR="0">
            <wp:extent cx="6714490" cy="4558566"/>
            <wp:effectExtent l="0" t="0" r="0" b="0"/>
            <wp:docPr id="28" name="Image 28" descr="C:\Users\ADMIN\AppData\Local\Microsoft\Windows\INetCache\Content.Word\pred_vs_truth_Ete_2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Word\pred_vs_truth_Ete_2x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45480" cy="4579605"/>
                    </a:xfrm>
                    <a:prstGeom prst="rect">
                      <a:avLst/>
                    </a:prstGeom>
                    <a:noFill/>
                    <a:ln>
                      <a:noFill/>
                    </a:ln>
                  </pic:spPr>
                </pic:pic>
              </a:graphicData>
            </a:graphic>
          </wp:inline>
        </w:drawing>
      </w:r>
    </w:p>
    <w:p w:rsidR="00EA410D" w:rsidRDefault="00EA410D">
      <w:pPr>
        <w:spacing w:after="120"/>
        <w:rPr>
          <w:lang w:val="fr-FR"/>
        </w:rPr>
      </w:pPr>
    </w:p>
    <w:p w:rsidR="001B14D4" w:rsidRDefault="00EA410D">
      <w:pPr>
        <w:spacing w:after="120"/>
        <w:rPr>
          <w:lang w:val="fr-FR"/>
        </w:rPr>
      </w:pPr>
      <w:r>
        <w:rPr>
          <w:noProof/>
          <w:lang w:val="fr-FR" w:eastAsia="fr-FR"/>
        </w:rPr>
        <w:lastRenderedPageBreak/>
        <w:drawing>
          <wp:inline distT="0" distB="0" distL="0" distR="0" wp14:anchorId="747F5B76" wp14:editId="54E4BD2B">
            <wp:extent cx="5943600" cy="4034155"/>
            <wp:effectExtent l="0" t="0" r="0" b="4445"/>
            <wp:docPr id="19" name="Image 19" descr="C:\Users\ADMIN\AppData\Local\Microsoft\Windows\INetCache\Content.Word\pred_vs_truth_Automne_2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pred_vs_truth_Automne_2x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34155"/>
                    </a:xfrm>
                    <a:prstGeom prst="rect">
                      <a:avLst/>
                    </a:prstGeom>
                    <a:noFill/>
                    <a:ln>
                      <a:noFill/>
                    </a:ln>
                  </pic:spPr>
                </pic:pic>
              </a:graphicData>
            </a:graphic>
          </wp:inline>
        </w:drawing>
      </w:r>
      <w:r w:rsidR="00EC152E">
        <w:rPr>
          <w:noProof/>
          <w:lang w:val="fr-FR" w:eastAsia="fr-FR"/>
        </w:rPr>
        <w:lastRenderedPageBreak/>
        <w:drawing>
          <wp:inline distT="0" distB="0" distL="0" distR="0">
            <wp:extent cx="6454140" cy="4381810"/>
            <wp:effectExtent l="0" t="0" r="3810" b="0"/>
            <wp:docPr id="27" name="Image 27" descr="C:\Users\ADMIN\AppData\Local\Microsoft\Windows\INetCache\Content.Word\pred_vs_truth_ELM_Printe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Word\pred_vs_truth_ELM_Printemp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1322" cy="4393475"/>
                    </a:xfrm>
                    <a:prstGeom prst="rect">
                      <a:avLst/>
                    </a:prstGeom>
                    <a:noFill/>
                    <a:ln>
                      <a:noFill/>
                    </a:ln>
                  </pic:spPr>
                </pic:pic>
              </a:graphicData>
            </a:graphic>
          </wp:inline>
        </w:drawing>
      </w:r>
      <w:r w:rsidR="00EC152E">
        <w:rPr>
          <w:noProof/>
          <w:lang w:val="fr-FR" w:eastAsia="fr-FR"/>
        </w:rPr>
        <w:lastRenderedPageBreak/>
        <w:drawing>
          <wp:inline distT="0" distB="0" distL="0" distR="0">
            <wp:extent cx="6652260" cy="4516317"/>
            <wp:effectExtent l="0" t="0" r="0" b="0"/>
            <wp:docPr id="26" name="Image 26" descr="C:\Users\ADMIN\AppData\Local\Microsoft\Windows\INetCache\Content.Word\pred_vs_truth_ELM_H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AppData\Local\Microsoft\Windows\INetCache\Content.Word\pred_vs_truth_ELM_Hive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900" cy="4526935"/>
                    </a:xfrm>
                    <a:prstGeom prst="rect">
                      <a:avLst/>
                    </a:prstGeom>
                    <a:noFill/>
                    <a:ln>
                      <a:noFill/>
                    </a:ln>
                  </pic:spPr>
                </pic:pic>
              </a:graphicData>
            </a:graphic>
          </wp:inline>
        </w:drawing>
      </w:r>
      <w:r w:rsidR="00EC152E">
        <w:rPr>
          <w:noProof/>
          <w:lang w:val="fr-FR" w:eastAsia="fr-FR"/>
        </w:rPr>
        <w:lastRenderedPageBreak/>
        <w:drawing>
          <wp:inline distT="0" distB="0" distL="0" distR="0">
            <wp:extent cx="6621780" cy="4495623"/>
            <wp:effectExtent l="0" t="0" r="7620" b="635"/>
            <wp:docPr id="25" name="Image 25" descr="C:\Users\ADMIN\AppData\Local\Microsoft\Windows\INetCache\Content.Word\pred_vs_truth_ELM_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Word\pred_vs_truth_ELM_Et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3482" cy="4510357"/>
                    </a:xfrm>
                    <a:prstGeom prst="rect">
                      <a:avLst/>
                    </a:prstGeom>
                    <a:noFill/>
                    <a:ln>
                      <a:noFill/>
                    </a:ln>
                  </pic:spPr>
                </pic:pic>
              </a:graphicData>
            </a:graphic>
          </wp:inline>
        </w:drawing>
      </w:r>
      <w:r w:rsidR="00EC152E">
        <w:rPr>
          <w:noProof/>
          <w:lang w:val="fr-FR" w:eastAsia="fr-FR"/>
        </w:rPr>
        <w:lastRenderedPageBreak/>
        <w:drawing>
          <wp:inline distT="0" distB="0" distL="0" distR="0">
            <wp:extent cx="6568440" cy="4459410"/>
            <wp:effectExtent l="0" t="0" r="3810" b="0"/>
            <wp:docPr id="24" name="Image 24" descr="C:\Users\ADMIN\AppData\Local\Microsoft\Windows\INetCache\Content.Word\pred_vs_truth_ELM_Autom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pred_vs_truth_ELM_Automn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87350" cy="4472248"/>
                    </a:xfrm>
                    <a:prstGeom prst="rect">
                      <a:avLst/>
                    </a:prstGeom>
                    <a:noFill/>
                    <a:ln>
                      <a:noFill/>
                    </a:ln>
                  </pic:spPr>
                </pic:pic>
              </a:graphicData>
            </a:graphic>
          </wp:inline>
        </w:drawing>
      </w:r>
      <w:r w:rsidR="00EC152E">
        <w:rPr>
          <w:noProof/>
          <w:lang w:val="fr-FR" w:eastAsia="fr-FR"/>
        </w:rPr>
        <w:lastRenderedPageBreak/>
        <w:drawing>
          <wp:inline distT="0" distB="0" distL="0" distR="0">
            <wp:extent cx="6515100" cy="4423197"/>
            <wp:effectExtent l="0" t="0" r="0" b="0"/>
            <wp:docPr id="23" name="Image 23" descr="C:\Users\ADMIN\AppData\Local\Microsoft\Windows\INetCache\Content.Word\pred_vs_truth_BLEND_opti_Printe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Word\pred_vs_truth_BLEND_opti_Printemp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31305" cy="4434199"/>
                    </a:xfrm>
                    <a:prstGeom prst="rect">
                      <a:avLst/>
                    </a:prstGeom>
                    <a:noFill/>
                    <a:ln>
                      <a:noFill/>
                    </a:ln>
                  </pic:spPr>
                </pic:pic>
              </a:graphicData>
            </a:graphic>
          </wp:inline>
        </w:drawing>
      </w:r>
      <w:r w:rsidR="00EC152E">
        <w:rPr>
          <w:noProof/>
          <w:lang w:val="fr-FR" w:eastAsia="fr-FR"/>
        </w:rPr>
        <w:lastRenderedPageBreak/>
        <w:drawing>
          <wp:inline distT="0" distB="0" distL="0" distR="0">
            <wp:extent cx="6507480" cy="4418023"/>
            <wp:effectExtent l="0" t="0" r="7620" b="1905"/>
            <wp:docPr id="22" name="Image 22" descr="C:\Users\ADMIN\AppData\Local\Microsoft\Windows\INetCache\Content.Word\pred_vs_truth_BLEND_opti_H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pred_vs_truth_BLEND_opti_Hiver.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22540" cy="4428248"/>
                    </a:xfrm>
                    <a:prstGeom prst="rect">
                      <a:avLst/>
                    </a:prstGeom>
                    <a:noFill/>
                    <a:ln>
                      <a:noFill/>
                    </a:ln>
                  </pic:spPr>
                </pic:pic>
              </a:graphicData>
            </a:graphic>
          </wp:inline>
        </w:drawing>
      </w:r>
      <w:r w:rsidR="00EC152E">
        <w:rPr>
          <w:noProof/>
          <w:lang w:val="fr-FR" w:eastAsia="fr-FR"/>
        </w:rPr>
        <w:lastRenderedPageBreak/>
        <w:drawing>
          <wp:inline distT="0" distB="0" distL="0" distR="0">
            <wp:extent cx="6454140" cy="4381810"/>
            <wp:effectExtent l="0" t="0" r="3810" b="0"/>
            <wp:docPr id="21" name="Image 21" descr="C:\Users\ADMIN\AppData\Local\Microsoft\Windows\INetCache\Content.Word\pred_vs_truth_BLEND_opti_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pred_vs_truth_BLEND_opti_Et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76708" cy="4397132"/>
                    </a:xfrm>
                    <a:prstGeom prst="rect">
                      <a:avLst/>
                    </a:prstGeom>
                    <a:noFill/>
                    <a:ln>
                      <a:noFill/>
                    </a:ln>
                  </pic:spPr>
                </pic:pic>
              </a:graphicData>
            </a:graphic>
          </wp:inline>
        </w:drawing>
      </w:r>
      <w:r w:rsidR="00EC152E">
        <w:rPr>
          <w:noProof/>
          <w:lang w:val="fr-FR" w:eastAsia="fr-FR"/>
        </w:rPr>
        <w:lastRenderedPageBreak/>
        <w:drawing>
          <wp:inline distT="0" distB="0" distL="0" distR="0">
            <wp:extent cx="6324600" cy="4293864"/>
            <wp:effectExtent l="0" t="0" r="0" b="0"/>
            <wp:docPr id="20" name="Image 20" descr="C:\Users\ADMIN\AppData\Local\Microsoft\Windows\INetCache\Content.Word\pred_vs_truth_BLEND_opti_Autom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pred_vs_truth_BLEND_opti_Automn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43297" cy="4306558"/>
                    </a:xfrm>
                    <a:prstGeom prst="rect">
                      <a:avLst/>
                    </a:prstGeom>
                    <a:noFill/>
                    <a:ln>
                      <a:noFill/>
                    </a:ln>
                  </pic:spPr>
                </pic:pic>
              </a:graphicData>
            </a:graphic>
          </wp:inline>
        </w:drawing>
      </w:r>
    </w:p>
    <w:p w:rsidR="00BF7ECA" w:rsidRDefault="00BF7ECA">
      <w:pPr>
        <w:spacing w:after="120"/>
        <w:rPr>
          <w:lang w:val="fr-FR"/>
        </w:rPr>
      </w:pPr>
    </w:p>
    <w:p w:rsidR="001B14D4" w:rsidRDefault="001B14D4">
      <w:pPr>
        <w:spacing w:after="120"/>
        <w:rPr>
          <w:lang w:val="fr-FR"/>
        </w:rPr>
      </w:pPr>
    </w:p>
    <w:p w:rsidR="001B14D4" w:rsidRDefault="001B14D4">
      <w:pPr>
        <w:spacing w:after="120"/>
        <w:rPr>
          <w:lang w:val="fr-FR"/>
        </w:rPr>
      </w:pPr>
    </w:p>
    <w:p w:rsidR="001B14D4" w:rsidRDefault="001B14D4">
      <w:pPr>
        <w:spacing w:after="120"/>
        <w:rPr>
          <w:lang w:val="fr-FR"/>
        </w:rPr>
      </w:pPr>
    </w:p>
    <w:p w:rsidR="001B14D4" w:rsidRDefault="001B14D4">
      <w:pPr>
        <w:spacing w:after="120"/>
        <w:rPr>
          <w:lang w:val="fr-FR"/>
        </w:rPr>
      </w:pPr>
    </w:p>
    <w:p w:rsidR="001B14D4" w:rsidRDefault="001B14D4">
      <w:pPr>
        <w:spacing w:after="120"/>
        <w:rPr>
          <w:lang w:val="fr-FR"/>
        </w:rPr>
      </w:pPr>
    </w:p>
    <w:p w:rsidR="00BF7ECA" w:rsidRDefault="00BF7ECA">
      <w:pPr>
        <w:spacing w:after="120"/>
        <w:rPr>
          <w:lang w:val="fr-FR"/>
        </w:rPr>
      </w:pPr>
    </w:p>
    <w:p w:rsidR="00BF7ECA" w:rsidRDefault="00BF7ECA">
      <w:pPr>
        <w:spacing w:after="120"/>
        <w:rPr>
          <w:lang w:val="fr-FR"/>
        </w:rPr>
      </w:pPr>
    </w:p>
    <w:p w:rsidR="00BF7ECA" w:rsidRDefault="00BF7ECA">
      <w:pPr>
        <w:spacing w:after="120"/>
        <w:rPr>
          <w:lang w:val="fr-FR"/>
        </w:rPr>
      </w:pPr>
    </w:p>
    <w:p w:rsidR="00BF7ECA" w:rsidRDefault="00BF7ECA">
      <w:pPr>
        <w:spacing w:after="120"/>
        <w:rPr>
          <w:lang w:val="fr-FR"/>
        </w:rPr>
      </w:pPr>
    </w:p>
    <w:p w:rsidR="00BF7ECA" w:rsidRDefault="00BF7ECA">
      <w:pPr>
        <w:spacing w:after="120"/>
        <w:rPr>
          <w:lang w:val="fr-FR"/>
        </w:rPr>
      </w:pPr>
    </w:p>
    <w:p w:rsidR="00BF7ECA" w:rsidRDefault="00BF7ECA">
      <w:pPr>
        <w:spacing w:after="120"/>
        <w:rPr>
          <w:lang w:val="fr-FR"/>
        </w:rPr>
      </w:pPr>
    </w:p>
    <w:p w:rsidR="00BF7ECA" w:rsidRDefault="00BF7ECA">
      <w:pPr>
        <w:spacing w:after="120"/>
        <w:rPr>
          <w:lang w:val="fr-FR"/>
        </w:rPr>
      </w:pPr>
    </w:p>
    <w:p w:rsidR="00BF7ECA" w:rsidRDefault="00BF7ECA">
      <w:pPr>
        <w:spacing w:after="120"/>
        <w:rPr>
          <w:lang w:val="fr-FR"/>
        </w:rPr>
      </w:pPr>
    </w:p>
    <w:p w:rsidR="00BF7ECA" w:rsidRDefault="00BF7ECA">
      <w:pPr>
        <w:spacing w:after="120"/>
        <w:rPr>
          <w:lang w:val="fr-FR"/>
        </w:rPr>
      </w:pPr>
    </w:p>
    <w:p w:rsidR="001B14D4" w:rsidRDefault="001B14D4">
      <w:pPr>
        <w:spacing w:after="120"/>
        <w:rPr>
          <w:lang w:val="fr-FR"/>
        </w:rPr>
      </w:pPr>
    </w:p>
    <w:p w:rsidR="001B14D4" w:rsidRPr="00C13799" w:rsidRDefault="001B14D4">
      <w:pPr>
        <w:spacing w:after="120"/>
        <w:rPr>
          <w:lang w:val="fr-FR"/>
        </w:rPr>
      </w:pPr>
    </w:p>
    <w:p w:rsidR="008F2382" w:rsidRDefault="00EA410D">
      <w:pPr>
        <w:keepNext/>
        <w:spacing w:before="120" w:after="240"/>
        <w:jc w:val="center"/>
      </w:pPr>
      <w:r>
        <w:rPr>
          <w:noProof/>
          <w:lang w:val="fr-FR" w:eastAsia="fr-FR"/>
        </w:rPr>
        <w:drawing>
          <wp:inline distT="0" distB="0" distL="0" distR="0">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rics_vs_horizon.png"/>
                    <pic:cNvPicPr/>
                  </pic:nvPicPr>
                  <pic:blipFill>
                    <a:blip r:embed="rId26"/>
                    <a:stretch>
                      <a:fillRect/>
                    </a:stretch>
                  </pic:blipFill>
                  <pic:spPr>
                    <a:xfrm>
                      <a:off x="0" y="0"/>
                      <a:ext cx="5486400" cy="3086100"/>
                    </a:xfrm>
                    <a:prstGeom prst="rect">
                      <a:avLst/>
                    </a:prstGeom>
                  </pic:spPr>
                </pic:pic>
              </a:graphicData>
            </a:graphic>
          </wp:inline>
        </w:drawing>
      </w:r>
    </w:p>
    <w:p w:rsidR="008F2382" w:rsidRPr="00C13799" w:rsidRDefault="00EA410D">
      <w:pPr>
        <w:keepNext/>
        <w:spacing w:before="280" w:after="80"/>
        <w:rPr>
          <w:lang w:val="fr-FR"/>
        </w:rPr>
      </w:pPr>
      <w:r w:rsidRPr="00C13799">
        <w:rPr>
          <w:rFonts w:ascii="Arial" w:hAnsi="Arial"/>
          <w:b/>
          <w:color w:val="2B6CB0"/>
          <w:sz w:val="26"/>
          <w:lang w:val="fr-FR"/>
        </w:rPr>
        <w:t>Figure 2 : Profil d'erreur journalier selon le jour de l'année (DOY)</w:t>
      </w:r>
    </w:p>
    <w:p w:rsidR="008F2382" w:rsidRPr="00C13799" w:rsidRDefault="00EA410D">
      <w:pPr>
        <w:spacing w:after="120"/>
        <w:rPr>
          <w:lang w:val="fr-FR"/>
        </w:rPr>
      </w:pPr>
      <w:r w:rsidRPr="00C13799">
        <w:rPr>
          <w:rFonts w:ascii="Arial" w:hAnsi="Arial"/>
          <w:sz w:val="21"/>
          <w:lang w:val="fr-FR"/>
        </w:rPr>
        <w:t>Montre la variation saisonnière de la RMSE diurne journalière (moyenne glissante sur 7 jours) sur les 365 jours de l'année pour FH=0,5 h et FH=3,0 h. Les fluctuations mettent en évidence la dépendance des erreurs aux passages nuageux saisonniers.</w:t>
      </w:r>
    </w:p>
    <w:p w:rsidR="008F2382" w:rsidRDefault="00EA410D">
      <w:pPr>
        <w:keepNext/>
        <w:spacing w:before="120" w:after="240"/>
        <w:jc w:val="center"/>
      </w:pPr>
      <w:r>
        <w:rPr>
          <w:noProof/>
          <w:lang w:val="fr-FR" w:eastAsia="fr-FR"/>
        </w:rPr>
        <w:lastRenderedPageBreak/>
        <w:drawing>
          <wp:inline distT="0" distB="0" distL="0" distR="0">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ily_rmse_doy.png"/>
                    <pic:cNvPicPr/>
                  </pic:nvPicPr>
                  <pic:blipFill>
                    <a:blip r:embed="rId27"/>
                    <a:stretch>
                      <a:fillRect/>
                    </a:stretch>
                  </pic:blipFill>
                  <pic:spPr>
                    <a:xfrm>
                      <a:off x="0" y="0"/>
                      <a:ext cx="5486400" cy="2743200"/>
                    </a:xfrm>
                    <a:prstGeom prst="rect">
                      <a:avLst/>
                    </a:prstGeom>
                  </pic:spPr>
                </pic:pic>
              </a:graphicData>
            </a:graphic>
          </wp:inline>
        </w:drawing>
      </w:r>
    </w:p>
    <w:p w:rsidR="008F2382" w:rsidRPr="00C13799" w:rsidRDefault="00EA410D">
      <w:pPr>
        <w:keepNext/>
        <w:spacing w:before="280" w:after="80"/>
        <w:rPr>
          <w:lang w:val="fr-FR"/>
        </w:rPr>
      </w:pPr>
      <w:r w:rsidRPr="00C13799">
        <w:rPr>
          <w:rFonts w:ascii="Arial" w:hAnsi="Arial"/>
          <w:b/>
          <w:color w:val="2B6CB0"/>
          <w:sz w:val="26"/>
          <w:lang w:val="fr-FR"/>
        </w:rPr>
        <w:t>Figure 3 : Profil annuel du rayonnement diffus moyen et tendance du modèle</w:t>
      </w:r>
    </w:p>
    <w:p w:rsidR="008F2382" w:rsidRPr="00C13799" w:rsidRDefault="00EA410D">
      <w:pPr>
        <w:spacing w:after="120"/>
        <w:rPr>
          <w:lang w:val="fr-FR"/>
        </w:rPr>
      </w:pPr>
      <w:r w:rsidRPr="00C13799">
        <w:rPr>
          <w:rFonts w:ascii="Arial" w:hAnsi="Arial"/>
          <w:sz w:val="21"/>
          <w:lang w:val="fr-FR"/>
        </w:rPr>
        <w:t>Superpose la moyenne journalière mesurée du DHI avec les tendances lissées (moyenne mobile sur 10 jours) des prédictions à FH=0,5 h.</w:t>
      </w:r>
    </w:p>
    <w:p w:rsidR="008F2382" w:rsidRDefault="00EA410D">
      <w:pPr>
        <w:keepNext/>
        <w:spacing w:before="120" w:after="240"/>
        <w:jc w:val="center"/>
      </w:pPr>
      <w:r>
        <w:rPr>
          <w:noProof/>
          <w:lang w:val="fr-FR" w:eastAsia="fr-FR"/>
        </w:rPr>
        <w:drawing>
          <wp:inline distT="0" distB="0" distL="0" distR="0">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nnual_dhi_trend_doy.png"/>
                    <pic:cNvPicPr/>
                  </pic:nvPicPr>
                  <pic:blipFill>
                    <a:blip r:embed="rId28"/>
                    <a:stretch>
                      <a:fillRect/>
                    </a:stretch>
                  </pic:blipFill>
                  <pic:spPr>
                    <a:xfrm>
                      <a:off x="0" y="0"/>
                      <a:ext cx="5486400" cy="2743200"/>
                    </a:xfrm>
                    <a:prstGeom prst="rect">
                      <a:avLst/>
                    </a:prstGeom>
                  </pic:spPr>
                </pic:pic>
              </a:graphicData>
            </a:graphic>
          </wp:inline>
        </w:drawing>
      </w:r>
    </w:p>
    <w:p w:rsidR="008F2382" w:rsidRPr="00C13799" w:rsidRDefault="00EA410D">
      <w:pPr>
        <w:keepNext/>
        <w:spacing w:before="280" w:after="80"/>
        <w:rPr>
          <w:lang w:val="fr-FR"/>
        </w:rPr>
      </w:pPr>
      <w:r w:rsidRPr="00C13799">
        <w:rPr>
          <w:rFonts w:ascii="Arial" w:hAnsi="Arial"/>
          <w:b/>
          <w:color w:val="2B6CB0"/>
          <w:sz w:val="26"/>
          <w:lang w:val="fr-FR"/>
        </w:rPr>
        <w:t>Figure 4 : Séries temporelles comparatives sur fenêtres saisonnières (DOY)</w:t>
      </w:r>
    </w:p>
    <w:p w:rsidR="008F2382" w:rsidRPr="00C13799" w:rsidRDefault="00EA410D">
      <w:pPr>
        <w:spacing w:after="120"/>
        <w:rPr>
          <w:lang w:val="fr-FR"/>
        </w:rPr>
      </w:pPr>
      <w:r w:rsidRPr="00C13799">
        <w:rPr>
          <w:rFonts w:ascii="Arial" w:hAnsi="Arial"/>
          <w:sz w:val="21"/>
          <w:lang w:val="fr-FR"/>
        </w:rPr>
        <w:t>Propose un zoom temporel continu sur deux semaines représentatives : la période hivernale (DOY 15 à 20) et la période estivale (DOY 180 à 185). L'axe X exprime précisément le jour de l'année avec résolution infra-journalière.</w:t>
      </w:r>
    </w:p>
    <w:p w:rsidR="008F2382" w:rsidRDefault="00EA410D">
      <w:pPr>
        <w:keepNext/>
        <w:spacing w:before="120" w:after="240"/>
        <w:jc w:val="center"/>
      </w:pPr>
      <w:r>
        <w:rPr>
          <w:noProof/>
          <w:lang w:val="fr-FR" w:eastAsia="fr-FR"/>
        </w:rPr>
        <w:lastRenderedPageBreak/>
        <w:drawing>
          <wp:inline distT="0" distB="0" distL="0" distR="0">
            <wp:extent cx="5486400"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ime_series_doy_samples.png"/>
                    <pic:cNvPicPr/>
                  </pic:nvPicPr>
                  <pic:blipFill>
                    <a:blip r:embed="rId29"/>
                    <a:stretch>
                      <a:fillRect/>
                    </a:stretch>
                  </pic:blipFill>
                  <pic:spPr>
                    <a:xfrm>
                      <a:off x="0" y="0"/>
                      <a:ext cx="5486400" cy="2194560"/>
                    </a:xfrm>
                    <a:prstGeom prst="rect">
                      <a:avLst/>
                    </a:prstGeom>
                  </pic:spPr>
                </pic:pic>
              </a:graphicData>
            </a:graphic>
          </wp:inline>
        </w:drawing>
      </w:r>
    </w:p>
    <w:p w:rsidR="008F2382" w:rsidRPr="00C13799" w:rsidRDefault="00EA410D">
      <w:pPr>
        <w:keepNext/>
        <w:spacing w:before="280" w:after="80"/>
        <w:rPr>
          <w:lang w:val="fr-FR"/>
        </w:rPr>
      </w:pPr>
      <w:r w:rsidRPr="00C13799">
        <w:rPr>
          <w:rFonts w:ascii="Arial" w:hAnsi="Arial"/>
          <w:b/>
          <w:color w:val="2B6CB0"/>
          <w:sz w:val="26"/>
          <w:lang w:val="fr-FR"/>
        </w:rPr>
        <w:t>Figure 5 : Distribution spatio-temporelle de l'erreur absolue (DOY vs Heure)</w:t>
      </w:r>
    </w:p>
    <w:p w:rsidR="008F2382" w:rsidRPr="00C13799" w:rsidRDefault="00EA410D">
      <w:pPr>
        <w:spacing w:after="120"/>
        <w:rPr>
          <w:lang w:val="fr-FR"/>
        </w:rPr>
      </w:pPr>
      <w:r w:rsidRPr="00C13799">
        <w:rPr>
          <w:rFonts w:ascii="Arial" w:hAnsi="Arial"/>
          <w:sz w:val="21"/>
          <w:lang w:val="fr-FR"/>
        </w:rPr>
        <w:t xml:space="preserve">Carte thermique montrant la distribution spatio-temporelle des erreurs absolues moyennes du modèle ELM </w:t>
      </w:r>
      <w:proofErr w:type="spellStart"/>
      <w:r w:rsidRPr="00C13799">
        <w:rPr>
          <w:rFonts w:ascii="Arial" w:hAnsi="Arial"/>
          <w:sz w:val="21"/>
          <w:lang w:val="fr-FR"/>
        </w:rPr>
        <w:t>Ridge</w:t>
      </w:r>
      <w:proofErr w:type="spellEnd"/>
      <w:r w:rsidRPr="00C13799">
        <w:rPr>
          <w:rFonts w:ascii="Arial" w:hAnsi="Arial"/>
          <w:sz w:val="21"/>
          <w:lang w:val="fr-FR"/>
        </w:rPr>
        <w:t xml:space="preserve"> (FH=0,5 h) en fonction du jour de l'année (DOY 1 à 365) et de l'heure de la journée (0 à 24 h).</w:t>
      </w:r>
    </w:p>
    <w:p w:rsidR="008F2382" w:rsidRPr="00C13799" w:rsidRDefault="008F2382">
      <w:pPr>
        <w:keepNext/>
        <w:spacing w:before="120" w:after="240"/>
        <w:jc w:val="center"/>
        <w:rPr>
          <w:lang w:val="fr-FR"/>
        </w:rPr>
      </w:pPr>
    </w:p>
    <w:p w:rsidR="008F2382" w:rsidRPr="00C13799" w:rsidRDefault="00EA410D">
      <w:pPr>
        <w:keepNext/>
        <w:spacing w:before="360" w:after="120"/>
        <w:rPr>
          <w:lang w:val="fr-FR"/>
        </w:rPr>
      </w:pPr>
      <w:r w:rsidRPr="00C13799">
        <w:rPr>
          <w:rFonts w:ascii="Arial" w:hAnsi="Arial"/>
          <w:b/>
          <w:color w:val="1A365D"/>
          <w:sz w:val="32"/>
          <w:lang w:val="fr-FR"/>
        </w:rPr>
        <w:t>3. Constats clés pour la rédaction de l'article</w:t>
      </w:r>
    </w:p>
    <w:p w:rsidR="008F2382" w:rsidRPr="00C13799" w:rsidRDefault="00EA410D">
      <w:pPr>
        <w:pStyle w:val="Listepuces"/>
        <w:spacing w:after="80"/>
        <w:rPr>
          <w:lang w:val="fr-FR"/>
        </w:rPr>
      </w:pPr>
      <w:r w:rsidRPr="00C13799">
        <w:rPr>
          <w:rFonts w:ascii="Arial" w:hAnsi="Arial"/>
          <w:b/>
          <w:sz w:val="21"/>
          <w:lang w:val="fr-FR"/>
        </w:rPr>
        <w:t xml:space="preserve">Équivalence des fichiers </w:t>
      </w:r>
      <w:proofErr w:type="spellStart"/>
      <w:r w:rsidRPr="00C13799">
        <w:rPr>
          <w:rFonts w:ascii="Arial" w:hAnsi="Arial"/>
          <w:b/>
          <w:sz w:val="21"/>
          <w:lang w:val="fr-FR"/>
        </w:rPr>
        <w:t>Ridge</w:t>
      </w:r>
      <w:proofErr w:type="spellEnd"/>
      <w:r w:rsidRPr="00C13799">
        <w:rPr>
          <w:rFonts w:ascii="Arial" w:hAnsi="Arial"/>
          <w:b/>
          <w:sz w:val="21"/>
          <w:lang w:val="fr-FR"/>
        </w:rPr>
        <w:t xml:space="preserve"> et </w:t>
      </w:r>
      <w:proofErr w:type="spellStart"/>
      <w:r w:rsidRPr="00C13799">
        <w:rPr>
          <w:rFonts w:ascii="Arial" w:hAnsi="Arial"/>
          <w:b/>
          <w:sz w:val="21"/>
          <w:lang w:val="fr-FR"/>
        </w:rPr>
        <w:t>Robust</w:t>
      </w:r>
      <w:proofErr w:type="spellEnd"/>
      <w:r w:rsidRPr="00C13799">
        <w:rPr>
          <w:rFonts w:ascii="Arial" w:hAnsi="Arial"/>
          <w:b/>
          <w:sz w:val="21"/>
          <w:lang w:val="fr-FR"/>
        </w:rPr>
        <w:t xml:space="preserve"> : </w:t>
      </w:r>
      <w:r w:rsidRPr="00C13799">
        <w:rPr>
          <w:rFonts w:ascii="Arial" w:hAnsi="Arial"/>
          <w:sz w:val="21"/>
          <w:lang w:val="fr-FR"/>
        </w:rPr>
        <w:t>Les données de Predictions_DR_ELM_ridge_nocyclic.csv et Predictions_DR_ELM_robust_risk_nocyclic.csv sont rigoureusement identiques sur l'ensemble de la série (écart maximal nul). Vous pouvez les présenter comme la variante non-cyclique régularisée de l'ELM.</w:t>
      </w:r>
    </w:p>
    <w:p w:rsidR="008F2382" w:rsidRPr="00C13799" w:rsidRDefault="00EA410D">
      <w:pPr>
        <w:pStyle w:val="Listepuces"/>
        <w:spacing w:after="80"/>
        <w:rPr>
          <w:lang w:val="fr-FR"/>
        </w:rPr>
      </w:pPr>
      <w:r w:rsidRPr="00C13799">
        <w:rPr>
          <w:rFonts w:ascii="Arial" w:hAnsi="Arial"/>
          <w:b/>
          <w:sz w:val="21"/>
          <w:lang w:val="fr-FR"/>
        </w:rPr>
        <w:t xml:space="preserve">Supériorité aux horizons longs : </w:t>
      </w:r>
      <w:r w:rsidRPr="00C13799">
        <w:rPr>
          <w:rFonts w:ascii="Arial" w:hAnsi="Arial"/>
          <w:sz w:val="21"/>
          <w:lang w:val="fr-FR"/>
        </w:rPr>
        <w:t>Alors que la persistance simple (</w:t>
      </w:r>
      <w:proofErr w:type="spellStart"/>
      <w:r w:rsidRPr="00C13799">
        <w:rPr>
          <w:rFonts w:ascii="Arial" w:hAnsi="Arial"/>
          <w:sz w:val="21"/>
          <w:lang w:val="fr-FR"/>
        </w:rPr>
        <w:t>Persistence_P</w:t>
      </w:r>
      <w:proofErr w:type="spellEnd"/>
      <w:r w:rsidRPr="00C13799">
        <w:rPr>
          <w:rFonts w:ascii="Arial" w:hAnsi="Arial"/>
          <w:sz w:val="21"/>
          <w:lang w:val="fr-FR"/>
        </w:rPr>
        <w:t>) s'effondre au-delà de 1 h (</w:t>
      </w:r>
      <w:proofErr w:type="spellStart"/>
      <w:r w:rsidRPr="00C13799">
        <w:rPr>
          <w:rFonts w:ascii="Arial" w:hAnsi="Arial"/>
          <w:sz w:val="21"/>
          <w:lang w:val="fr-FR"/>
        </w:rPr>
        <w:t>nRMSE</w:t>
      </w:r>
      <w:proofErr w:type="spellEnd"/>
      <w:r w:rsidRPr="00C13799">
        <w:rPr>
          <w:rFonts w:ascii="Arial" w:hAnsi="Arial"/>
          <w:sz w:val="21"/>
          <w:lang w:val="fr-FR"/>
        </w:rPr>
        <w:t xml:space="preserve"> &gt; 120%), l'approche ELM </w:t>
      </w:r>
      <w:proofErr w:type="spellStart"/>
      <w:r w:rsidRPr="00C13799">
        <w:rPr>
          <w:rFonts w:ascii="Arial" w:hAnsi="Arial"/>
          <w:sz w:val="21"/>
          <w:lang w:val="fr-FR"/>
        </w:rPr>
        <w:t>Ridge</w:t>
      </w:r>
      <w:proofErr w:type="spellEnd"/>
      <w:r w:rsidRPr="00C13799">
        <w:rPr>
          <w:rFonts w:ascii="Arial" w:hAnsi="Arial"/>
          <w:sz w:val="21"/>
          <w:lang w:val="fr-FR"/>
        </w:rPr>
        <w:t xml:space="preserve"> plafonne autour de 58,6% de </w:t>
      </w:r>
      <w:proofErr w:type="spellStart"/>
      <w:r w:rsidRPr="00C13799">
        <w:rPr>
          <w:rFonts w:ascii="Arial" w:hAnsi="Arial"/>
          <w:sz w:val="21"/>
          <w:lang w:val="fr-FR"/>
        </w:rPr>
        <w:t>nRMSE</w:t>
      </w:r>
      <w:proofErr w:type="spellEnd"/>
      <w:r w:rsidRPr="00C13799">
        <w:rPr>
          <w:rFonts w:ascii="Arial" w:hAnsi="Arial"/>
          <w:sz w:val="21"/>
          <w:lang w:val="fr-FR"/>
        </w:rPr>
        <w:t xml:space="preserve"> à 10 h, démontrant la capacité du modèle à capturer la dynamique lente du rayonnement diffus.</w:t>
      </w:r>
    </w:p>
    <w:p w:rsidR="008F2382" w:rsidRPr="00BB6EAE" w:rsidRDefault="00EA410D" w:rsidP="000D4CA7">
      <w:pPr>
        <w:pStyle w:val="Listepuces"/>
        <w:spacing w:after="80"/>
        <w:rPr>
          <w:lang w:val="fr-FR"/>
        </w:rPr>
      </w:pPr>
      <w:r w:rsidRPr="00BB6EAE">
        <w:rPr>
          <w:rFonts w:ascii="Arial" w:hAnsi="Arial"/>
          <w:b/>
          <w:sz w:val="21"/>
          <w:lang w:val="fr-FR"/>
        </w:rPr>
        <w:t xml:space="preserve">Biais du </w:t>
      </w:r>
      <w:proofErr w:type="spellStart"/>
      <w:r w:rsidRPr="00BB6EAE">
        <w:rPr>
          <w:rFonts w:ascii="Arial" w:hAnsi="Arial"/>
          <w:b/>
          <w:sz w:val="21"/>
          <w:lang w:val="fr-FR"/>
        </w:rPr>
        <w:t>BLEND_opti</w:t>
      </w:r>
      <w:proofErr w:type="spellEnd"/>
      <w:r w:rsidRPr="00BB6EAE">
        <w:rPr>
          <w:rFonts w:ascii="Arial" w:hAnsi="Arial"/>
          <w:b/>
          <w:sz w:val="21"/>
          <w:lang w:val="fr-FR"/>
        </w:rPr>
        <w:t xml:space="preserve"> : </w:t>
      </w:r>
      <w:r w:rsidRPr="00BB6EAE">
        <w:rPr>
          <w:rFonts w:ascii="Arial" w:hAnsi="Arial"/>
          <w:sz w:val="21"/>
          <w:lang w:val="fr-FR"/>
        </w:rPr>
        <w:t xml:space="preserve">Le modèle </w:t>
      </w:r>
      <w:proofErr w:type="spellStart"/>
      <w:r w:rsidRPr="00BB6EAE">
        <w:rPr>
          <w:rFonts w:ascii="Arial" w:hAnsi="Arial"/>
          <w:sz w:val="21"/>
          <w:lang w:val="fr-FR"/>
        </w:rPr>
        <w:t>BLEND_opti</w:t>
      </w:r>
      <w:proofErr w:type="spellEnd"/>
      <w:r w:rsidRPr="00BB6EAE">
        <w:rPr>
          <w:rFonts w:ascii="Arial" w:hAnsi="Arial"/>
          <w:sz w:val="21"/>
          <w:lang w:val="fr-FR"/>
        </w:rPr>
        <w:t xml:space="preserve"> sous-estime systématiquement le diffus aux horizons élevés (MBE = −21,78 W/m² à 10 h), tandis qu'ELM </w:t>
      </w:r>
      <w:proofErr w:type="spellStart"/>
      <w:r w:rsidRPr="00BB6EAE">
        <w:rPr>
          <w:rFonts w:ascii="Arial" w:hAnsi="Arial"/>
          <w:sz w:val="21"/>
          <w:lang w:val="fr-FR"/>
        </w:rPr>
        <w:t>Ridge</w:t>
      </w:r>
      <w:proofErr w:type="spellEnd"/>
      <w:r w:rsidRPr="00BB6EAE">
        <w:rPr>
          <w:rFonts w:ascii="Arial" w:hAnsi="Arial"/>
          <w:sz w:val="21"/>
          <w:lang w:val="fr-FR"/>
        </w:rPr>
        <w:t xml:space="preserve"> conserve un faible biais positif (+3,18 W/m²).</w:t>
      </w:r>
    </w:p>
    <w:p w:rsidR="00BB6EAE" w:rsidRDefault="00BB6EAE" w:rsidP="00BB6EAE">
      <w:pPr>
        <w:pStyle w:val="Listepuces"/>
        <w:numPr>
          <w:ilvl w:val="0"/>
          <w:numId w:val="0"/>
        </w:numPr>
        <w:spacing w:after="80"/>
        <w:ind w:left="360" w:hanging="360"/>
        <w:rPr>
          <w:lang w:val="fr-FR"/>
        </w:rPr>
      </w:pPr>
    </w:p>
    <w:p w:rsidR="00BB6EAE" w:rsidRDefault="00BB6EAE" w:rsidP="00BB6EAE">
      <w:pPr>
        <w:pStyle w:val="Listepuces"/>
        <w:numPr>
          <w:ilvl w:val="0"/>
          <w:numId w:val="0"/>
        </w:numPr>
        <w:spacing w:after="80"/>
        <w:ind w:left="360" w:hanging="360"/>
        <w:rPr>
          <w:lang w:val="fr-FR"/>
        </w:rPr>
      </w:pPr>
    </w:p>
    <w:p w:rsidR="00F33327" w:rsidRDefault="00F33327" w:rsidP="00F33327">
      <w:pPr>
        <w:pStyle w:val="Listepuces"/>
        <w:numPr>
          <w:ilvl w:val="0"/>
          <w:numId w:val="0"/>
        </w:numPr>
        <w:spacing w:after="80"/>
        <w:ind w:left="360" w:hanging="360"/>
        <w:rPr>
          <w:rFonts w:ascii="Cambria" w:hAnsi="Cambria"/>
          <w:b/>
          <w:bCs/>
          <w:color w:val="000000"/>
          <w:sz w:val="40"/>
          <w:szCs w:val="40"/>
          <w:shd w:val="clear" w:color="auto" w:fill="FFFFFF"/>
          <w:lang w:val="fr-FR"/>
        </w:rPr>
      </w:pPr>
      <w:r w:rsidRPr="00F33327">
        <w:rPr>
          <w:rFonts w:ascii="Cambria" w:hAnsi="Cambria"/>
          <w:b/>
          <w:bCs/>
          <w:color w:val="000000"/>
          <w:sz w:val="40"/>
          <w:szCs w:val="40"/>
          <w:shd w:val="clear" w:color="auto" w:fill="FFFFFF"/>
          <w:lang w:val="fr-FR"/>
        </w:rPr>
        <w:t>Prédiction du Rayonnement Direct Horizontal (DNI)</w:t>
      </w:r>
    </w:p>
    <w:p w:rsidR="00F33327" w:rsidRDefault="00F33327" w:rsidP="00F33327">
      <w:pPr>
        <w:pStyle w:val="Listepuces"/>
        <w:numPr>
          <w:ilvl w:val="0"/>
          <w:numId w:val="0"/>
        </w:numPr>
        <w:spacing w:after="80"/>
        <w:ind w:left="360" w:hanging="360"/>
        <w:rPr>
          <w:lang w:val="fr-FR"/>
        </w:rPr>
      </w:pPr>
      <w:r w:rsidRPr="00F33327">
        <w:rPr>
          <w:lang w:val="fr-FR"/>
        </w:rPr>
        <w:t>Comparaison des modèles ELM aux horizons FH = 0,5 ; 1 ; 3 ; 6 ; 10 h</w:t>
      </w:r>
    </w:p>
    <w:p w:rsidR="00F33327" w:rsidRDefault="00F33327" w:rsidP="00F33327">
      <w:pPr>
        <w:pStyle w:val="Listepuces"/>
        <w:numPr>
          <w:ilvl w:val="0"/>
          <w:numId w:val="0"/>
        </w:numPr>
        <w:spacing w:after="80"/>
        <w:ind w:left="360" w:hanging="360"/>
        <w:rPr>
          <w:lang w:val="fr-FR"/>
        </w:rPr>
      </w:pPr>
    </w:p>
    <w:p w:rsidR="00F33327" w:rsidRDefault="00F33327" w:rsidP="00F33327">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1. Objet et cadre de l’analyse</w:t>
      </w:r>
    </w:p>
    <w:p w:rsidR="00F33327" w:rsidRDefault="00F33327" w:rsidP="00F33327">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Le présent rapport analyse comparativement les performances de quatre variantes de modèles ELM pour la prédiction du rayonnement direct horizontal (DNI), aux horizons de prévision de 0,5, 1, 3, 6 et 10 heures. La structure du rapport reprend le principe du document de référence fourni, </w:t>
      </w:r>
      <w:r>
        <w:rPr>
          <w:rFonts w:ascii="Cambria" w:hAnsi="Cambria" w:cs="Arial"/>
          <w:color w:val="000000"/>
          <w:sz w:val="22"/>
          <w:szCs w:val="22"/>
        </w:rPr>
        <w:lastRenderedPageBreak/>
        <w:t>notamment l’évaluation sur la période diurne, la présentation des métriques en fonction de l’horizon et l’utilisation du jour de l’année (DOY) pour l’analyse temporelle.</w:t>
      </w:r>
    </w:p>
    <w:p w:rsidR="00F33327" w:rsidRDefault="00F33327" w:rsidP="00F33327">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Les quatre configurations étudiées sont ELM-GLM, ELM-OLS, ELM-</w:t>
      </w:r>
      <w:proofErr w:type="spellStart"/>
      <w:r>
        <w:rPr>
          <w:rFonts w:ascii="Cambria" w:hAnsi="Cambria" w:cs="Arial"/>
          <w:color w:val="000000"/>
          <w:sz w:val="22"/>
          <w:szCs w:val="22"/>
        </w:rPr>
        <w:t>Ridge</w:t>
      </w:r>
      <w:proofErr w:type="spellEnd"/>
      <w:r>
        <w:rPr>
          <w:rFonts w:ascii="Cambria" w:hAnsi="Cambria" w:cs="Arial"/>
          <w:color w:val="000000"/>
          <w:sz w:val="22"/>
          <w:szCs w:val="22"/>
        </w:rPr>
        <w:t xml:space="preserve"> et ELM-</w:t>
      </w:r>
      <w:proofErr w:type="spellStart"/>
      <w:r>
        <w:rPr>
          <w:rFonts w:ascii="Cambria" w:hAnsi="Cambria" w:cs="Arial"/>
          <w:color w:val="000000"/>
          <w:sz w:val="22"/>
          <w:szCs w:val="22"/>
        </w:rPr>
        <w:t>Robust</w:t>
      </w:r>
      <w:proofErr w:type="spellEnd"/>
      <w:r>
        <w:rPr>
          <w:rFonts w:ascii="Cambria" w:hAnsi="Cambria" w:cs="Arial"/>
          <w:color w:val="000000"/>
          <w:sz w:val="22"/>
          <w:szCs w:val="22"/>
        </w:rPr>
        <w:t xml:space="preserve"> </w:t>
      </w:r>
      <w:proofErr w:type="spellStart"/>
      <w:r>
        <w:rPr>
          <w:rFonts w:ascii="Cambria" w:hAnsi="Cambria" w:cs="Arial"/>
          <w:color w:val="000000"/>
          <w:sz w:val="22"/>
          <w:szCs w:val="22"/>
        </w:rPr>
        <w:t>Risk</w:t>
      </w:r>
      <w:proofErr w:type="spellEnd"/>
      <w:r>
        <w:rPr>
          <w:rFonts w:ascii="Cambria" w:hAnsi="Cambria" w:cs="Arial"/>
          <w:color w:val="000000"/>
          <w:sz w:val="22"/>
          <w:szCs w:val="22"/>
        </w:rPr>
        <w:t xml:space="preserve">. Les résultats ont été calculés directement à partir des colonnes </w:t>
      </w:r>
      <w:proofErr w:type="spellStart"/>
      <w:r>
        <w:rPr>
          <w:rFonts w:ascii="Cambria" w:hAnsi="Cambria" w:cs="Arial"/>
          <w:color w:val="000000"/>
          <w:sz w:val="22"/>
          <w:szCs w:val="22"/>
        </w:rPr>
        <w:t>y_true</w:t>
      </w:r>
      <w:proofErr w:type="spellEnd"/>
      <w:r>
        <w:rPr>
          <w:rFonts w:ascii="Cambria" w:hAnsi="Cambria" w:cs="Arial"/>
          <w:color w:val="000000"/>
          <w:sz w:val="22"/>
          <w:szCs w:val="22"/>
        </w:rPr>
        <w:t xml:space="preserve"> et </w:t>
      </w:r>
      <w:proofErr w:type="spellStart"/>
      <w:r>
        <w:rPr>
          <w:rFonts w:ascii="Cambria" w:hAnsi="Cambria" w:cs="Arial"/>
          <w:color w:val="000000"/>
          <w:sz w:val="22"/>
          <w:szCs w:val="22"/>
        </w:rPr>
        <w:t>y_pred</w:t>
      </w:r>
      <w:proofErr w:type="spellEnd"/>
      <w:r>
        <w:rPr>
          <w:rFonts w:ascii="Cambria" w:hAnsi="Cambria" w:cs="Arial"/>
          <w:color w:val="000000"/>
          <w:sz w:val="22"/>
          <w:szCs w:val="22"/>
        </w:rPr>
        <w:t xml:space="preserve"> des fichiers de prédiction.</w:t>
      </w:r>
    </w:p>
    <w:p w:rsidR="00F33327" w:rsidRDefault="00F33327" w:rsidP="00F33327">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2. Méthodologie d’évaluation</w:t>
      </w:r>
    </w:p>
    <w:p w:rsidR="00F33327" w:rsidRDefault="00F33327" w:rsidP="00F33327">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Afin de rester cohérent avec le document de référence, l’évaluation principale est effectuée sur la période diurne, en conservant les observations pour lesquelles </w:t>
      </w:r>
      <w:proofErr w:type="spellStart"/>
      <w:r>
        <w:rPr>
          <w:rFonts w:ascii="Cambria" w:hAnsi="Cambria" w:cs="Arial"/>
          <w:color w:val="000000"/>
          <w:sz w:val="22"/>
          <w:szCs w:val="22"/>
        </w:rPr>
        <w:t>y_true</w:t>
      </w:r>
      <w:proofErr w:type="spellEnd"/>
      <w:r>
        <w:rPr>
          <w:rFonts w:ascii="Cambria" w:hAnsi="Cambria" w:cs="Arial"/>
          <w:color w:val="000000"/>
          <w:sz w:val="22"/>
          <w:szCs w:val="22"/>
        </w:rPr>
        <w:t xml:space="preserve"> &gt; 0. Cette sélection évite que les périodes nocturnes, où le rayonnement est nul, ne dominent artificiellement les indicateurs d’erreur.</w:t>
      </w:r>
    </w:p>
    <w:p w:rsidR="00F33327" w:rsidRDefault="00F33327" w:rsidP="00F33327">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Les indicateurs utilisés sont le RMSE, le </w:t>
      </w:r>
      <w:proofErr w:type="spellStart"/>
      <w:r>
        <w:rPr>
          <w:rFonts w:ascii="Cambria" w:hAnsi="Cambria" w:cs="Arial"/>
          <w:color w:val="000000"/>
          <w:sz w:val="22"/>
          <w:szCs w:val="22"/>
        </w:rPr>
        <w:t>nRMSE</w:t>
      </w:r>
      <w:proofErr w:type="spellEnd"/>
      <w:r>
        <w:rPr>
          <w:rFonts w:ascii="Cambria" w:hAnsi="Cambria" w:cs="Arial"/>
          <w:color w:val="000000"/>
          <w:sz w:val="22"/>
          <w:szCs w:val="22"/>
        </w:rPr>
        <w:t xml:space="preserve">, le MAE, le </w:t>
      </w:r>
      <w:proofErr w:type="spellStart"/>
      <w:r>
        <w:rPr>
          <w:rFonts w:ascii="Cambria" w:hAnsi="Cambria" w:cs="Arial"/>
          <w:color w:val="000000"/>
          <w:sz w:val="22"/>
          <w:szCs w:val="22"/>
        </w:rPr>
        <w:t>nMAE</w:t>
      </w:r>
      <w:proofErr w:type="spellEnd"/>
      <w:r>
        <w:rPr>
          <w:rFonts w:ascii="Cambria" w:hAnsi="Cambria" w:cs="Arial"/>
          <w:color w:val="000000"/>
          <w:sz w:val="22"/>
          <w:szCs w:val="22"/>
        </w:rPr>
        <w:t xml:space="preserve"> et le MBE. Les indicateurs normalisés sont rapportés relativement à la moyenne du DNI mesuré sur la période diurne. Le MBE est défini comme la moyenne de (</w:t>
      </w:r>
      <w:proofErr w:type="spellStart"/>
      <w:r>
        <w:rPr>
          <w:rFonts w:ascii="Cambria" w:hAnsi="Cambria" w:cs="Arial"/>
          <w:color w:val="000000"/>
          <w:sz w:val="22"/>
          <w:szCs w:val="22"/>
        </w:rPr>
        <w:t>y_pred</w:t>
      </w:r>
      <w:proofErr w:type="spellEnd"/>
      <w:r>
        <w:rPr>
          <w:rFonts w:ascii="Cambria" w:hAnsi="Cambria" w:cs="Arial"/>
          <w:color w:val="000000"/>
          <w:sz w:val="22"/>
          <w:szCs w:val="22"/>
        </w:rPr>
        <w:t xml:space="preserve"> − </w:t>
      </w:r>
      <w:proofErr w:type="spellStart"/>
      <w:r>
        <w:rPr>
          <w:rFonts w:ascii="Cambria" w:hAnsi="Cambria" w:cs="Arial"/>
          <w:color w:val="000000"/>
          <w:sz w:val="22"/>
          <w:szCs w:val="22"/>
        </w:rPr>
        <w:t>y_true</w:t>
      </w:r>
      <w:proofErr w:type="spellEnd"/>
      <w:r>
        <w:rPr>
          <w:rFonts w:ascii="Cambria" w:hAnsi="Cambria" w:cs="Arial"/>
          <w:color w:val="000000"/>
          <w:sz w:val="22"/>
          <w:szCs w:val="22"/>
        </w:rPr>
        <w:t>), de sorte qu’une valeur négative indique une tendance à la sous-estimation.</w:t>
      </w:r>
    </w:p>
    <w:p w:rsidR="00F33327" w:rsidRDefault="00F33327" w:rsidP="00F33327">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Le temps est exprimé en jour de l’année (DOY). Pour les fichiers analysés, l’index temporel correspond à une résolution de 30 minutes ; le DOY est donc obtenu par DOY = </w:t>
      </w:r>
      <w:proofErr w:type="spellStart"/>
      <w:proofErr w:type="gramStart"/>
      <w:r>
        <w:rPr>
          <w:rFonts w:ascii="Cambria" w:hAnsi="Cambria" w:cs="Arial"/>
          <w:color w:val="000000"/>
          <w:sz w:val="22"/>
          <w:szCs w:val="22"/>
        </w:rPr>
        <w:t>floor</w:t>
      </w:r>
      <w:proofErr w:type="spellEnd"/>
      <w:r>
        <w:rPr>
          <w:rFonts w:ascii="Cambria" w:hAnsi="Cambria" w:cs="Arial"/>
          <w:color w:val="000000"/>
          <w:sz w:val="22"/>
          <w:szCs w:val="22"/>
        </w:rPr>
        <w:t>(</w:t>
      </w:r>
      <w:proofErr w:type="spellStart"/>
      <w:proofErr w:type="gramEnd"/>
      <w:r>
        <w:rPr>
          <w:rFonts w:ascii="Cambria" w:hAnsi="Cambria" w:cs="Arial"/>
          <w:color w:val="000000"/>
          <w:sz w:val="22"/>
          <w:szCs w:val="22"/>
        </w:rPr>
        <w:t>t_index</w:t>
      </w:r>
      <w:proofErr w:type="spellEnd"/>
      <w:r>
        <w:rPr>
          <w:rFonts w:ascii="Cambria" w:hAnsi="Cambria" w:cs="Arial"/>
          <w:color w:val="000000"/>
          <w:sz w:val="22"/>
          <w:szCs w:val="22"/>
        </w:rPr>
        <w:t xml:space="preserve"> / 48) + 1.</w:t>
      </w:r>
    </w:p>
    <w:p w:rsidR="00F33327" w:rsidRDefault="00F33327" w:rsidP="00F33327">
      <w:pPr>
        <w:shd w:val="clear" w:color="auto" w:fill="FFFFFF"/>
        <w:spacing w:after="0" w:line="240" w:lineRule="auto"/>
        <w:rPr>
          <w:rFonts w:ascii="Calibri" w:eastAsia="Times New Roman" w:hAnsi="Calibri" w:cs="Calibri"/>
          <w:b/>
          <w:bCs/>
          <w:color w:val="365F91"/>
          <w:sz w:val="28"/>
          <w:szCs w:val="28"/>
          <w:lang w:val="fr-FR" w:eastAsia="fr-FR"/>
        </w:rPr>
      </w:pPr>
    </w:p>
    <w:p w:rsidR="00F33327" w:rsidRPr="00F33327" w:rsidRDefault="00F33327" w:rsidP="00F33327">
      <w:pPr>
        <w:shd w:val="clear" w:color="auto" w:fill="FFFFFF"/>
        <w:spacing w:after="0" w:line="240" w:lineRule="auto"/>
        <w:rPr>
          <w:rFonts w:ascii="Arial" w:eastAsia="Times New Roman" w:hAnsi="Arial" w:cs="Arial"/>
          <w:color w:val="000000"/>
          <w:sz w:val="20"/>
          <w:szCs w:val="20"/>
          <w:lang w:val="fr-FR" w:eastAsia="fr-FR"/>
        </w:rPr>
      </w:pPr>
      <w:r w:rsidRPr="00F33327">
        <w:rPr>
          <w:rFonts w:ascii="Calibri" w:eastAsia="Times New Roman" w:hAnsi="Calibri" w:cs="Calibri"/>
          <w:b/>
          <w:bCs/>
          <w:color w:val="365F91"/>
          <w:sz w:val="28"/>
          <w:szCs w:val="28"/>
          <w:lang w:val="fr-FR" w:eastAsia="fr-FR"/>
        </w:rPr>
        <w:t>3. Synthèse des performances</w:t>
      </w:r>
    </w:p>
    <w:p w:rsidR="00F33327" w:rsidRPr="00F33327" w:rsidRDefault="00F33327" w:rsidP="00F33327">
      <w:pPr>
        <w:shd w:val="clear" w:color="auto" w:fill="FFFFFF"/>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Tableau 1 — Performances des modèles sur la période diurne (</w:t>
      </w:r>
      <w:proofErr w:type="spellStart"/>
      <w:r w:rsidRPr="00F33327">
        <w:rPr>
          <w:rFonts w:ascii="Cambria" w:eastAsia="Times New Roman" w:hAnsi="Cambria" w:cs="Arial"/>
          <w:color w:val="000000"/>
          <w:lang w:val="fr-FR" w:eastAsia="fr-FR"/>
        </w:rPr>
        <w:t>y_true</w:t>
      </w:r>
      <w:proofErr w:type="spellEnd"/>
      <w:r w:rsidRPr="00F33327">
        <w:rPr>
          <w:rFonts w:ascii="Cambria" w:eastAsia="Times New Roman" w:hAnsi="Cambria" w:cs="Arial"/>
          <w:color w:val="000000"/>
          <w:lang w:val="fr-FR" w:eastAsia="fr-FR"/>
        </w:rPr>
        <w:t xml:space="preserve"> &gt; 0).</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189"/>
        <w:gridCol w:w="1134"/>
        <w:gridCol w:w="1183"/>
        <w:gridCol w:w="1187"/>
        <w:gridCol w:w="1183"/>
        <w:gridCol w:w="1165"/>
        <w:gridCol w:w="1159"/>
        <w:gridCol w:w="1150"/>
      </w:tblGrid>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Modèle</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FH (h)</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RMSE</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proofErr w:type="spellStart"/>
            <w:r w:rsidRPr="00F33327">
              <w:rPr>
                <w:rFonts w:ascii="Cambria" w:eastAsia="Times New Roman" w:hAnsi="Cambria" w:cs="Arial"/>
                <w:color w:val="000000"/>
                <w:lang w:val="fr-FR" w:eastAsia="fr-FR"/>
              </w:rPr>
              <w:t>nRMSE</w:t>
            </w:r>
            <w:proofErr w:type="spellEnd"/>
            <w:r w:rsidRPr="00F33327">
              <w:rPr>
                <w:rFonts w:ascii="Cambria" w:eastAsia="Times New Roman" w:hAnsi="Cambria" w:cs="Arial"/>
                <w:color w:val="000000"/>
                <w:lang w:val="fr-FR" w:eastAsia="fr-FR"/>
              </w:rPr>
              <w:t xml:space="preserve"> (%)</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MAE</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proofErr w:type="spellStart"/>
            <w:r w:rsidRPr="00F33327">
              <w:rPr>
                <w:rFonts w:ascii="Cambria" w:eastAsia="Times New Roman" w:hAnsi="Cambria" w:cs="Arial"/>
                <w:color w:val="000000"/>
                <w:lang w:val="fr-FR" w:eastAsia="fr-FR"/>
              </w:rPr>
              <w:t>nMAE</w:t>
            </w:r>
            <w:proofErr w:type="spellEnd"/>
            <w:r w:rsidRPr="00F33327">
              <w:rPr>
                <w:rFonts w:ascii="Cambria" w:eastAsia="Times New Roman" w:hAnsi="Cambria" w:cs="Arial"/>
                <w:color w:val="000000"/>
                <w:lang w:val="fr-FR" w:eastAsia="fr-FR"/>
              </w:rPr>
              <w:t xml:space="preserve"> (%)</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MBE</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N</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ELM-GLM</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0.5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134.69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21.98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88.48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14.44</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+3.00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ELM-GLM</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168.36</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27.48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110.95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18.11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-8.34</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ELM-GLM</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220.18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35.94</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152.98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24.97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-18.18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ELM-GLM</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6.0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247.51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40.40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177.49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28.97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-28.02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ELM-GLM</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260.42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42.50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189.93</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30.99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-34.45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7845</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ELM-OLS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0.5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126.36</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20.63</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77.55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12.66</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ELM-OLS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159.17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25.98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99.65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16.27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-14.01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ELM-OLS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211.83</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34.58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144.79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23.63</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-27.44</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ELM-OLS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6.0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237.93</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38.84</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171.67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28.02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-39.26</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ELM-OLS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247.89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40.45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182.40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29.76</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-46.87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7845</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w:t>
            </w:r>
            <w:proofErr w:type="spellStart"/>
            <w:r w:rsidRPr="00F33327">
              <w:rPr>
                <w:rFonts w:ascii="Cambria" w:eastAsia="Times New Roman" w:hAnsi="Cambria" w:cs="Arial"/>
                <w:color w:val="000000"/>
                <w:lang w:val="fr-FR" w:eastAsia="fr-FR"/>
              </w:rPr>
              <w:t>Ridge</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0.5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126.61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20.67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77.42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12.64</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-9.18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w:t>
            </w:r>
            <w:proofErr w:type="spellStart"/>
            <w:r w:rsidRPr="00F33327">
              <w:rPr>
                <w:rFonts w:ascii="Cambria" w:eastAsia="Times New Roman" w:hAnsi="Cambria" w:cs="Arial"/>
                <w:color w:val="000000"/>
                <w:lang w:val="fr-FR" w:eastAsia="fr-FR"/>
              </w:rPr>
              <w:t>Ridge</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163.51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26.69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102.97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16.81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-16.41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w:t>
            </w:r>
            <w:proofErr w:type="spellStart"/>
            <w:r w:rsidRPr="00F33327">
              <w:rPr>
                <w:rFonts w:ascii="Cambria" w:eastAsia="Times New Roman" w:hAnsi="Cambria" w:cs="Arial"/>
                <w:color w:val="000000"/>
                <w:lang w:val="fr-FR" w:eastAsia="fr-FR"/>
              </w:rPr>
              <w:t>Ridge</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218.64</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35.69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147.01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24.00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-35.12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w:t>
            </w:r>
            <w:proofErr w:type="spellStart"/>
            <w:r w:rsidRPr="00F33327">
              <w:rPr>
                <w:rFonts w:ascii="Cambria" w:eastAsia="Times New Roman" w:hAnsi="Cambria" w:cs="Arial"/>
                <w:color w:val="000000"/>
                <w:lang w:val="fr-FR" w:eastAsia="fr-FR"/>
              </w:rPr>
              <w:t>Ridge</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6.0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248.85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40.62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175.26</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28.61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-47.32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w:t>
            </w:r>
            <w:proofErr w:type="spellStart"/>
            <w:r w:rsidRPr="00F33327">
              <w:rPr>
                <w:rFonts w:ascii="Cambria" w:eastAsia="Times New Roman" w:hAnsi="Cambria" w:cs="Arial"/>
                <w:color w:val="000000"/>
                <w:lang w:val="fr-FR" w:eastAsia="fr-FR"/>
              </w:rPr>
              <w:t>Ridge</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256.89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41.92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185.55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30.28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-51.95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7845</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w:t>
            </w:r>
            <w:proofErr w:type="spellStart"/>
            <w:r w:rsidRPr="00F33327">
              <w:rPr>
                <w:rFonts w:ascii="Cambria" w:eastAsia="Times New Roman" w:hAnsi="Cambria" w:cs="Arial"/>
                <w:color w:val="000000"/>
                <w:lang w:val="fr-FR" w:eastAsia="fr-FR"/>
              </w:rPr>
              <w:t>Robust</w:t>
            </w:r>
            <w:proofErr w:type="spellEnd"/>
            <w:r w:rsidRPr="00F33327">
              <w:rPr>
                <w:rFonts w:ascii="Cambria" w:eastAsia="Times New Roman" w:hAnsi="Cambria" w:cs="Arial"/>
                <w:color w:val="000000"/>
                <w:lang w:val="fr-FR" w:eastAsia="fr-FR"/>
              </w:rPr>
              <w:t xml:space="preserve"> </w:t>
            </w:r>
            <w:proofErr w:type="spellStart"/>
            <w:r w:rsidRPr="00F33327">
              <w:rPr>
                <w:rFonts w:ascii="Cambria" w:eastAsia="Times New Roman" w:hAnsi="Cambria" w:cs="Arial"/>
                <w:color w:val="000000"/>
                <w:lang w:val="fr-FR" w:eastAsia="fr-FR"/>
              </w:rPr>
              <w:t>Risk</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0.5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126.61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20.67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77.42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12.64</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-9.18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w:t>
            </w:r>
            <w:proofErr w:type="spellStart"/>
            <w:r w:rsidRPr="00F33327">
              <w:rPr>
                <w:rFonts w:ascii="Cambria" w:eastAsia="Times New Roman" w:hAnsi="Cambria" w:cs="Arial"/>
                <w:color w:val="000000"/>
                <w:lang w:val="fr-FR" w:eastAsia="fr-FR"/>
              </w:rPr>
              <w:t>Robust</w:t>
            </w:r>
            <w:proofErr w:type="spellEnd"/>
            <w:r w:rsidRPr="00F33327">
              <w:rPr>
                <w:rFonts w:ascii="Cambria" w:eastAsia="Times New Roman" w:hAnsi="Cambria" w:cs="Arial"/>
                <w:color w:val="000000"/>
                <w:lang w:val="fr-FR" w:eastAsia="fr-FR"/>
              </w:rPr>
              <w:t xml:space="preserve"> </w:t>
            </w:r>
            <w:proofErr w:type="spellStart"/>
            <w:r w:rsidRPr="00F33327">
              <w:rPr>
                <w:rFonts w:ascii="Cambria" w:eastAsia="Times New Roman" w:hAnsi="Cambria" w:cs="Arial"/>
                <w:color w:val="000000"/>
                <w:lang w:val="fr-FR" w:eastAsia="fr-FR"/>
              </w:rPr>
              <w:t>Risk</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163.51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26.69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102.97</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16.81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-16.41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lastRenderedPageBreak/>
              <w:t>ELM-</w:t>
            </w:r>
            <w:proofErr w:type="spellStart"/>
            <w:r w:rsidRPr="00F33327">
              <w:rPr>
                <w:rFonts w:ascii="Cambria" w:eastAsia="Times New Roman" w:hAnsi="Cambria" w:cs="Arial"/>
                <w:color w:val="000000"/>
                <w:lang w:val="fr-FR" w:eastAsia="fr-FR"/>
              </w:rPr>
              <w:t>Robust</w:t>
            </w:r>
            <w:proofErr w:type="spellEnd"/>
            <w:r w:rsidRPr="00F33327">
              <w:rPr>
                <w:rFonts w:ascii="Cambria" w:eastAsia="Times New Roman" w:hAnsi="Cambria" w:cs="Arial"/>
                <w:color w:val="000000"/>
                <w:lang w:val="fr-FR" w:eastAsia="fr-FR"/>
              </w:rPr>
              <w:t xml:space="preserve"> </w:t>
            </w:r>
            <w:proofErr w:type="spellStart"/>
            <w:r w:rsidRPr="00F33327">
              <w:rPr>
                <w:rFonts w:ascii="Cambria" w:eastAsia="Times New Roman" w:hAnsi="Cambria" w:cs="Arial"/>
                <w:color w:val="000000"/>
                <w:lang w:val="fr-FR" w:eastAsia="fr-FR"/>
              </w:rPr>
              <w:t>Risk</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218.64</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35.69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147.01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24.00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-35.12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w:t>
            </w:r>
            <w:proofErr w:type="spellStart"/>
            <w:r w:rsidRPr="00F33327">
              <w:rPr>
                <w:rFonts w:ascii="Cambria" w:eastAsia="Times New Roman" w:hAnsi="Cambria" w:cs="Arial"/>
                <w:color w:val="000000"/>
                <w:lang w:val="fr-FR" w:eastAsia="fr-FR"/>
              </w:rPr>
              <w:t>Robust</w:t>
            </w:r>
            <w:proofErr w:type="spellEnd"/>
            <w:r w:rsidRPr="00F33327">
              <w:rPr>
                <w:rFonts w:ascii="Cambria" w:eastAsia="Times New Roman" w:hAnsi="Cambria" w:cs="Arial"/>
                <w:color w:val="000000"/>
                <w:lang w:val="fr-FR" w:eastAsia="fr-FR"/>
              </w:rPr>
              <w:t xml:space="preserve"> </w:t>
            </w:r>
            <w:proofErr w:type="spellStart"/>
            <w:r w:rsidRPr="00F33327">
              <w:rPr>
                <w:rFonts w:ascii="Cambria" w:eastAsia="Times New Roman" w:hAnsi="Cambria" w:cs="Arial"/>
                <w:color w:val="000000"/>
                <w:lang w:val="fr-FR" w:eastAsia="fr-FR"/>
              </w:rPr>
              <w:t>Risk</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6.0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248.85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40.62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175.26</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28.61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-47.32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7847</w:t>
            </w:r>
          </w:p>
        </w:tc>
      </w:tr>
      <w:tr w:rsidR="00F33327" w:rsidRPr="00F33327" w:rsidTr="00F33327">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ELM-</w:t>
            </w:r>
            <w:proofErr w:type="spellStart"/>
            <w:r w:rsidRPr="00F33327">
              <w:rPr>
                <w:rFonts w:ascii="Cambria" w:eastAsia="Times New Roman" w:hAnsi="Cambria" w:cs="Arial"/>
                <w:color w:val="000000"/>
                <w:lang w:val="fr-FR" w:eastAsia="fr-FR"/>
              </w:rPr>
              <w:t>Robust</w:t>
            </w:r>
            <w:proofErr w:type="spellEnd"/>
            <w:r w:rsidRPr="00F33327">
              <w:rPr>
                <w:rFonts w:ascii="Cambria" w:eastAsia="Times New Roman" w:hAnsi="Cambria" w:cs="Arial"/>
                <w:color w:val="000000"/>
                <w:lang w:val="fr-FR" w:eastAsia="fr-FR"/>
              </w:rPr>
              <w:t xml:space="preserve"> </w:t>
            </w:r>
            <w:proofErr w:type="spellStart"/>
            <w:r w:rsidRPr="00F33327">
              <w:rPr>
                <w:rFonts w:ascii="Cambria" w:eastAsia="Times New Roman" w:hAnsi="Cambria" w:cs="Arial"/>
                <w:color w:val="000000"/>
                <w:lang w:val="fr-FR" w:eastAsia="fr-FR"/>
              </w:rPr>
              <w:t>Risk</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10.0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256.89</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41.92</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185.55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30.28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-51.95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rsidR="00F33327" w:rsidRPr="00F33327" w:rsidRDefault="00F33327" w:rsidP="00F33327">
            <w:pPr>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7845</w:t>
            </w:r>
          </w:p>
        </w:tc>
      </w:tr>
    </w:tbl>
    <w:p w:rsidR="00F33327" w:rsidRPr="00F33327" w:rsidRDefault="00F33327" w:rsidP="00F33327">
      <w:pPr>
        <w:shd w:val="clear" w:color="auto" w:fill="FFFFFF"/>
        <w:spacing w:after="0" w:line="240" w:lineRule="auto"/>
        <w:rPr>
          <w:rFonts w:ascii="Arial" w:eastAsia="Times New Roman" w:hAnsi="Arial" w:cs="Arial"/>
          <w:color w:val="000000"/>
          <w:sz w:val="20"/>
          <w:szCs w:val="20"/>
          <w:lang w:val="fr-FR" w:eastAsia="fr-FR"/>
        </w:rPr>
      </w:pPr>
      <w:r w:rsidRPr="00F33327">
        <w:rPr>
          <w:rFonts w:ascii="Cambria" w:eastAsia="Times New Roman" w:hAnsi="Cambria" w:cs="Arial"/>
          <w:color w:val="000000"/>
          <w:lang w:val="fr-FR" w:eastAsia="fr-FR"/>
        </w:rPr>
        <w:t>Les erreurs augmentent globalement avec l’horizon de prévision pour les quatre modèles. À court terme (FH = 0,5 h), les meilleures valeurs de RMSE et MAE sont obtenues par ELM-OLS et ELM-</w:t>
      </w:r>
      <w:proofErr w:type="spellStart"/>
      <w:r w:rsidRPr="00F33327">
        <w:rPr>
          <w:rFonts w:ascii="Cambria" w:eastAsia="Times New Roman" w:hAnsi="Cambria" w:cs="Arial"/>
          <w:color w:val="000000"/>
          <w:lang w:val="fr-FR" w:eastAsia="fr-FR"/>
        </w:rPr>
        <w:t>Ridge</w:t>
      </w:r>
      <w:proofErr w:type="spellEnd"/>
      <w:r w:rsidRPr="00F33327">
        <w:rPr>
          <w:rFonts w:ascii="Cambria" w:eastAsia="Times New Roman" w:hAnsi="Cambria" w:cs="Arial"/>
          <w:color w:val="000000"/>
          <w:lang w:val="fr-FR" w:eastAsia="fr-FR"/>
        </w:rPr>
        <w:t>/</w:t>
      </w:r>
      <w:proofErr w:type="spellStart"/>
      <w:r w:rsidRPr="00F33327">
        <w:rPr>
          <w:rFonts w:ascii="Cambria" w:eastAsia="Times New Roman" w:hAnsi="Cambria" w:cs="Arial"/>
          <w:color w:val="000000"/>
          <w:lang w:val="fr-FR" w:eastAsia="fr-FR"/>
        </w:rPr>
        <w:t>Robust</w:t>
      </w:r>
      <w:proofErr w:type="spellEnd"/>
      <w:r w:rsidRPr="00F33327">
        <w:rPr>
          <w:rFonts w:ascii="Cambria" w:eastAsia="Times New Roman" w:hAnsi="Cambria" w:cs="Arial"/>
          <w:color w:val="000000"/>
          <w:lang w:val="fr-FR" w:eastAsia="fr-FR"/>
        </w:rPr>
        <w:t xml:space="preserve"> </w:t>
      </w:r>
      <w:proofErr w:type="spellStart"/>
      <w:r w:rsidRPr="00F33327">
        <w:rPr>
          <w:rFonts w:ascii="Cambria" w:eastAsia="Times New Roman" w:hAnsi="Cambria" w:cs="Arial"/>
          <w:color w:val="000000"/>
          <w:lang w:val="fr-FR" w:eastAsia="fr-FR"/>
        </w:rPr>
        <w:t>Risk</w:t>
      </w:r>
      <w:proofErr w:type="spellEnd"/>
      <w:r w:rsidRPr="00F33327">
        <w:rPr>
          <w:rFonts w:ascii="Cambria" w:eastAsia="Times New Roman" w:hAnsi="Cambria" w:cs="Arial"/>
          <w:color w:val="000000"/>
          <w:lang w:val="fr-FR" w:eastAsia="fr-FR"/>
        </w:rPr>
        <w:t>, tandis que ELM-GLM présente une erreur légèrement supérieure. À mesure que l’horizon augmente, les écarts entre modèles restent modérés mais la dégradation de précision devient nette.</w:t>
      </w:r>
    </w:p>
    <w:p w:rsidR="00F33327" w:rsidRPr="00F33327" w:rsidRDefault="00F33327" w:rsidP="00F33327">
      <w:pPr>
        <w:shd w:val="clear" w:color="auto" w:fill="FFFFFF"/>
        <w:spacing w:after="0" w:line="240" w:lineRule="auto"/>
        <w:rPr>
          <w:rFonts w:ascii="Arial" w:eastAsia="Times New Roman" w:hAnsi="Arial" w:cs="Arial"/>
          <w:color w:val="000000"/>
          <w:sz w:val="20"/>
          <w:szCs w:val="20"/>
          <w:lang w:val="fr-FR" w:eastAsia="fr-FR"/>
        </w:rPr>
      </w:pPr>
      <w:r w:rsidRPr="00F33327">
        <w:rPr>
          <w:rFonts w:ascii="Calibri" w:eastAsia="Times New Roman" w:hAnsi="Calibri" w:cs="Calibri"/>
          <w:b/>
          <w:bCs/>
          <w:color w:val="365F91"/>
          <w:sz w:val="28"/>
          <w:szCs w:val="28"/>
          <w:lang w:val="fr-FR" w:eastAsia="fr-FR"/>
        </w:rPr>
        <w:t>4. Analyse comparative des erreurs</w:t>
      </w:r>
    </w:p>
    <w:p w:rsidR="00F33327" w:rsidRDefault="00F33327" w:rsidP="00F33327">
      <w:pPr>
        <w:shd w:val="clear" w:color="auto" w:fill="FFFFFF"/>
        <w:spacing w:after="0" w:line="240" w:lineRule="auto"/>
        <w:rPr>
          <w:rFonts w:ascii="Calibri" w:eastAsia="Times New Roman" w:hAnsi="Calibri" w:cs="Calibri"/>
          <w:b/>
          <w:bCs/>
          <w:color w:val="4F81BD"/>
          <w:sz w:val="26"/>
          <w:szCs w:val="26"/>
          <w:lang w:val="fr-FR" w:eastAsia="fr-FR"/>
        </w:rPr>
      </w:pPr>
      <w:r w:rsidRPr="00F33327">
        <w:rPr>
          <w:rFonts w:ascii="Calibri" w:eastAsia="Times New Roman" w:hAnsi="Calibri" w:cs="Calibri"/>
          <w:b/>
          <w:bCs/>
          <w:color w:val="4F81BD"/>
          <w:sz w:val="26"/>
          <w:szCs w:val="26"/>
          <w:lang w:val="fr-FR" w:eastAsia="fr-FR"/>
        </w:rPr>
        <w:t>Figure 1 — RMSE en fonction de l’horizon de prévision</w:t>
      </w:r>
    </w:p>
    <w:p w:rsidR="00F33327" w:rsidRPr="00F33327" w:rsidRDefault="00F33327" w:rsidP="00F33327">
      <w:pPr>
        <w:shd w:val="clear" w:color="auto" w:fill="FFFFFF"/>
        <w:spacing w:after="0" w:line="240" w:lineRule="auto"/>
        <w:rPr>
          <w:rFonts w:ascii="Arial" w:eastAsia="Times New Roman" w:hAnsi="Arial" w:cs="Arial"/>
          <w:color w:val="000000"/>
          <w:sz w:val="20"/>
          <w:szCs w:val="20"/>
          <w:lang w:val="fr-FR" w:eastAsia="fr-FR"/>
        </w:rPr>
      </w:pPr>
    </w:p>
    <w:p w:rsidR="00F33327" w:rsidRPr="00F33327" w:rsidRDefault="00F33327" w:rsidP="00F33327">
      <w:pPr>
        <w:pStyle w:val="Listepuces"/>
        <w:numPr>
          <w:ilvl w:val="0"/>
          <w:numId w:val="0"/>
        </w:numPr>
        <w:spacing w:after="80"/>
        <w:ind w:left="360" w:hanging="360"/>
        <w:rPr>
          <w:lang w:val="fr-FR"/>
        </w:rPr>
      </w:pPr>
      <w:r w:rsidRPr="00F33327">
        <w:rPr>
          <w:lang w:val="fr-FR"/>
        </w:rPr>
        <w:drawing>
          <wp:inline distT="0" distB="0" distL="0" distR="0" wp14:anchorId="028D76A0" wp14:editId="24B5DE0B">
            <wp:extent cx="5943600" cy="33750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75025"/>
                    </a:xfrm>
                    <a:prstGeom prst="rect">
                      <a:avLst/>
                    </a:prstGeom>
                  </pic:spPr>
                </pic:pic>
              </a:graphicData>
            </a:graphic>
          </wp:inline>
        </w:drawing>
      </w:r>
    </w:p>
    <w:p w:rsidR="00D84584" w:rsidRDefault="00D84584" w:rsidP="00D84584">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La RMSE croît avec l’horizon pour l’ensemble des modèles, traduisant l’augmentation de l’incertitude de prévision à mesure que l’échéance s’éloigne.</w:t>
      </w:r>
    </w:p>
    <w:p w:rsidR="00D84584" w:rsidRDefault="00D84584" w:rsidP="00D84584">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Figure 2 — MAE en fonction de l’horizon de prévision</w:t>
      </w:r>
    </w:p>
    <w:p w:rsidR="00BB6EAE" w:rsidRDefault="00D84584" w:rsidP="00BB6EAE">
      <w:pPr>
        <w:pStyle w:val="Listepuces"/>
        <w:numPr>
          <w:ilvl w:val="0"/>
          <w:numId w:val="0"/>
        </w:numPr>
        <w:spacing w:after="80"/>
        <w:ind w:left="360" w:hanging="360"/>
        <w:rPr>
          <w:lang w:val="fr-FR"/>
        </w:rPr>
      </w:pPr>
      <w:r w:rsidRPr="00D84584">
        <w:rPr>
          <w:lang w:val="fr-FR"/>
        </w:rPr>
        <w:lastRenderedPageBreak/>
        <w:drawing>
          <wp:inline distT="0" distB="0" distL="0" distR="0" wp14:anchorId="30D06E65" wp14:editId="1F393460">
            <wp:extent cx="5943600" cy="333946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39465"/>
                    </a:xfrm>
                    <a:prstGeom prst="rect">
                      <a:avLst/>
                    </a:prstGeom>
                  </pic:spPr>
                </pic:pic>
              </a:graphicData>
            </a:graphic>
          </wp:inline>
        </w:drawing>
      </w:r>
    </w:p>
    <w:p w:rsidR="00D84584" w:rsidRDefault="00D84584" w:rsidP="00BB6EAE">
      <w:pPr>
        <w:pStyle w:val="Listepuces"/>
        <w:numPr>
          <w:ilvl w:val="0"/>
          <w:numId w:val="0"/>
        </w:numPr>
        <w:spacing w:after="80"/>
        <w:ind w:left="360" w:hanging="360"/>
        <w:rPr>
          <w:lang w:val="fr-FR"/>
        </w:rPr>
      </w:pPr>
    </w:p>
    <w:p w:rsidR="00D84584" w:rsidRDefault="00D84584" w:rsidP="00D84584">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5. Analyse temporelle selon le jour de l’année</w:t>
      </w:r>
    </w:p>
    <w:p w:rsidR="00D84584" w:rsidRDefault="00D84584" w:rsidP="00D84584">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Figure 3 — Profil saisonnier de l’erreur</w:t>
      </w:r>
    </w:p>
    <w:p w:rsidR="00D84584" w:rsidRDefault="00D84584" w:rsidP="00BB6EAE">
      <w:pPr>
        <w:pStyle w:val="Listepuces"/>
        <w:numPr>
          <w:ilvl w:val="0"/>
          <w:numId w:val="0"/>
        </w:numPr>
        <w:spacing w:after="80"/>
        <w:ind w:left="360" w:hanging="360"/>
        <w:rPr>
          <w:lang w:val="fr-FR"/>
        </w:rPr>
      </w:pPr>
      <w:r w:rsidRPr="00D84584">
        <w:rPr>
          <w:lang w:val="fr-FR"/>
        </w:rPr>
        <w:drawing>
          <wp:inline distT="0" distB="0" distL="0" distR="0" wp14:anchorId="2359F17C" wp14:editId="22E02845">
            <wp:extent cx="5943600" cy="3500120"/>
            <wp:effectExtent l="0" t="0" r="0" b="50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00120"/>
                    </a:xfrm>
                    <a:prstGeom prst="rect">
                      <a:avLst/>
                    </a:prstGeom>
                  </pic:spPr>
                </pic:pic>
              </a:graphicData>
            </a:graphic>
          </wp:inline>
        </w:drawing>
      </w:r>
    </w:p>
    <w:p w:rsidR="0075195D" w:rsidRDefault="0075195D" w:rsidP="0075195D">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Le profil journalier met en évidence une variabilité saisonnière de l’erreur. Les fluctuations ne sont pas uniformes sur l’année et peuvent être associées aux variations de la dynamique du rayonnement et aux situations atmosphériques, notamment les passages nuageux.</w:t>
      </w:r>
    </w:p>
    <w:p w:rsidR="0075195D" w:rsidRDefault="0075195D" w:rsidP="0075195D">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lastRenderedPageBreak/>
        <w:t>Figure 4 — Profil annuel du DNI moyen et tendance du modèle</w:t>
      </w:r>
    </w:p>
    <w:p w:rsidR="0075195D" w:rsidRDefault="0075195D" w:rsidP="00BB6EAE">
      <w:pPr>
        <w:pStyle w:val="Listepuces"/>
        <w:numPr>
          <w:ilvl w:val="0"/>
          <w:numId w:val="0"/>
        </w:numPr>
        <w:spacing w:after="80"/>
        <w:ind w:left="360" w:hanging="360"/>
        <w:rPr>
          <w:lang w:val="fr-FR"/>
        </w:rPr>
      </w:pPr>
      <w:r w:rsidRPr="0075195D">
        <w:rPr>
          <w:lang w:val="fr-FR"/>
        </w:rPr>
        <w:drawing>
          <wp:inline distT="0" distB="0" distL="0" distR="0" wp14:anchorId="60B45643" wp14:editId="605E5379">
            <wp:extent cx="5943600" cy="3554730"/>
            <wp:effectExtent l="0" t="0" r="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554730"/>
                    </a:xfrm>
                    <a:prstGeom prst="rect">
                      <a:avLst/>
                    </a:prstGeom>
                  </pic:spPr>
                </pic:pic>
              </a:graphicData>
            </a:graphic>
          </wp:inline>
        </w:drawing>
      </w:r>
    </w:p>
    <w:p w:rsidR="0075195D" w:rsidRDefault="0075195D" w:rsidP="00BB6EAE">
      <w:pPr>
        <w:pStyle w:val="Listepuces"/>
        <w:numPr>
          <w:ilvl w:val="0"/>
          <w:numId w:val="0"/>
        </w:numPr>
        <w:spacing w:after="80"/>
        <w:ind w:left="360" w:hanging="360"/>
        <w:rPr>
          <w:lang w:val="fr-FR"/>
        </w:rPr>
      </w:pPr>
    </w:p>
    <w:p w:rsidR="0075195D" w:rsidRDefault="0075195D" w:rsidP="00BB6EAE">
      <w:pPr>
        <w:pStyle w:val="Listepuces"/>
        <w:numPr>
          <w:ilvl w:val="0"/>
          <w:numId w:val="0"/>
        </w:numPr>
        <w:spacing w:after="80"/>
        <w:ind w:left="360" w:hanging="360"/>
        <w:rPr>
          <w:rFonts w:ascii="Cambria" w:hAnsi="Cambria"/>
          <w:color w:val="000000"/>
          <w:shd w:val="clear" w:color="auto" w:fill="FFFFFF"/>
          <w:lang w:val="fr-FR"/>
        </w:rPr>
      </w:pPr>
      <w:r w:rsidRPr="0075195D">
        <w:rPr>
          <w:rFonts w:ascii="Cambria" w:hAnsi="Cambria"/>
          <w:color w:val="000000"/>
          <w:shd w:val="clear" w:color="auto" w:fill="FFFFFF"/>
          <w:lang w:val="fr-FR"/>
        </w:rPr>
        <w:t>La comparaison des moyennes journalières permet d’évaluer la capacité du modèle à reproduire la structure saisonnière du rayonnement. Les courbes lissées facilitent l’identification des écarts de tendance à l’échelle annuelle.</w:t>
      </w:r>
    </w:p>
    <w:p w:rsidR="0075195D" w:rsidRDefault="0075195D" w:rsidP="00BB6EAE">
      <w:pPr>
        <w:pStyle w:val="Listepuces"/>
        <w:numPr>
          <w:ilvl w:val="0"/>
          <w:numId w:val="0"/>
        </w:numPr>
        <w:spacing w:after="80"/>
        <w:ind w:left="360" w:hanging="360"/>
        <w:rPr>
          <w:rFonts w:ascii="Cambria" w:hAnsi="Cambria"/>
          <w:color w:val="000000"/>
          <w:shd w:val="clear" w:color="auto" w:fill="FFFFFF"/>
          <w:lang w:val="fr-FR"/>
        </w:rPr>
      </w:pPr>
    </w:p>
    <w:p w:rsidR="0075195D" w:rsidRDefault="0075195D" w:rsidP="0075195D">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6. Constats clés</w:t>
      </w:r>
    </w:p>
    <w:p w:rsidR="0075195D" w:rsidRDefault="0075195D" w:rsidP="0075195D">
      <w:pPr>
        <w:pStyle w:val="artifact-docx-previewlistbullet"/>
        <w:shd w:val="clear" w:color="auto" w:fill="FFFFFF"/>
        <w:spacing w:before="0" w:beforeAutospacing="0" w:after="0" w:afterAutospacing="0"/>
        <w:ind w:hanging="360"/>
        <w:rPr>
          <w:rFonts w:ascii="Arial" w:hAnsi="Arial" w:cs="Arial"/>
          <w:color w:val="000000"/>
          <w:sz w:val="20"/>
          <w:szCs w:val="20"/>
        </w:rPr>
      </w:pPr>
      <w:r>
        <w:rPr>
          <w:rFonts w:ascii="Arial" w:hAnsi="Arial" w:cs="Arial"/>
          <w:color w:val="000000"/>
          <w:sz w:val="20"/>
          <w:szCs w:val="20"/>
        </w:rPr>
        <w:t>Dégradation avec l’horizon : les RMSE et MAE augmentent systématiquement lorsque l’horizon passe de 0,5 h à 10 h.</w:t>
      </w:r>
    </w:p>
    <w:p w:rsidR="0075195D" w:rsidRDefault="0075195D" w:rsidP="0075195D">
      <w:pPr>
        <w:pStyle w:val="artifact-docx-previewlistbullet"/>
        <w:shd w:val="clear" w:color="auto" w:fill="FFFFFF"/>
        <w:spacing w:before="0" w:beforeAutospacing="0" w:after="0" w:afterAutospacing="0"/>
        <w:ind w:hanging="360"/>
        <w:rPr>
          <w:rFonts w:ascii="Arial" w:hAnsi="Arial" w:cs="Arial"/>
          <w:color w:val="000000"/>
          <w:sz w:val="20"/>
          <w:szCs w:val="20"/>
        </w:rPr>
      </w:pPr>
      <w:r>
        <w:rPr>
          <w:rFonts w:ascii="Arial" w:hAnsi="Arial" w:cs="Arial"/>
          <w:color w:val="000000"/>
          <w:sz w:val="20"/>
          <w:szCs w:val="20"/>
        </w:rPr>
        <w:t>Performance à court terme : ELM-OLS et ELM-</w:t>
      </w:r>
      <w:proofErr w:type="spellStart"/>
      <w:r>
        <w:rPr>
          <w:rFonts w:ascii="Arial" w:hAnsi="Arial" w:cs="Arial"/>
          <w:color w:val="000000"/>
          <w:sz w:val="20"/>
          <w:szCs w:val="20"/>
        </w:rPr>
        <w:t>Ridge</w:t>
      </w:r>
      <w:proofErr w:type="spellEnd"/>
      <w:r>
        <w:rPr>
          <w:rFonts w:ascii="Arial" w:hAnsi="Arial" w:cs="Arial"/>
          <w:color w:val="000000"/>
          <w:sz w:val="20"/>
          <w:szCs w:val="20"/>
        </w:rPr>
        <w:t>/</w:t>
      </w:r>
      <w:proofErr w:type="spellStart"/>
      <w:r>
        <w:rPr>
          <w:rFonts w:ascii="Arial" w:hAnsi="Arial" w:cs="Arial"/>
          <w:color w:val="000000"/>
          <w:sz w:val="20"/>
          <w:szCs w:val="20"/>
        </w:rPr>
        <w:t>Robust</w:t>
      </w:r>
      <w:proofErr w:type="spellEnd"/>
      <w:r>
        <w:rPr>
          <w:rFonts w:ascii="Arial" w:hAnsi="Arial" w:cs="Arial"/>
          <w:color w:val="000000"/>
          <w:sz w:val="20"/>
          <w:szCs w:val="20"/>
        </w:rPr>
        <w:t xml:space="preserve"> </w:t>
      </w:r>
      <w:proofErr w:type="spellStart"/>
      <w:r>
        <w:rPr>
          <w:rFonts w:ascii="Arial" w:hAnsi="Arial" w:cs="Arial"/>
          <w:color w:val="000000"/>
          <w:sz w:val="20"/>
          <w:szCs w:val="20"/>
        </w:rPr>
        <w:t>Risk</w:t>
      </w:r>
      <w:proofErr w:type="spellEnd"/>
      <w:r>
        <w:rPr>
          <w:rFonts w:ascii="Arial" w:hAnsi="Arial" w:cs="Arial"/>
          <w:color w:val="000000"/>
          <w:sz w:val="20"/>
          <w:szCs w:val="20"/>
        </w:rPr>
        <w:t xml:space="preserve"> figurent parmi les configurations les plus précises à FH = 0,5 h.</w:t>
      </w:r>
    </w:p>
    <w:p w:rsidR="0075195D" w:rsidRDefault="0075195D" w:rsidP="0075195D">
      <w:pPr>
        <w:pStyle w:val="artifact-docx-previewlistbullet"/>
        <w:shd w:val="clear" w:color="auto" w:fill="FFFFFF"/>
        <w:spacing w:before="0" w:beforeAutospacing="0" w:after="0" w:afterAutospacing="0"/>
        <w:ind w:hanging="360"/>
        <w:rPr>
          <w:rFonts w:ascii="Arial" w:hAnsi="Arial" w:cs="Arial"/>
          <w:color w:val="000000"/>
          <w:sz w:val="20"/>
          <w:szCs w:val="20"/>
        </w:rPr>
      </w:pPr>
      <w:r>
        <w:rPr>
          <w:rFonts w:ascii="Arial" w:hAnsi="Arial" w:cs="Arial"/>
          <w:color w:val="000000"/>
          <w:sz w:val="20"/>
          <w:szCs w:val="20"/>
        </w:rPr>
        <w:t>ELM-GLM : cette variante présente une erreur généralement plus élevée que les autres configurations, en particulier aux horizons courts et longs.</w:t>
      </w:r>
    </w:p>
    <w:p w:rsidR="0075195D" w:rsidRDefault="0075195D" w:rsidP="0075195D">
      <w:pPr>
        <w:pStyle w:val="artifact-docx-previewlistbullet"/>
        <w:shd w:val="clear" w:color="auto" w:fill="FFFFFF"/>
        <w:spacing w:before="0" w:beforeAutospacing="0" w:after="0" w:afterAutospacing="0"/>
        <w:ind w:hanging="360"/>
        <w:rPr>
          <w:rFonts w:ascii="Arial" w:hAnsi="Arial" w:cs="Arial"/>
          <w:color w:val="000000"/>
          <w:sz w:val="20"/>
          <w:szCs w:val="20"/>
        </w:rPr>
      </w:pPr>
      <w:proofErr w:type="spellStart"/>
      <w:r>
        <w:rPr>
          <w:rFonts w:ascii="Arial" w:hAnsi="Arial" w:cs="Arial"/>
          <w:color w:val="000000"/>
          <w:sz w:val="20"/>
          <w:szCs w:val="20"/>
        </w:rPr>
        <w:t>Ridge</w:t>
      </w:r>
      <w:proofErr w:type="spellEnd"/>
      <w:r>
        <w:rPr>
          <w:rFonts w:ascii="Arial" w:hAnsi="Arial" w:cs="Arial"/>
          <w:color w:val="000000"/>
          <w:sz w:val="20"/>
          <w:szCs w:val="20"/>
        </w:rPr>
        <w:t xml:space="preserve"> et </w:t>
      </w:r>
      <w:proofErr w:type="spellStart"/>
      <w:r>
        <w:rPr>
          <w:rFonts w:ascii="Arial" w:hAnsi="Arial" w:cs="Arial"/>
          <w:color w:val="000000"/>
          <w:sz w:val="20"/>
          <w:szCs w:val="20"/>
        </w:rPr>
        <w:t>Robust</w:t>
      </w:r>
      <w:proofErr w:type="spellEnd"/>
      <w:r>
        <w:rPr>
          <w:rFonts w:ascii="Arial" w:hAnsi="Arial" w:cs="Arial"/>
          <w:color w:val="000000"/>
          <w:sz w:val="20"/>
          <w:szCs w:val="20"/>
        </w:rPr>
        <w:t xml:space="preserve"> </w:t>
      </w:r>
      <w:proofErr w:type="spellStart"/>
      <w:r>
        <w:rPr>
          <w:rFonts w:ascii="Arial" w:hAnsi="Arial" w:cs="Arial"/>
          <w:color w:val="000000"/>
          <w:sz w:val="20"/>
          <w:szCs w:val="20"/>
        </w:rPr>
        <w:t>Risk</w:t>
      </w:r>
      <w:proofErr w:type="spellEnd"/>
      <w:r>
        <w:rPr>
          <w:rFonts w:ascii="Arial" w:hAnsi="Arial" w:cs="Arial"/>
          <w:color w:val="000000"/>
          <w:sz w:val="20"/>
          <w:szCs w:val="20"/>
        </w:rPr>
        <w:t xml:space="preserve"> : les résultats calculés sont identiques sur les séries analysées ; ils peuvent donc être présentés comme une même performance expérimentale dans la comparaison.</w:t>
      </w:r>
    </w:p>
    <w:p w:rsidR="0075195D" w:rsidRDefault="0075195D" w:rsidP="0075195D">
      <w:pPr>
        <w:pStyle w:val="artifact-docx-previewlistbullet"/>
        <w:shd w:val="clear" w:color="auto" w:fill="FFFFFF"/>
        <w:spacing w:before="0" w:beforeAutospacing="0" w:after="0" w:afterAutospacing="0"/>
        <w:ind w:hanging="360"/>
        <w:rPr>
          <w:rFonts w:ascii="Arial" w:hAnsi="Arial" w:cs="Arial"/>
          <w:color w:val="000000"/>
          <w:sz w:val="20"/>
          <w:szCs w:val="20"/>
        </w:rPr>
      </w:pPr>
      <w:r>
        <w:rPr>
          <w:rFonts w:ascii="Arial" w:hAnsi="Arial" w:cs="Arial"/>
          <w:color w:val="000000"/>
          <w:sz w:val="20"/>
          <w:szCs w:val="20"/>
        </w:rPr>
        <w:t>Biais : le MBE devient plus négatif avec l’horizon pour plusieurs configurations, indiquant une tendance croissante à la sous-estimation du DNI.</w:t>
      </w:r>
    </w:p>
    <w:p w:rsidR="0075195D" w:rsidRDefault="0075195D" w:rsidP="0075195D">
      <w:pPr>
        <w:pStyle w:val="artifact-docx-previewlistbullet"/>
        <w:shd w:val="clear" w:color="auto" w:fill="FFFFFF"/>
        <w:spacing w:before="0" w:beforeAutospacing="0" w:after="0" w:afterAutospacing="0"/>
        <w:ind w:hanging="360"/>
        <w:rPr>
          <w:rFonts w:ascii="Arial" w:hAnsi="Arial" w:cs="Arial"/>
          <w:color w:val="000000"/>
          <w:sz w:val="20"/>
          <w:szCs w:val="20"/>
        </w:rPr>
      </w:pPr>
      <w:r>
        <w:rPr>
          <w:rFonts w:ascii="Arial" w:hAnsi="Arial" w:cs="Arial"/>
          <w:color w:val="000000"/>
          <w:sz w:val="20"/>
          <w:szCs w:val="20"/>
        </w:rPr>
        <w:t>Analyse DOY : l’utilisation du jour de l’année permet de mettre en évidence la composante saisonnière et les périodes où l’erreur varie fortement.</w:t>
      </w:r>
    </w:p>
    <w:p w:rsidR="0075195D" w:rsidRDefault="0075195D" w:rsidP="0075195D">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7. Conclusion</w:t>
      </w:r>
    </w:p>
    <w:p w:rsidR="0075195D" w:rsidRDefault="0075195D" w:rsidP="0075195D">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L’analyse comparative montre que la prévision du DNI devient progressivement plus difficile lorsque l’horizon augmente. Les modèles ELM-OLS et ELM-</w:t>
      </w:r>
      <w:proofErr w:type="spellStart"/>
      <w:r>
        <w:rPr>
          <w:rFonts w:ascii="Cambria" w:hAnsi="Cambria" w:cs="Arial"/>
          <w:color w:val="000000"/>
          <w:sz w:val="22"/>
          <w:szCs w:val="22"/>
        </w:rPr>
        <w:t>Ridge</w:t>
      </w:r>
      <w:proofErr w:type="spellEnd"/>
      <w:r>
        <w:rPr>
          <w:rFonts w:ascii="Cambria" w:hAnsi="Cambria" w:cs="Arial"/>
          <w:color w:val="000000"/>
          <w:sz w:val="22"/>
          <w:szCs w:val="22"/>
        </w:rPr>
        <w:t>/</w:t>
      </w:r>
      <w:proofErr w:type="spellStart"/>
      <w:r>
        <w:rPr>
          <w:rFonts w:ascii="Cambria" w:hAnsi="Cambria" w:cs="Arial"/>
          <w:color w:val="000000"/>
          <w:sz w:val="22"/>
          <w:szCs w:val="22"/>
        </w:rPr>
        <w:t>Robust</w:t>
      </w:r>
      <w:proofErr w:type="spellEnd"/>
      <w:r>
        <w:rPr>
          <w:rFonts w:ascii="Cambria" w:hAnsi="Cambria" w:cs="Arial"/>
          <w:color w:val="000000"/>
          <w:sz w:val="22"/>
          <w:szCs w:val="22"/>
        </w:rPr>
        <w:t xml:space="preserve"> </w:t>
      </w:r>
      <w:proofErr w:type="spellStart"/>
      <w:r>
        <w:rPr>
          <w:rFonts w:ascii="Cambria" w:hAnsi="Cambria" w:cs="Arial"/>
          <w:color w:val="000000"/>
          <w:sz w:val="22"/>
          <w:szCs w:val="22"/>
        </w:rPr>
        <w:t>Risk</w:t>
      </w:r>
      <w:proofErr w:type="spellEnd"/>
      <w:r>
        <w:rPr>
          <w:rFonts w:ascii="Cambria" w:hAnsi="Cambria" w:cs="Arial"/>
          <w:color w:val="000000"/>
          <w:sz w:val="22"/>
          <w:szCs w:val="22"/>
        </w:rPr>
        <w:t xml:space="preserve"> présentent globalement les meilleures performances, surtout aux horizons courts et intermédiaires, alors que les erreurs du modèle ELM-GLM sont légèrement supérieures. La combinaison de l’analyse des métriques globales et de l’examen des profils selon le DOY apporte une lecture plus complète des performances : elle permet de distinguer la dégradation moyenne liée à l’horizon des variations saisonnières et intra-journalières de l’erreur.</w:t>
      </w:r>
    </w:p>
    <w:p w:rsidR="0075195D" w:rsidRDefault="0075195D" w:rsidP="0075195D">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lastRenderedPageBreak/>
        <w:t>Remarque : ce rapport est construit à partir des quatre fichiers de prédiction fournis et reprend la logique du document de référence. Les interprétations physiques détaillées des variations saisonnières doivent être confirmées par les variables météorologiques disponibles dans le jeu de données.</w:t>
      </w:r>
    </w:p>
    <w:p w:rsidR="0075195D" w:rsidRPr="0075195D" w:rsidRDefault="0075195D" w:rsidP="00BB6EAE">
      <w:pPr>
        <w:pStyle w:val="Listepuces"/>
        <w:numPr>
          <w:ilvl w:val="0"/>
          <w:numId w:val="0"/>
        </w:numPr>
        <w:spacing w:after="80"/>
        <w:ind w:left="360" w:hanging="360"/>
        <w:rPr>
          <w:lang w:val="fr-FR"/>
        </w:rPr>
      </w:pPr>
      <w:bookmarkStart w:id="0" w:name="_GoBack"/>
      <w:bookmarkEnd w:id="0"/>
    </w:p>
    <w:sectPr w:rsidR="0075195D" w:rsidRPr="007519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4721"/>
    <w:rsid w:val="0015074B"/>
    <w:rsid w:val="001B14D4"/>
    <w:rsid w:val="001B4EA2"/>
    <w:rsid w:val="0028435F"/>
    <w:rsid w:val="0029639D"/>
    <w:rsid w:val="00326F90"/>
    <w:rsid w:val="0075195D"/>
    <w:rsid w:val="008F2382"/>
    <w:rsid w:val="00AA1D8D"/>
    <w:rsid w:val="00B47730"/>
    <w:rsid w:val="00BB6EAE"/>
    <w:rsid w:val="00BF7ECA"/>
    <w:rsid w:val="00C13799"/>
    <w:rsid w:val="00CB0664"/>
    <w:rsid w:val="00D84584"/>
    <w:rsid w:val="00EA410D"/>
    <w:rsid w:val="00EC152E"/>
    <w:rsid w:val="00F33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E0ED68-761D-456E-9E04-9E3A34ED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fact-docx-previewheading1">
    <w:name w:val="artifact-docx-preview_heading1"/>
    <w:basedOn w:val="Normal"/>
    <w:rsid w:val="00F3332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F3332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artifact-docx-previewheading2">
    <w:name w:val="artifact-docx-preview_heading2"/>
    <w:basedOn w:val="Normal"/>
    <w:rsid w:val="00F3332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artifact-docx-previewlistbullet">
    <w:name w:val="artifact-docx-preview_listbullet"/>
    <w:basedOn w:val="Normal"/>
    <w:rsid w:val="0075195D"/>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22528">
      <w:bodyDiv w:val="1"/>
      <w:marLeft w:val="0"/>
      <w:marRight w:val="0"/>
      <w:marTop w:val="0"/>
      <w:marBottom w:val="0"/>
      <w:divBdr>
        <w:top w:val="none" w:sz="0" w:space="0" w:color="auto"/>
        <w:left w:val="none" w:sz="0" w:space="0" w:color="auto"/>
        <w:bottom w:val="none" w:sz="0" w:space="0" w:color="auto"/>
        <w:right w:val="none" w:sz="0" w:space="0" w:color="auto"/>
      </w:divBdr>
    </w:div>
    <w:div w:id="447161425">
      <w:bodyDiv w:val="1"/>
      <w:marLeft w:val="0"/>
      <w:marRight w:val="0"/>
      <w:marTop w:val="0"/>
      <w:marBottom w:val="0"/>
      <w:divBdr>
        <w:top w:val="none" w:sz="0" w:space="0" w:color="auto"/>
        <w:left w:val="none" w:sz="0" w:space="0" w:color="auto"/>
        <w:bottom w:val="none" w:sz="0" w:space="0" w:color="auto"/>
        <w:right w:val="none" w:sz="0" w:space="0" w:color="auto"/>
      </w:divBdr>
    </w:div>
    <w:div w:id="913128068">
      <w:bodyDiv w:val="1"/>
      <w:marLeft w:val="0"/>
      <w:marRight w:val="0"/>
      <w:marTop w:val="0"/>
      <w:marBottom w:val="0"/>
      <w:divBdr>
        <w:top w:val="none" w:sz="0" w:space="0" w:color="auto"/>
        <w:left w:val="none" w:sz="0" w:space="0" w:color="auto"/>
        <w:bottom w:val="none" w:sz="0" w:space="0" w:color="auto"/>
        <w:right w:val="none" w:sz="0" w:space="0" w:color="auto"/>
      </w:divBdr>
    </w:div>
    <w:div w:id="965500786">
      <w:bodyDiv w:val="1"/>
      <w:marLeft w:val="0"/>
      <w:marRight w:val="0"/>
      <w:marTop w:val="0"/>
      <w:marBottom w:val="0"/>
      <w:divBdr>
        <w:top w:val="none" w:sz="0" w:space="0" w:color="auto"/>
        <w:left w:val="none" w:sz="0" w:space="0" w:color="auto"/>
        <w:bottom w:val="none" w:sz="0" w:space="0" w:color="auto"/>
        <w:right w:val="none" w:sz="0" w:space="0" w:color="auto"/>
      </w:divBdr>
    </w:div>
    <w:div w:id="1144273863">
      <w:bodyDiv w:val="1"/>
      <w:marLeft w:val="0"/>
      <w:marRight w:val="0"/>
      <w:marTop w:val="0"/>
      <w:marBottom w:val="0"/>
      <w:divBdr>
        <w:top w:val="none" w:sz="0" w:space="0" w:color="auto"/>
        <w:left w:val="none" w:sz="0" w:space="0" w:color="auto"/>
        <w:bottom w:val="none" w:sz="0" w:space="0" w:color="auto"/>
        <w:right w:val="none" w:sz="0" w:space="0" w:color="auto"/>
      </w:divBdr>
    </w:div>
    <w:div w:id="1521091228">
      <w:bodyDiv w:val="1"/>
      <w:marLeft w:val="0"/>
      <w:marRight w:val="0"/>
      <w:marTop w:val="0"/>
      <w:marBottom w:val="0"/>
      <w:divBdr>
        <w:top w:val="none" w:sz="0" w:space="0" w:color="auto"/>
        <w:left w:val="none" w:sz="0" w:space="0" w:color="auto"/>
        <w:bottom w:val="none" w:sz="0" w:space="0" w:color="auto"/>
        <w:right w:val="none" w:sz="0" w:space="0" w:color="auto"/>
      </w:divBdr>
    </w:div>
    <w:div w:id="19294633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EAD304-38BB-4DE0-9F58-2417CA602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30</Pages>
  <Words>1512</Words>
  <Characters>8321</Characters>
  <Application>Microsoft Office Word</Application>
  <DocSecurity>0</DocSecurity>
  <Lines>69</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9814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11</cp:revision>
  <dcterms:created xsi:type="dcterms:W3CDTF">2026-09-10T21:29:00Z</dcterms:created>
  <dcterms:modified xsi:type="dcterms:W3CDTF">2026-09-11T21:47:00Z</dcterms:modified>
  <cp:category/>
</cp:coreProperties>
</file>