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2B62" w:rsidRDefault="002D4EDE"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>Synthèse des résultats de prévision du GHI</w:t>
      </w:r>
    </w:p>
    <w:p w:rsidR="008C2B62" w:rsidRDefault="002D4EDE">
      <w:pPr>
        <w:spacing w:after="300"/>
        <w:jc w:val="center"/>
      </w:pPr>
      <w:r>
        <w:rPr>
          <w:i/>
          <w:iCs/>
          <w:color w:val="2E5395"/>
          <w:sz w:val="24"/>
          <w:szCs w:val="24"/>
        </w:rPr>
        <w:t>Comparaison des modèles par horizon de prévision (0,5 h à 10 h)</w:t>
      </w:r>
    </w:p>
    <w:p w:rsidR="008C2B62" w:rsidRDefault="002D4EDE">
      <w:pPr>
        <w:pStyle w:val="Titre1"/>
        <w:spacing w:before="320" w:after="160"/>
      </w:pPr>
      <w:r>
        <w:rPr>
          <w:b/>
          <w:bCs/>
          <w:color w:val="1F3864"/>
        </w:rPr>
        <w:t>1. Contexte et méthodologie</w:t>
      </w:r>
    </w:p>
    <w:p w:rsidR="008C2B62" w:rsidRDefault="002D4EDE">
      <w:pPr>
        <w:spacing w:after="160" w:line="276" w:lineRule="auto"/>
        <w:jc w:val="both"/>
      </w:pPr>
      <w:r>
        <w:t>Cette synthèse regroupe les résultats de prévision du rayonnement solaire global horizontal (GHI) obtenus pour cinq horizons de prévision (0,5 h, 1 h, 3 h, 6 h et 10 h). Pour chaque horizon, un grand nombre de variantes de modèles ont été testées (méthodes</w:t>
      </w:r>
      <w:r>
        <w:t xml:space="preserve"> ELM avec différentes fonctions de perte et de régularisation — MAE, Lp, Huber, GLM, Elastic-Net, Ridge, Box-Cox, etc., modèles ELM à fenêtre glissante — rolling 1 mois / 6 mois / 1 an, régression AR-OLS, méthodes de fusion BLEND, ainsi que deux modèles de</w:t>
      </w:r>
      <w:r>
        <w:t xml:space="preserve"> référence de persistance : Persistence_P et Persistence_Pcyclic).</w:t>
      </w:r>
    </w:p>
    <w:p w:rsidR="008C2B62" w:rsidRDefault="002D4EDE">
      <w:pPr>
        <w:spacing w:after="160" w:line="276" w:lineRule="auto"/>
        <w:jc w:val="both"/>
      </w:pPr>
      <w:r>
        <w:t>Pour chaque horizon, seul le meilleur modèle (RMSE minimal) est retenu dans le tableau de synthèse ci-dessous, comparé aux deux modèles de persistance et à la meilleure combinaison BLEND. L</w:t>
      </w:r>
      <w:r>
        <w:t>es indicateurs utilisés sont le RMSE et le nRMSE (RMSE normalisé), le nMBE (biais normalisé), le nMAE (erreur absolue moyenne normalisée) et le coefficient de détermination R².</w:t>
      </w:r>
    </w:p>
    <w:p w:rsidR="008C2B62" w:rsidRDefault="002D4EDE">
      <w:pPr>
        <w:pStyle w:val="Titre1"/>
        <w:spacing w:before="320" w:after="160"/>
      </w:pPr>
      <w:r>
        <w:rPr>
          <w:b/>
          <w:bCs/>
          <w:color w:val="1F3864"/>
        </w:rPr>
        <w:t>2. Tableau récapitulatif — meilleur modèle par horizon</w:t>
      </w:r>
    </w:p>
    <w:tbl>
      <w:tblPr>
        <w:tblW w:w="10783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2551"/>
        <w:gridCol w:w="1418"/>
        <w:gridCol w:w="850"/>
        <w:gridCol w:w="709"/>
        <w:gridCol w:w="851"/>
        <w:gridCol w:w="850"/>
        <w:gridCol w:w="1418"/>
        <w:gridCol w:w="1275"/>
      </w:tblGrid>
      <w:tr w:rsidR="00DC72FD" w:rsidTr="00DC72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61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Horizon</w:t>
            </w:r>
          </w:p>
        </w:tc>
        <w:tc>
          <w:tcPr>
            <w:tcW w:w="2551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Meilleur modèle</w:t>
            </w:r>
          </w:p>
        </w:tc>
        <w:tc>
          <w:tcPr>
            <w:tcW w:w="141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(W/m²)</w:t>
            </w:r>
          </w:p>
        </w:tc>
        <w:tc>
          <w:tcPr>
            <w:tcW w:w="8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nRMSE</w:t>
            </w:r>
          </w:p>
        </w:tc>
        <w:tc>
          <w:tcPr>
            <w:tcW w:w="709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nMAE</w:t>
            </w:r>
          </w:p>
        </w:tc>
        <w:tc>
          <w:tcPr>
            <w:tcW w:w="851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nMBE</w:t>
            </w:r>
          </w:p>
        </w:tc>
        <w:tc>
          <w:tcPr>
            <w:tcW w:w="8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41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Persist. P</w:t>
            </w:r>
          </w:p>
        </w:tc>
        <w:tc>
          <w:tcPr>
            <w:tcW w:w="12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Gain vs P</w:t>
            </w:r>
          </w:p>
        </w:tc>
      </w:tr>
      <w:tr w:rsidR="00DC72FD" w:rsidTr="00DC72FD">
        <w:tblPrEx>
          <w:tblCellMar>
            <w:top w:w="0" w:type="dxa"/>
            <w:bottom w:w="0" w:type="dxa"/>
          </w:tblCellMar>
        </w:tblPrEx>
        <w:tc>
          <w:tcPr>
            <w:tcW w:w="86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0.5 h</w:t>
            </w:r>
          </w:p>
        </w:tc>
        <w:tc>
          <w:tcPr>
            <w:tcW w:w="255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Pr="00DC72FD" w:rsidRDefault="002D4EDE">
            <w:pPr>
              <w:rPr>
                <w:lang w:val="en-US"/>
              </w:rPr>
            </w:pPr>
            <w:r w:rsidRPr="00DC72FD">
              <w:rPr>
                <w:sz w:val="16"/>
                <w:szCs w:val="16"/>
                <w:lang w:val="en-US"/>
              </w:rPr>
              <w:t>ELM (var. rolling 1 an, ridge)</w:t>
            </w:r>
          </w:p>
        </w:tc>
        <w:tc>
          <w:tcPr>
            <w:tcW w:w="14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78.38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0.275</w:t>
            </w:r>
          </w:p>
        </w:tc>
        <w:tc>
          <w:tcPr>
            <w:tcW w:w="70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0.176</w:t>
            </w:r>
          </w:p>
        </w:tc>
        <w:tc>
          <w:tcPr>
            <w:tcW w:w="85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0.0039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0.902</w:t>
            </w:r>
          </w:p>
        </w:tc>
        <w:tc>
          <w:tcPr>
            <w:tcW w:w="14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92.20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-15.0 %</w:t>
            </w:r>
          </w:p>
        </w:tc>
      </w:tr>
      <w:tr w:rsidR="00DC72FD" w:rsidTr="00DC72FD">
        <w:tblPrEx>
          <w:tblCellMar>
            <w:top w:w="0" w:type="dxa"/>
            <w:bottom w:w="0" w:type="dxa"/>
          </w:tblCellMar>
        </w:tblPrEx>
        <w:tc>
          <w:tcPr>
            <w:tcW w:w="86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h</w:t>
            </w:r>
          </w:p>
        </w:tc>
        <w:tc>
          <w:tcPr>
            <w:tcW w:w="25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Pr="00DC72FD" w:rsidRDefault="002D4EDE">
            <w:pPr>
              <w:rPr>
                <w:lang w:val="en-US"/>
              </w:rPr>
            </w:pPr>
            <w:r w:rsidRPr="00DC72FD">
              <w:rPr>
                <w:sz w:val="16"/>
                <w:szCs w:val="16"/>
                <w:lang w:val="en-US"/>
              </w:rPr>
              <w:t>ELM (Ridge / Elastic-Net / Robuste)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94.47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0.331</w:t>
            </w:r>
          </w:p>
        </w:tc>
        <w:tc>
          <w:tcPr>
            <w:tcW w:w="7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0.222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0.0112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0.858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131.99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-28.4 %</w:t>
            </w:r>
          </w:p>
        </w:tc>
      </w:tr>
      <w:tr w:rsidR="00DC72FD" w:rsidTr="00DC72FD">
        <w:tblPrEx>
          <w:tblCellMar>
            <w:top w:w="0" w:type="dxa"/>
            <w:bottom w:w="0" w:type="dxa"/>
          </w:tblCellMar>
        </w:tblPrEx>
        <w:tc>
          <w:tcPr>
            <w:tcW w:w="86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 h</w:t>
            </w:r>
          </w:p>
        </w:tc>
        <w:tc>
          <w:tcPr>
            <w:tcW w:w="255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Pr="00DC72FD" w:rsidRDefault="002D4EDE">
            <w:pPr>
              <w:rPr>
                <w:lang w:val="en-US"/>
              </w:rPr>
            </w:pPr>
            <w:r w:rsidRPr="00DC72FD">
              <w:rPr>
                <w:sz w:val="16"/>
                <w:szCs w:val="16"/>
                <w:lang w:val="en-US"/>
              </w:rPr>
              <w:t>ELM (var. rolling 1 an, ridge)</w:t>
            </w:r>
          </w:p>
        </w:tc>
        <w:tc>
          <w:tcPr>
            <w:tcW w:w="14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122.34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0.430</w:t>
            </w:r>
          </w:p>
        </w:tc>
        <w:tc>
          <w:tcPr>
            <w:tcW w:w="70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0.312</w:t>
            </w:r>
          </w:p>
        </w:tc>
        <w:tc>
          <w:tcPr>
            <w:tcW w:w="85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0.0146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0.762</w:t>
            </w:r>
          </w:p>
        </w:tc>
        <w:tc>
          <w:tcPr>
            <w:tcW w:w="14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263.72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-53.6 %</w:t>
            </w:r>
          </w:p>
        </w:tc>
      </w:tr>
      <w:tr w:rsidR="00DC72FD" w:rsidTr="00DC72FD">
        <w:tblPrEx>
          <w:tblCellMar>
            <w:top w:w="0" w:type="dxa"/>
            <w:bottom w:w="0" w:type="dxa"/>
          </w:tblCellMar>
        </w:tblPrEx>
        <w:tc>
          <w:tcPr>
            <w:tcW w:w="86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 h</w:t>
            </w:r>
          </w:p>
        </w:tc>
        <w:tc>
          <w:tcPr>
            <w:tcW w:w="25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Pr="00DC72FD" w:rsidRDefault="002D4EDE">
            <w:pPr>
              <w:rPr>
                <w:lang w:val="en-US"/>
              </w:rPr>
            </w:pPr>
            <w:r w:rsidRPr="00DC72FD">
              <w:rPr>
                <w:sz w:val="16"/>
                <w:szCs w:val="16"/>
                <w:lang w:val="en-US"/>
              </w:rPr>
              <w:t>ELM_rolling_1m_none (Cox)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135.58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0.476</w:t>
            </w:r>
          </w:p>
        </w:tc>
        <w:tc>
          <w:tcPr>
            <w:tcW w:w="7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0.353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-0.0257</w:t>
            </w:r>
          </w:p>
        </w:tc>
        <w:tc>
          <w:tcPr>
            <w:tcW w:w="85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0.708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377.72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-64.1 %</w:t>
            </w:r>
          </w:p>
        </w:tc>
      </w:tr>
      <w:tr w:rsidR="00DC72FD" w:rsidTr="00DC72FD">
        <w:tblPrEx>
          <w:tblCellMar>
            <w:top w:w="0" w:type="dxa"/>
            <w:bottom w:w="0" w:type="dxa"/>
          </w:tblCellMar>
        </w:tblPrEx>
        <w:tc>
          <w:tcPr>
            <w:tcW w:w="86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 h</w:t>
            </w:r>
          </w:p>
        </w:tc>
        <w:tc>
          <w:tcPr>
            <w:tcW w:w="255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Pr="00DC72FD" w:rsidRDefault="002D4EDE">
            <w:pPr>
              <w:rPr>
                <w:lang w:val="en-US"/>
              </w:rPr>
            </w:pPr>
            <w:r w:rsidRPr="00DC72FD">
              <w:rPr>
                <w:sz w:val="16"/>
                <w:szCs w:val="16"/>
                <w:lang w:val="en-US"/>
              </w:rPr>
              <w:t>ELM_rolling_1m_none (Cox)</w:t>
            </w:r>
          </w:p>
        </w:tc>
        <w:tc>
          <w:tcPr>
            <w:tcW w:w="14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135.83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0.477</w:t>
            </w:r>
          </w:p>
        </w:tc>
        <w:tc>
          <w:tcPr>
            <w:tcW w:w="709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0.354</w:t>
            </w:r>
          </w:p>
        </w:tc>
        <w:tc>
          <w:tcPr>
            <w:tcW w:w="851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-0.0287</w:t>
            </w:r>
          </w:p>
        </w:tc>
        <w:tc>
          <w:tcPr>
            <w:tcW w:w="85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0.707</w:t>
            </w:r>
          </w:p>
        </w:tc>
        <w:tc>
          <w:tcPr>
            <w:tcW w:w="14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391.86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-65.3 %</w:t>
            </w:r>
          </w:p>
        </w:tc>
      </w:tr>
    </w:tbl>
    <w:p w:rsidR="008C2B62" w:rsidRDefault="008C2B62">
      <w:pPr>
        <w:spacing w:after="160" w:line="276" w:lineRule="auto"/>
        <w:jc w:val="both"/>
      </w:pPr>
    </w:p>
    <w:p w:rsidR="008C2B62" w:rsidRDefault="002D4EDE">
      <w:pPr>
        <w:spacing w:after="160" w:line="276" w:lineRule="auto"/>
        <w:jc w:val="both"/>
      </w:pPr>
      <w:r>
        <w:rPr>
          <w:b/>
          <w:bCs/>
          <w:sz w:val="20"/>
          <w:szCs w:val="20"/>
        </w:rPr>
        <w:t xml:space="preserve">Lecture : </w:t>
      </w:r>
      <w:r>
        <w:rPr>
          <w:i/>
          <w:iCs/>
          <w:sz w:val="20"/>
          <w:szCs w:val="20"/>
        </w:rPr>
        <w:t>le « Gain vs Persist. P » correspond à la réduction relative du RMSE du meilleur modèle par rapport au modèle de persistance simple (Persistence_P), pour le même horizon.</w:t>
      </w:r>
    </w:p>
    <w:p w:rsidR="008C2B62" w:rsidRDefault="002D4EDE">
      <w:pPr>
        <w:pStyle w:val="Titre1"/>
        <w:spacing w:before="320" w:after="160"/>
      </w:pPr>
      <w:r>
        <w:rPr>
          <w:b/>
          <w:bCs/>
          <w:color w:val="1F3864"/>
        </w:rPr>
        <w:t>3. Détail par horizon : modèle retenu vs. références de persistance</w:t>
      </w:r>
      <w:bookmarkStart w:id="0" w:name="_GoBack"/>
      <w:bookmarkEnd w:id="0"/>
    </w:p>
    <w:tbl>
      <w:tblPr>
        <w:tblW w:w="8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4"/>
        <w:gridCol w:w="1818"/>
        <w:gridCol w:w="1276"/>
        <w:gridCol w:w="1134"/>
        <w:gridCol w:w="1275"/>
        <w:gridCol w:w="1985"/>
      </w:tblGrid>
      <w:tr w:rsidR="008C2B62" w:rsidTr="00DC72FD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74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Horizon</w:t>
            </w:r>
          </w:p>
        </w:tc>
        <w:tc>
          <w:tcPr>
            <w:tcW w:w="1818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Modèle</w:t>
            </w:r>
          </w:p>
        </w:tc>
        <w:tc>
          <w:tcPr>
            <w:tcW w:w="1276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(W/m²)</w:t>
            </w:r>
          </w:p>
        </w:tc>
        <w:tc>
          <w:tcPr>
            <w:tcW w:w="1134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nRMSE</w:t>
            </w:r>
          </w:p>
        </w:tc>
        <w:tc>
          <w:tcPr>
            <w:tcW w:w="127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1985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Écart RMSE / meilleur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0.5 h</w:t>
            </w: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Meilleur modèle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78.38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0.275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0.902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Blend optimal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85.91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0.301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0.883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+7.5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92.20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0.323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0.865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+13.8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Persistence_Pcyclic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177.46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0.622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0.499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+99.1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 h</w:t>
            </w: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Meilleur modèle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94.47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0.331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0.858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Blend optimal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110.00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0.386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0.808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+15.5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131.99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0.463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0.723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+37.5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Persistence_Pcyclic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177.46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0.622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0.499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+83.0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 h</w:t>
            </w: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Meilleur modèle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122.34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0.430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0.762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Blend optimal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148.13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0.519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0.651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+25.8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263.72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0.924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color w:val="B22222"/>
                <w:sz w:val="18"/>
                <w:szCs w:val="18"/>
              </w:rPr>
              <w:t>-0.105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+141.4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Persistence_Pcyclic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177.46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0.622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0.499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+55.1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 h</w:t>
            </w: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Meilleur modèle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135.58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0.476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0.708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Blend optimal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167.37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0.587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0.555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+31.8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377.72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1.324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color w:val="B22222"/>
                <w:sz w:val="18"/>
                <w:szCs w:val="18"/>
              </w:rPr>
              <w:t>-1.268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+242.1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Persistence_Pcyclic</w:t>
            </w:r>
          </w:p>
        </w:tc>
        <w:tc>
          <w:tcPr>
            <w:tcW w:w="127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177.46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0.622</w:t>
            </w:r>
          </w:p>
        </w:tc>
        <w:tc>
          <w:tcPr>
            <w:tcW w:w="127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0.499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+41.9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 h</w:t>
            </w: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color w:val="1E7145"/>
                <w:sz w:val="18"/>
                <w:szCs w:val="18"/>
              </w:rPr>
              <w:t>Meilleur modèle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135.83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0.477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0.707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Blend optimal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172.22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0.604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0.529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+36.4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391.86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1.375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color w:val="B22222"/>
                <w:sz w:val="18"/>
                <w:szCs w:val="18"/>
              </w:rPr>
              <w:t>-1.441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+256.0 W/m²</w:t>
            </w:r>
          </w:p>
        </w:tc>
      </w:tr>
      <w:tr w:rsidR="008C2B62" w:rsidTr="00DC72F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8C2B62">
            <w:pPr>
              <w:jc w:val="center"/>
            </w:pPr>
          </w:p>
        </w:tc>
        <w:tc>
          <w:tcPr>
            <w:tcW w:w="18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Persistence_Pcyclic</w:t>
            </w:r>
          </w:p>
        </w:tc>
        <w:tc>
          <w:tcPr>
            <w:tcW w:w="127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177.46</w:t>
            </w:r>
          </w:p>
        </w:tc>
        <w:tc>
          <w:tcPr>
            <w:tcW w:w="113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0.622</w:t>
            </w:r>
          </w:p>
        </w:tc>
        <w:tc>
          <w:tcPr>
            <w:tcW w:w="127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0.499</w:t>
            </w:r>
          </w:p>
        </w:tc>
        <w:tc>
          <w:tcPr>
            <w:tcW w:w="198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C2B62" w:rsidRDefault="002D4EDE">
            <w:pPr>
              <w:jc w:val="center"/>
            </w:pPr>
            <w:r>
              <w:rPr>
                <w:sz w:val="18"/>
                <w:szCs w:val="18"/>
              </w:rPr>
              <w:t>+41.6 W/m²</w:t>
            </w:r>
          </w:p>
        </w:tc>
      </w:tr>
    </w:tbl>
    <w:p w:rsidR="008C2B62" w:rsidRDefault="002D4EDE">
      <w:pPr>
        <w:pStyle w:val="Titre1"/>
        <w:spacing w:before="320" w:after="160"/>
      </w:pPr>
      <w:r>
        <w:rPr>
          <w:b/>
          <w:bCs/>
          <w:color w:val="1F3864"/>
        </w:rPr>
        <w:t>4. Analyse des résultats</w:t>
      </w:r>
    </w:p>
    <w:p w:rsidR="008C2B62" w:rsidRDefault="002D4EDE">
      <w:pPr>
        <w:pStyle w:val="Titre2"/>
        <w:spacing w:before="240" w:after="120"/>
      </w:pPr>
      <w:r>
        <w:rPr>
          <w:b/>
          <w:bCs/>
          <w:color w:val="2E5395"/>
        </w:rPr>
        <w:t>4.1 Dégradation des performances avec l'horizon</w:t>
      </w:r>
    </w:p>
    <w:p w:rsidR="008C2B62" w:rsidRDefault="002D4EDE">
      <w:pPr>
        <w:spacing w:after="160" w:line="276" w:lineRule="auto"/>
        <w:jc w:val="both"/>
      </w:pPr>
      <w:r>
        <w:t>Comme attendu, la qualité de la prévision se dégrade progressivement lorsque l'horizon augmente : le RMSE du meilleur modèle passe de 78,4 W/m² à 0,5 h à 135,8 W/m² à 10 h, et le R² correspondant chute de 0,9</w:t>
      </w:r>
      <w:r>
        <w:t>0 à 0,71. Cette dégradation reste néanmoins progressive et maîtrisée, ce qui traduit une bonne capacité des modèles ELM à exploiter l'information disponible même à des horizons éloignés.</w:t>
      </w:r>
    </w:p>
    <w:p w:rsidR="008C2B62" w:rsidRDefault="002D4EDE">
      <w:pPr>
        <w:pStyle w:val="Titre2"/>
        <w:spacing w:before="240" w:after="120"/>
      </w:pPr>
      <w:r>
        <w:rPr>
          <w:b/>
          <w:bCs/>
          <w:color w:val="2E5395"/>
        </w:rPr>
        <w:t>4.2 Les modèles ELM surpassent systématiquement la persistance</w:t>
      </w:r>
    </w:p>
    <w:p w:rsidR="008C2B62" w:rsidRDefault="002D4EDE">
      <w:pPr>
        <w:spacing w:after="160" w:line="276" w:lineRule="auto"/>
        <w:jc w:val="both"/>
      </w:pPr>
      <w:r>
        <w:t>Sur l'</w:t>
      </w:r>
      <w:r>
        <w:t>ensemble des cinq horizons, les meilleures variantes ELM (Ridge, Elastic-Net, fenêtres glissantes 1 an) dominent nettement les modèles de persistance. Le gain en RMSE par rapport à Persistence_P (persistance simple) augmente fortement avec l'horizon : de 1</w:t>
      </w:r>
      <w:r>
        <w:t xml:space="preserve">5 % à 0,5 h, il atteint 28 % à 1 h, 54 % à 3 h et dépasse 65 % à 10 h. Ce phénomène s'explique par le fait que la persistance simple perd toute pertinence à mesure que l'horizon s'allonge — son R² devient même négatif dès 3 h (-0,11) et atteint -1,44 à 10 </w:t>
      </w:r>
      <w:r>
        <w:t>h, signe que cette méthode est moins bonne qu'une simple moyenne.</w:t>
      </w:r>
    </w:p>
    <w:p w:rsidR="008C2B62" w:rsidRDefault="002D4EDE">
      <w:pPr>
        <w:spacing w:after="160" w:line="276" w:lineRule="auto"/>
        <w:jc w:val="both"/>
      </w:pPr>
      <w:r>
        <w:t>Le modèle Persistence_Pcyclic (persistance climatologique/cyclique) se comporte différemment : ses performances (RMSE = 177,5 W/m², R² ≈ 0,50) restent constantes quel que soit l'horizon, pui</w:t>
      </w:r>
      <w:r>
        <w:t>squ'il ne dépend pas de la dernière observation. Il devient ainsi plus compétitif que Persistence_P aux horizons longs (6 h et 10 h), mais demeure très inférieur aux modèles ELM à tous les horizons.</w:t>
      </w:r>
    </w:p>
    <w:p w:rsidR="008C2B62" w:rsidRDefault="002D4EDE">
      <w:pPr>
        <w:pStyle w:val="Titre2"/>
        <w:spacing w:before="240" w:after="120"/>
      </w:pPr>
      <w:r>
        <w:rPr>
          <w:b/>
          <w:bCs/>
          <w:color w:val="2E5395"/>
        </w:rPr>
        <w:t>4.3 Le modèle optimal change selon l'horizon</w:t>
      </w:r>
    </w:p>
    <w:p w:rsidR="008C2B62" w:rsidRDefault="002D4EDE">
      <w:pPr>
        <w:spacing w:after="160" w:line="276" w:lineRule="auto"/>
        <w:jc w:val="both"/>
      </w:pPr>
      <w:r>
        <w:t xml:space="preserve">Le meilleur </w:t>
      </w:r>
      <w:r>
        <w:t>modèle n'est pas le même sur toute la plage d'horizons :</w:t>
      </w:r>
    </w:p>
    <w:p w:rsidR="008C2B62" w:rsidRDefault="002D4EDE">
      <w:pPr>
        <w:pStyle w:val="Paragraphedeliste"/>
        <w:numPr>
          <w:ilvl w:val="0"/>
          <w:numId w:val="1"/>
        </w:numPr>
        <w:spacing w:after="80" w:line="276" w:lineRule="auto"/>
      </w:pPr>
      <w:r>
        <w:t>0,5 h à 3 h : les variantes ELM à fenêtre glissante d'un an (rolling 1y, régularisation Ridge) offrent les meilleures performances (R² de 0,90 à 3 h : 0,76).</w:t>
      </w:r>
    </w:p>
    <w:p w:rsidR="008C2B62" w:rsidRDefault="002D4EDE">
      <w:pPr>
        <w:pStyle w:val="Paragraphedeliste"/>
        <w:numPr>
          <w:ilvl w:val="0"/>
          <w:numId w:val="1"/>
        </w:numPr>
        <w:spacing w:after="80" w:line="276" w:lineRule="auto"/>
      </w:pPr>
      <w:r>
        <w:t>6 h et 10 h : la variante ELM_rolling_1m_</w:t>
      </w:r>
      <w:r>
        <w:t>none (méthode « Cox 1m none », sans réinitialisation cyclique) devient la plus performante, avec un RMSE de 135,6 à 135,8 W/m² et un R² proche de 0,71.</w:t>
      </w:r>
    </w:p>
    <w:p w:rsidR="008C2B62" w:rsidRDefault="002D4EDE">
      <w:pPr>
        <w:spacing w:after="160" w:line="276" w:lineRule="auto"/>
        <w:jc w:val="both"/>
      </w:pPr>
      <w:r>
        <w:t>Ceci suggère qu'aux horizons courts, la mémoire longue (1 an de données) permet de mieux capter la varia</w:t>
      </w:r>
      <w:r>
        <w:t>bilité saisonnière, tandis qu'aux horizons plus longs, une fenêtre d'apprentissage plus courte et sans composante cyclique explicite s'adapte mieux à l'incertitude accrue.</w:t>
      </w:r>
    </w:p>
    <w:p w:rsidR="008C2B62" w:rsidRDefault="002D4EDE">
      <w:pPr>
        <w:pStyle w:val="Titre2"/>
        <w:spacing w:before="240" w:after="120"/>
      </w:pPr>
      <w:r>
        <w:rPr>
          <w:b/>
          <w:bCs/>
          <w:color w:val="2E5395"/>
        </w:rPr>
        <w:t>4.4 La combinaison BLEND n'apporte pas de gain</w:t>
      </w:r>
    </w:p>
    <w:p w:rsidR="008C2B62" w:rsidRDefault="002D4EDE">
      <w:pPr>
        <w:spacing w:after="160" w:line="276" w:lineRule="auto"/>
        <w:jc w:val="both"/>
      </w:pPr>
      <w:r>
        <w:t>La méthode de fusion (Blend_optim / B</w:t>
      </w:r>
      <w:r>
        <w:t>LEND_opti), qui combine plusieurs modèles individuels, reste systématiquement moins performante que le meilleur modèle ELM pris isolément, avec un écart de RMSE compris entre +7 W/m² (0,5 h) et +36 W/m² (10 h). Elle demeure toutefois nettement meilleure qu</w:t>
      </w:r>
      <w:r>
        <w:t>e la persistance. Ce constat suggère que la stratégie de pondération actuelle du blend pourrait être révisée, par exemple en donnant davantage de poids aux variantes ELM les plus performantes identifiées ci-dessus.</w:t>
      </w:r>
    </w:p>
    <w:p w:rsidR="008C2B62" w:rsidRDefault="002D4EDE">
      <w:pPr>
        <w:pStyle w:val="Titre2"/>
        <w:spacing w:before="240" w:after="120"/>
      </w:pPr>
      <w:r>
        <w:rPr>
          <w:b/>
          <w:bCs/>
          <w:color w:val="2E5395"/>
        </w:rPr>
        <w:lastRenderedPageBreak/>
        <w:t>4.5 Biais des modèles</w:t>
      </w:r>
    </w:p>
    <w:p w:rsidR="008C2B62" w:rsidRDefault="002D4EDE">
      <w:pPr>
        <w:spacing w:after="160" w:line="276" w:lineRule="auto"/>
        <w:jc w:val="both"/>
      </w:pPr>
      <w:r>
        <w:t xml:space="preserve">Le biais normalisé </w:t>
      </w:r>
      <w:r>
        <w:t>(nMBE) du meilleur modèle reste faible sur l'ensemble des horizons (entre -0,03 et +0,01), ce qui indique une bonne neutralité des prévisions, sans sur- ou sous-estimation systématique importante du GHI.</w:t>
      </w:r>
    </w:p>
    <w:p w:rsidR="008C2B62" w:rsidRDefault="002D4EDE">
      <w:pPr>
        <w:pStyle w:val="Titre1"/>
        <w:spacing w:before="320" w:after="160"/>
      </w:pPr>
      <w:r>
        <w:rPr>
          <w:b/>
          <w:bCs/>
          <w:color w:val="1F3864"/>
        </w:rPr>
        <w:t>5. Conclusion et recommandations</w:t>
      </w:r>
    </w:p>
    <w:p w:rsidR="008C2B62" w:rsidRDefault="002D4EDE">
      <w:pPr>
        <w:pStyle w:val="Paragraphedeliste"/>
        <w:numPr>
          <w:ilvl w:val="0"/>
          <w:numId w:val="1"/>
        </w:numPr>
        <w:spacing w:after="80" w:line="276" w:lineRule="auto"/>
      </w:pPr>
      <w:r>
        <w:t>Les modèles ELM opt</w:t>
      </w:r>
      <w:r>
        <w:t>imisés surpassent largement les approches de persistance à tous les horizons, avec un gain de RMSE croissant de 15 % (0,5 h) à plus de 65 % (10 h).</w:t>
      </w:r>
    </w:p>
    <w:p w:rsidR="008C2B62" w:rsidRDefault="002D4EDE">
      <w:pPr>
        <w:pStyle w:val="Paragraphedeliste"/>
        <w:numPr>
          <w:ilvl w:val="0"/>
          <w:numId w:val="1"/>
        </w:numPr>
        <w:spacing w:after="80" w:line="276" w:lineRule="auto"/>
      </w:pPr>
      <w:r>
        <w:t>La configuration optimale du modèle ELM (fenêtre d'apprentissage, régularisation) dépend de l'horizon : fenê</w:t>
      </w:r>
      <w:r>
        <w:t>tre longue (1 an) pour les horizons courts (≤ 3 h), fenêtre courte sans cyclicité pour les horizons longs (≥ 6 h).</w:t>
      </w:r>
    </w:p>
    <w:p w:rsidR="008C2B62" w:rsidRDefault="002D4EDE">
      <w:pPr>
        <w:pStyle w:val="Paragraphedeliste"/>
        <w:numPr>
          <w:ilvl w:val="0"/>
          <w:numId w:val="1"/>
        </w:numPr>
        <w:spacing w:after="80" w:line="276" w:lineRule="auto"/>
      </w:pPr>
      <w:r>
        <w:t>La stratégie de blend actuelle mériterait d'être retravaillée, car elle ne permet pas de dépasser les performances du meilleur modèle individ</w:t>
      </w:r>
      <w:r>
        <w:t>uel.</w:t>
      </w:r>
    </w:p>
    <w:p w:rsidR="008C2B62" w:rsidRDefault="002D4EDE">
      <w:pPr>
        <w:pStyle w:val="Paragraphedeliste"/>
        <w:numPr>
          <w:ilvl w:val="0"/>
          <w:numId w:val="1"/>
        </w:numPr>
        <w:spacing w:after="80" w:line="276" w:lineRule="auto"/>
      </w:pPr>
      <w:r>
        <w:t>Le modèle Persistence_Pcyclic constitue une référence plus robuste que Persistence_P aux horizons longs et pourrait être conservé comme repère de comparaison stable.</w:t>
      </w:r>
    </w:p>
    <w:sectPr w:rsidR="008C2B62" w:rsidSect="001065C6">
      <w:headerReference w:type="default" r:id="rId7"/>
      <w:footerReference w:type="default" r:id="rId8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EDE" w:rsidRDefault="002D4EDE">
      <w:r>
        <w:separator/>
      </w:r>
    </w:p>
  </w:endnote>
  <w:endnote w:type="continuationSeparator" w:id="0">
    <w:p w:rsidR="002D4EDE" w:rsidRDefault="002D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2B62" w:rsidRDefault="002D4EDE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DC72FD">
      <w:rPr>
        <w:color w:val="808080"/>
        <w:sz w:val="16"/>
        <w:szCs w:val="16"/>
      </w:rPr>
      <w:fldChar w:fldCharType="separate"/>
    </w:r>
    <w:r w:rsidR="00777D5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 w:rsidR="00DC72FD">
      <w:rPr>
        <w:color w:val="808080"/>
        <w:sz w:val="16"/>
        <w:szCs w:val="16"/>
      </w:rPr>
      <w:fldChar w:fldCharType="separate"/>
    </w:r>
    <w:r w:rsidR="00777D56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EDE" w:rsidRDefault="002D4EDE">
      <w:r>
        <w:separator/>
      </w:r>
    </w:p>
  </w:footnote>
  <w:footnote w:type="continuationSeparator" w:id="0">
    <w:p w:rsidR="002D4EDE" w:rsidRDefault="002D4E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C2B62" w:rsidRDefault="002D4EDE">
    <w:pPr>
      <w:jc w:val="right"/>
    </w:pPr>
    <w:r>
      <w:rPr>
        <w:i/>
        <w:iCs/>
        <w:color w:val="808080"/>
        <w:sz w:val="16"/>
        <w:szCs w:val="16"/>
      </w:rPr>
      <w:t>Prévision du GHI — Synthèse multi-horizons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B671F"/>
    <w:multiLevelType w:val="hybridMultilevel"/>
    <w:tmpl w:val="ABAEADC2"/>
    <w:lvl w:ilvl="0" w:tplc="65D2B242">
      <w:start w:val="1"/>
      <w:numFmt w:val="bullet"/>
      <w:lvlText w:val="●"/>
      <w:lvlJc w:val="left"/>
      <w:pPr>
        <w:ind w:left="720" w:hanging="360"/>
      </w:pPr>
    </w:lvl>
    <w:lvl w:ilvl="1" w:tplc="44ECA470">
      <w:start w:val="1"/>
      <w:numFmt w:val="bullet"/>
      <w:lvlText w:val="○"/>
      <w:lvlJc w:val="left"/>
      <w:pPr>
        <w:ind w:left="1440" w:hanging="360"/>
      </w:pPr>
    </w:lvl>
    <w:lvl w:ilvl="2" w:tplc="C5CCAEF6">
      <w:start w:val="1"/>
      <w:numFmt w:val="bullet"/>
      <w:lvlText w:val="■"/>
      <w:lvlJc w:val="left"/>
      <w:pPr>
        <w:ind w:left="2160" w:hanging="360"/>
      </w:pPr>
    </w:lvl>
    <w:lvl w:ilvl="3" w:tplc="C8D87D9C">
      <w:start w:val="1"/>
      <w:numFmt w:val="bullet"/>
      <w:lvlText w:val="●"/>
      <w:lvlJc w:val="left"/>
      <w:pPr>
        <w:ind w:left="2880" w:hanging="360"/>
      </w:pPr>
    </w:lvl>
    <w:lvl w:ilvl="4" w:tplc="615C8026">
      <w:start w:val="1"/>
      <w:numFmt w:val="bullet"/>
      <w:lvlText w:val="○"/>
      <w:lvlJc w:val="left"/>
      <w:pPr>
        <w:ind w:left="3600" w:hanging="360"/>
      </w:pPr>
    </w:lvl>
    <w:lvl w:ilvl="5" w:tplc="C2BC4DDE">
      <w:start w:val="1"/>
      <w:numFmt w:val="bullet"/>
      <w:lvlText w:val="■"/>
      <w:lvlJc w:val="left"/>
      <w:pPr>
        <w:ind w:left="4320" w:hanging="360"/>
      </w:pPr>
    </w:lvl>
    <w:lvl w:ilvl="6" w:tplc="B7EC8972">
      <w:start w:val="1"/>
      <w:numFmt w:val="bullet"/>
      <w:lvlText w:val="●"/>
      <w:lvlJc w:val="left"/>
      <w:pPr>
        <w:ind w:left="5040" w:hanging="360"/>
      </w:pPr>
    </w:lvl>
    <w:lvl w:ilvl="7" w:tplc="4F62E97C">
      <w:start w:val="1"/>
      <w:numFmt w:val="bullet"/>
      <w:lvlText w:val="●"/>
      <w:lvlJc w:val="left"/>
      <w:pPr>
        <w:ind w:left="5760" w:hanging="360"/>
      </w:pPr>
    </w:lvl>
    <w:lvl w:ilvl="8" w:tplc="E03E61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B62"/>
    <w:rsid w:val="001065C6"/>
    <w:rsid w:val="002D4EDE"/>
    <w:rsid w:val="00777D56"/>
    <w:rsid w:val="008C2B62"/>
    <w:rsid w:val="00DC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A497C08-D820-49B2-9403-98332CCC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1023</Words>
  <Characters>5629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Compte Microsoft</cp:lastModifiedBy>
  <cp:revision>3</cp:revision>
  <dcterms:created xsi:type="dcterms:W3CDTF">2026-09-11T21:54:00Z</dcterms:created>
  <dcterms:modified xsi:type="dcterms:W3CDTF">2026-09-11T23:02:00Z</dcterms:modified>
</cp:coreProperties>
</file>