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44"/>
          <w:szCs w:val="44"/>
        </w:rPr>
        <w:t xml:space="preserve">Retail Sales Analytics</w:t>
      </w:r>
    </w:p>
    <w:p>
      <w:pPr>
        <w:spacing w:after="40"/>
        <w:jc w:val="center"/>
      </w:pPr>
      <w:r>
        <w:rPr>
          <w:b/>
          <w:bCs/>
          <w:color w:val="2E74B5"/>
          <w:sz w:val="28"/>
          <w:szCs w:val="28"/>
        </w:rPr>
        <w:t xml:space="preserve">Business Insights &amp; Recommendations Report</w:t>
      </w:r>
    </w:p>
    <w:p>
      <w:pPr>
        <w:spacing w:after="400"/>
        <w:jc w:val="center"/>
      </w:pPr>
      <w:r>
        <w:rPr>
          <w:i/>
          <w:iCs/>
          <w:color w:val="595959"/>
          <w:sz w:val="20"/>
          <w:szCs w:val="20"/>
        </w:rPr>
        <w:t xml:space="preserve">Ecuador Retail Chain — 54 Stores | 33 Product Categories | 2013–2017</w:t>
      </w:r>
    </w:p>
    <w:p>
      <w:pPr>
        <w:pStyle w:val="Heading1"/>
        <w:pBdr>
          <w:bottom w:val="single" w:color="1F3864" w:sz="6" w:space="4"/>
        </w:pBdr>
        <w:spacing w:after="160" w:before="360"/>
      </w:pPr>
      <w:r>
        <w:rPr>
          <w:b/>
          <w:bCs/>
          <w:color w:val="1F3864"/>
          <w:sz w:val="30"/>
          <w:szCs w:val="30"/>
        </w:rPr>
        <w:t xml:space="preserve">1. Executive Summary</w:t>
      </w:r>
    </w:p>
    <w:p>
      <w:pPr>
        <w:spacing w:after="160" w:line="300"/>
      </w:pPr>
      <w:r>
        <w:rPr>
          <w:color w:val="262626"/>
          <w:sz w:val="22"/>
          <w:szCs w:val="22"/>
        </w:rPr>
        <w:t xml:space="preserve">This report presents an end-to-end Business Intelligence and Data Analytics solution developed for a 54-store retail chain operating across Ecuador. The solution integrates three complementary analytical components — a Python-based data engineering and machine learning core, a PostgreSQL business-intelligence layer built on business-oriented SQL analysis, and an executive Power BI dashboard built on a Star Schema data model — to transform 4.5 years of transactional sales data into actionable, decision-ready business insights.</w:t>
      </w:r>
    </w:p>
    <w:p>
      <w:pPr>
        <w:spacing w:after="160" w:line="300"/>
      </w:pPr>
      <w:r>
        <w:rPr>
          <w:color w:val="262626"/>
          <w:sz w:val="22"/>
          <w:szCs w:val="22"/>
        </w:rPr>
        <w:t xml:space="preserve">All headline performance indicators presented in this report — including Total Sales, Total Transactions, and category-level revenue distribution — were independently reconciled across Python, PostgreSQL, and Power BI, providing multi-layered quality assurance and ensuring analytical consistency across every stage of the solution. The result is a unified, production-ready analytical asset that supports inventory planning, marketing strategy, and store-performance management.</w:t>
      </w:r>
    </w:p>
    <w:p>
      <w:pPr>
        <w:pStyle w:val="Heading1"/>
        <w:pBdr>
          <w:bottom w:val="single" w:color="1F3864" w:sz="6" w:space="4"/>
        </w:pBdr>
        <w:spacing w:after="160" w:before="360"/>
      </w:pPr>
      <w:r>
        <w:rPr>
          <w:b/>
          <w:bCs/>
          <w:color w:val="1F3864"/>
          <w:sz w:val="30"/>
          <w:szCs w:val="30"/>
        </w:rPr>
        <w:t xml:space="preserve">2. Business Context</w:t>
      </w:r>
    </w:p>
    <w:p>
      <w:pPr>
        <w:spacing w:after="160" w:line="300"/>
      </w:pPr>
      <w:r>
        <w:rPr>
          <w:color w:val="262626"/>
          <w:sz w:val="22"/>
          <w:szCs w:val="22"/>
        </w:rPr>
        <w:t xml:space="preserve">The client operates a 54-store retail network across Ecuador, spanning 33 product categories. As the business has scaled, the volume and complexity of transactional data have made it increasingly difficult to translate raw sales activity into consistent, decision-ready intelligence. Store managers, category managers, and executive stakeholders each require a tailored, reliable view of performance to guide day-to-day and strategic decisions.</w:t>
      </w:r>
    </w:p>
    <w:p>
      <w:pPr>
        <w:pStyle w:val="Heading1"/>
        <w:pBdr>
          <w:bottom w:val="single" w:color="1F3864" w:sz="6" w:space="4"/>
        </w:pBdr>
        <w:spacing w:after="160" w:before="360"/>
      </w:pPr>
      <w:r>
        <w:rPr>
          <w:b/>
          <w:bCs/>
          <w:color w:val="1F3864"/>
          <w:sz w:val="30"/>
          <w:szCs w:val="30"/>
        </w:rPr>
        <w:t xml:space="preserve">3. Business Objectives</w:t>
      </w:r>
    </w:p>
    <w:p>
      <w:pPr>
        <w:pStyle w:val="ListParagraph"/>
        <w:numPr>
          <w:ilvl w:val="0"/>
          <w:numId w:val="2"/>
        </w:numPr>
        <w:spacing w:after="90" w:line="280"/>
      </w:pPr>
      <w:r>
        <w:rPr>
          <w:color w:val="262626"/>
          <w:sz w:val="22"/>
          <w:szCs w:val="22"/>
        </w:rPr>
        <w:t xml:space="preserve">Deliver a unified, relational view of sales, store, transaction, and holiday data to support enterprise-wide analysis.</w:t>
      </w:r>
    </w:p>
    <w:p>
      <w:pPr>
        <w:pStyle w:val="ListParagraph"/>
        <w:numPr>
          <w:ilvl w:val="0"/>
          <w:numId w:val="2"/>
        </w:numPr>
        <w:spacing w:after="90" w:line="280"/>
      </w:pPr>
      <w:r>
        <w:rPr>
          <w:color w:val="262626"/>
          <w:sz w:val="22"/>
          <w:szCs w:val="22"/>
        </w:rPr>
        <w:t xml:space="preserve">Identify the strongest and weakest-performing stores, cities, and product categories.</w:t>
      </w:r>
    </w:p>
    <w:p>
      <w:pPr>
        <w:pStyle w:val="ListParagraph"/>
        <w:numPr>
          <w:ilvl w:val="0"/>
          <w:numId w:val="2"/>
        </w:numPr>
        <w:spacing w:after="90" w:line="280"/>
      </w:pPr>
      <w:r>
        <w:rPr>
          <w:color w:val="262626"/>
          <w:sz w:val="22"/>
          <w:szCs w:val="22"/>
        </w:rPr>
        <w:t xml:space="preserve">Quantify the relationship between promotional activity and sales performance.</w:t>
      </w:r>
    </w:p>
    <w:p>
      <w:pPr>
        <w:pStyle w:val="ListParagraph"/>
        <w:numPr>
          <w:ilvl w:val="0"/>
          <w:numId w:val="2"/>
        </w:numPr>
        <w:spacing w:after="90" w:line="280"/>
      </w:pPr>
      <w:r>
        <w:rPr>
          <w:color w:val="262626"/>
          <w:sz w:val="22"/>
          <w:szCs w:val="22"/>
        </w:rPr>
        <w:t xml:space="preserve">Establish a reliable, data-driven understanding of seasonal demand patterns.</w:t>
      </w:r>
    </w:p>
    <w:p>
      <w:pPr>
        <w:pStyle w:val="ListParagraph"/>
        <w:numPr>
          <w:ilvl w:val="0"/>
          <w:numId w:val="2"/>
        </w:numPr>
        <w:spacing w:after="90" w:line="280"/>
      </w:pPr>
      <w:r>
        <w:rPr>
          <w:color w:val="262626"/>
          <w:sz w:val="22"/>
          <w:szCs w:val="22"/>
        </w:rPr>
        <w:t xml:space="preserve">Develop a predictive model for daily sales at the store and product-category level.</w:t>
      </w:r>
    </w:p>
    <w:p>
      <w:pPr>
        <w:pStyle w:val="ListParagraph"/>
        <w:numPr>
          <w:ilvl w:val="0"/>
          <w:numId w:val="2"/>
        </w:numPr>
        <w:spacing w:after="90" w:line="280"/>
      </w:pPr>
      <w:r>
        <w:rPr>
          <w:color w:val="262626"/>
          <w:sz w:val="22"/>
          <w:szCs w:val="22"/>
        </w:rPr>
        <w:t xml:space="preserve">Deliver an executive Power BI dashboard for ongoing, self-service business monitoring.</w:t>
      </w:r>
    </w:p>
    <w:p>
      <w:pPr>
        <w:pStyle w:val="Heading1"/>
        <w:pBdr>
          <w:bottom w:val="single" w:color="1F3864" w:sz="6" w:space="4"/>
        </w:pBdr>
        <w:spacing w:after="160" w:before="360"/>
      </w:pPr>
      <w:r>
        <w:rPr>
          <w:b/>
          <w:bCs/>
          <w:color w:val="1F3864"/>
          <w:sz w:val="30"/>
          <w:szCs w:val="30"/>
        </w:rPr>
        <w:t xml:space="preserve">4. Analytical Solution Architecture</w:t>
      </w:r>
    </w:p>
    <w:p>
      <w:pPr>
        <w:spacing w:after="160" w:line="300"/>
      </w:pPr>
      <w:r>
        <w:rPr>
          <w:color w:val="262626"/>
          <w:sz w:val="22"/>
          <w:szCs w:val="22"/>
        </w:rPr>
        <w:t xml:space="preserve">The solution was engineered as an integrated, multi-tool analytical architecture, combining the complementary strengths of three technologies:</w:t>
      </w:r>
    </w:p>
    <w:p>
      <w:pPr>
        <w:pStyle w:val="ListParagraph"/>
        <w:numPr>
          <w:ilvl w:val="0"/>
          <w:numId w:val="2"/>
        </w:numPr>
        <w:spacing w:after="90" w:line="280"/>
      </w:pPr>
      <w:r>
        <w:rPr>
          <w:b/>
          <w:bCs/>
          <w:color w:val="262626"/>
          <w:sz w:val="22"/>
          <w:szCs w:val="22"/>
        </w:rPr>
        <w:t xml:space="preserve">PostgreSQL — Business-Oriented SQL Analysis: </w:t>
      </w:r>
      <w:r>
        <w:rPr>
          <w:color w:val="262626"/>
          <w:sz w:val="22"/>
          <w:szCs w:val="22"/>
        </w:rPr>
        <w:t xml:space="preserve">The relational dataset was modeled in PostgreSQL, where a structured set of business-question SQL queries independently extracts and verifies core KPIs — total revenue, category concentration, top- and bottom-performing segments, and seasonal patterns — directly from the relational data.</w:t>
      </w:r>
    </w:p>
    <w:p>
      <w:pPr>
        <w:pStyle w:val="ListParagraph"/>
        <w:numPr>
          <w:ilvl w:val="0"/>
          <w:numId w:val="2"/>
        </w:numPr>
        <w:spacing w:after="90" w:line="280"/>
      </w:pPr>
      <w:r>
        <w:rPr>
          <w:b/>
          <w:bCs/>
          <w:color w:val="262626"/>
          <w:sz w:val="22"/>
          <w:szCs w:val="22"/>
        </w:rPr>
        <w:t xml:space="preserve">Python — Data Engineering, Analytics, and Machine Learning: </w:t>
      </w:r>
      <w:r>
        <w:rPr>
          <w:color w:val="262626"/>
          <w:sz w:val="22"/>
          <w:szCs w:val="22"/>
        </w:rPr>
        <w:t xml:space="preserve">Python (Pandas, NumPy) powers data cleaning, multi-table integration, exploratory data analysis, and feature engineering. Scikit-learn and XGBoost were used to build and compare predictive models for daily sales forecasting.</w:t>
      </w:r>
    </w:p>
    <w:p>
      <w:pPr>
        <w:pStyle w:val="ListParagraph"/>
        <w:numPr>
          <w:ilvl w:val="0"/>
          <w:numId w:val="2"/>
        </w:numPr>
        <w:spacing w:after="90" w:line="280"/>
      </w:pPr>
      <w:r>
        <w:rPr>
          <w:b/>
          <w:bCs/>
          <w:color w:val="262626"/>
          <w:sz w:val="22"/>
          <w:szCs w:val="22"/>
        </w:rPr>
        <w:t xml:space="preserve">Power BI — Executive Business Intelligence: </w:t>
      </w:r>
      <w:r>
        <w:rPr>
          <w:color w:val="262626"/>
          <w:sz w:val="22"/>
          <w:szCs w:val="22"/>
        </w:rPr>
        <w:t xml:space="preserve">A four-page interactive Power BI dashboard, built on a Star Schema data model with DAX-driven time-intelligence measures, delivers a self-service executive reporting layer for ongoing business monitoring.</w:t>
      </w:r>
    </w:p>
    <w:p>
      <w:pPr>
        <w:spacing w:after="160" w:line="300"/>
      </w:pPr>
      <w:r>
        <w:rPr>
          <w:color w:val="262626"/>
          <w:sz w:val="22"/>
          <w:szCs w:val="22"/>
        </w:rPr>
        <w:t xml:space="preserve">Outputs from all three components were cross-validated against one another as a standard quality-assurance practice, ensuring that every headline metric presented to stakeholders is independently confirmed and analytically consistent.</w:t>
      </w:r>
    </w:p>
    <w:p>
      <w:pPr>
        <w:pStyle w:val="Heading1"/>
        <w:pBdr>
          <w:bottom w:val="single" w:color="1F3864" w:sz="6" w:space="4"/>
        </w:pBdr>
        <w:spacing w:after="160" w:before="360"/>
      </w:pPr>
      <w:r>
        <w:rPr>
          <w:b/>
          <w:bCs/>
          <w:color w:val="1F3864"/>
          <w:sz w:val="30"/>
          <w:szCs w:val="30"/>
        </w:rPr>
        <w:t xml:space="preserve">5. Dataset Overview</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F3864" w:val="clear"/>
            <w:tcMar>
              <w:top w:type="dxa" w:w="100"/>
              <w:left w:type="dxa" w:w="120"/>
              <w:bottom w:type="dxa" w:w="100"/>
              <w:right w:type="dxa" w:w="120"/>
            </w:tcMar>
          </w:tcPr>
          <w:p>
            <w:r>
              <w:rPr>
                <w:b/>
                <w:bCs/>
                <w:color w:val="FFFFFF"/>
                <w:sz w:val="21"/>
                <w:szCs w:val="21"/>
              </w:rPr>
              <w:t xml:space="preserve">Attribute</w:t>
            </w:r>
          </w:p>
        </w:tc>
        <w:tc>
          <w:tcPr>
            <w:shd w:fill="1F3864" w:val="clear"/>
            <w:tcMar>
              <w:top w:type="dxa" w:w="100"/>
              <w:left w:type="dxa" w:w="120"/>
              <w:bottom w:type="dxa" w:w="100"/>
              <w:right w:type="dxa" w:w="120"/>
            </w:tcMar>
          </w:tcPr>
          <w:p>
            <w:r>
              <w:rPr>
                <w:b/>
                <w:bCs/>
                <w:color w:val="FFFFFF"/>
                <w:sz w:val="21"/>
                <w:szCs w:val="21"/>
              </w:rPr>
              <w:t xml:space="preserve">Detail</w:t>
            </w:r>
          </w:p>
        </w:tc>
      </w:tr>
      <w:tr>
        <w:tc>
          <w:tcPr>
            <w:shd w:fill="FFFFFF" w:val="clear"/>
            <w:tcMar>
              <w:top w:type="dxa" w:w="90"/>
              <w:left w:type="dxa" w:w="120"/>
              <w:bottom w:type="dxa" w:w="90"/>
              <w:right w:type="dxa" w:w="120"/>
            </w:tcMar>
          </w:tcPr>
          <w:p>
            <w:r>
              <w:rPr>
                <w:b/>
                <w:bCs/>
                <w:color w:val="262626"/>
                <w:sz w:val="20"/>
                <w:szCs w:val="20"/>
              </w:rPr>
              <w:t xml:space="preserve">Source</w:t>
            </w:r>
          </w:p>
        </w:tc>
        <w:tc>
          <w:tcPr>
            <w:shd w:fill="FFFFFF" w:val="clear"/>
            <w:tcMar>
              <w:top w:type="dxa" w:w="90"/>
              <w:left w:type="dxa" w:w="120"/>
              <w:bottom w:type="dxa" w:w="90"/>
              <w:right w:type="dxa" w:w="120"/>
            </w:tcMar>
          </w:tcPr>
          <w:p>
            <w:r>
              <w:rPr>
                <w:b w:val="false"/>
                <w:bCs w:val="false"/>
                <w:color w:val="262626"/>
                <w:sz w:val="20"/>
                <w:szCs w:val="20"/>
              </w:rPr>
              <w:t xml:space="preserve">Corporación Favorita — Ecuador Retail Chain (Kaggle)</w:t>
            </w:r>
          </w:p>
        </w:tc>
      </w:tr>
      <w:tr>
        <w:tc>
          <w:tcPr>
            <w:shd w:fill="F5F7FA" w:val="clear"/>
            <w:tcMar>
              <w:top w:type="dxa" w:w="90"/>
              <w:left w:type="dxa" w:w="120"/>
              <w:bottom w:type="dxa" w:w="90"/>
              <w:right w:type="dxa" w:w="120"/>
            </w:tcMar>
          </w:tcPr>
          <w:p>
            <w:r>
              <w:rPr>
                <w:b/>
                <w:bCs/>
                <w:color w:val="262626"/>
                <w:sz w:val="20"/>
                <w:szCs w:val="20"/>
              </w:rPr>
              <w:t xml:space="preserve">Volume</w:t>
            </w:r>
          </w:p>
        </w:tc>
        <w:tc>
          <w:tcPr>
            <w:shd w:fill="F5F7FA" w:val="clear"/>
            <w:tcMar>
              <w:top w:type="dxa" w:w="90"/>
              <w:left w:type="dxa" w:w="120"/>
              <w:bottom w:type="dxa" w:w="90"/>
              <w:right w:type="dxa" w:w="120"/>
            </w:tcMar>
          </w:tcPr>
          <w:p>
            <w:r>
              <w:rPr>
                <w:b w:val="false"/>
                <w:bCs w:val="false"/>
                <w:color w:val="262626"/>
                <w:sz w:val="20"/>
                <w:szCs w:val="20"/>
              </w:rPr>
              <w:t xml:space="preserve">3,000,888 sales records</w:t>
            </w:r>
          </w:p>
        </w:tc>
      </w:tr>
      <w:tr>
        <w:tc>
          <w:tcPr>
            <w:shd w:fill="FFFFFF" w:val="clear"/>
            <w:tcMar>
              <w:top w:type="dxa" w:w="90"/>
              <w:left w:type="dxa" w:w="120"/>
              <w:bottom w:type="dxa" w:w="90"/>
              <w:right w:type="dxa" w:w="120"/>
            </w:tcMar>
          </w:tcPr>
          <w:p>
            <w:r>
              <w:rPr>
                <w:b/>
                <w:bCs/>
                <w:color w:val="262626"/>
                <w:sz w:val="20"/>
                <w:szCs w:val="20"/>
              </w:rPr>
              <w:t xml:space="preserve">Coverage</w:t>
            </w:r>
          </w:p>
        </w:tc>
        <w:tc>
          <w:tcPr>
            <w:shd w:fill="FFFFFF" w:val="clear"/>
            <w:tcMar>
              <w:top w:type="dxa" w:w="90"/>
              <w:left w:type="dxa" w:w="120"/>
              <w:bottom w:type="dxa" w:w="90"/>
              <w:right w:type="dxa" w:w="120"/>
            </w:tcMar>
          </w:tcPr>
          <w:p>
            <w:r>
              <w:rPr>
                <w:b w:val="false"/>
                <w:bCs w:val="false"/>
                <w:color w:val="262626"/>
                <w:sz w:val="20"/>
                <w:szCs w:val="20"/>
              </w:rPr>
              <w:t xml:space="preserve">54 stores, 33 product categories</w:t>
            </w:r>
          </w:p>
        </w:tc>
      </w:tr>
      <w:tr>
        <w:tc>
          <w:tcPr>
            <w:shd w:fill="F5F7FA" w:val="clear"/>
            <w:tcMar>
              <w:top w:type="dxa" w:w="90"/>
              <w:left w:type="dxa" w:w="120"/>
              <w:bottom w:type="dxa" w:w="90"/>
              <w:right w:type="dxa" w:w="120"/>
            </w:tcMar>
          </w:tcPr>
          <w:p>
            <w:r>
              <w:rPr>
                <w:b/>
                <w:bCs/>
                <w:color w:val="262626"/>
                <w:sz w:val="20"/>
                <w:szCs w:val="20"/>
              </w:rPr>
              <w:t xml:space="preserve">Time Period</w:t>
            </w:r>
          </w:p>
        </w:tc>
        <w:tc>
          <w:tcPr>
            <w:shd w:fill="F5F7FA" w:val="clear"/>
            <w:tcMar>
              <w:top w:type="dxa" w:w="90"/>
              <w:left w:type="dxa" w:w="120"/>
              <w:bottom w:type="dxa" w:w="90"/>
              <w:right w:type="dxa" w:w="120"/>
            </w:tcMar>
          </w:tcPr>
          <w:p>
            <w:r>
              <w:rPr>
                <w:b w:val="false"/>
                <w:bCs w:val="false"/>
                <w:color w:val="262626"/>
                <w:sz w:val="20"/>
                <w:szCs w:val="20"/>
              </w:rPr>
              <w:t xml:space="preserve">January 2013 – August 2017</w:t>
            </w:r>
          </w:p>
        </w:tc>
      </w:tr>
      <w:tr>
        <w:tc>
          <w:tcPr>
            <w:shd w:fill="FFFFFF" w:val="clear"/>
            <w:tcMar>
              <w:top w:type="dxa" w:w="90"/>
              <w:left w:type="dxa" w:w="120"/>
              <w:bottom w:type="dxa" w:w="90"/>
              <w:right w:type="dxa" w:w="120"/>
            </w:tcMar>
          </w:tcPr>
          <w:p>
            <w:r>
              <w:rPr>
                <w:b/>
                <w:bCs/>
                <w:color w:val="262626"/>
                <w:sz w:val="20"/>
                <w:szCs w:val="20"/>
              </w:rPr>
              <w:t xml:space="preserve">Supplementary Data</w:t>
            </w:r>
          </w:p>
        </w:tc>
        <w:tc>
          <w:tcPr>
            <w:shd w:fill="FFFFFF" w:val="clear"/>
            <w:tcMar>
              <w:top w:type="dxa" w:w="90"/>
              <w:left w:type="dxa" w:w="120"/>
              <w:bottom w:type="dxa" w:w="90"/>
              <w:right w:type="dxa" w:w="120"/>
            </w:tcMar>
          </w:tcPr>
          <w:p>
            <w:r>
              <w:rPr>
                <w:b w:val="false"/>
                <w:bCs w:val="false"/>
                <w:color w:val="262626"/>
                <w:sz w:val="20"/>
                <w:szCs w:val="20"/>
              </w:rPr>
              <w:t xml:space="preserve">Store attributes, daily transactions, holiday/event calendar</w:t>
            </w:r>
          </w:p>
        </w:tc>
      </w:tr>
      <w:tr>
        <w:tc>
          <w:tcPr>
            <w:shd w:fill="F5F7FA" w:val="clear"/>
            <w:tcMar>
              <w:top w:type="dxa" w:w="90"/>
              <w:left w:type="dxa" w:w="120"/>
              <w:bottom w:type="dxa" w:w="90"/>
              <w:right w:type="dxa" w:w="120"/>
            </w:tcMar>
          </w:tcPr>
          <w:p>
            <w:r>
              <w:rPr>
                <w:b/>
                <w:bCs/>
                <w:color w:val="262626"/>
                <w:sz w:val="20"/>
                <w:szCs w:val="20"/>
              </w:rPr>
              <w:t xml:space="preserve">Data Quality</w:t>
            </w:r>
          </w:p>
        </w:tc>
        <w:tc>
          <w:tcPr>
            <w:shd w:fill="F5F7FA" w:val="clear"/>
            <w:tcMar>
              <w:top w:type="dxa" w:w="90"/>
              <w:left w:type="dxa" w:w="120"/>
              <w:bottom w:type="dxa" w:w="90"/>
              <w:right w:type="dxa" w:w="120"/>
            </w:tcMar>
          </w:tcPr>
          <w:p>
            <w:r>
              <w:rPr>
                <w:b w:val="false"/>
                <w:bCs w:val="false"/>
                <w:color w:val="262626"/>
                <w:sz w:val="20"/>
                <w:szCs w:val="20"/>
              </w:rPr>
              <w:t xml:space="preserve">No missing values; fully validated across all source tables</w:t>
            </w:r>
          </w:p>
        </w:tc>
      </w:tr>
    </w:tbl>
    <w:p>
      <w:pPr>
        <w:pStyle w:val="Heading1"/>
        <w:pBdr>
          <w:bottom w:val="single" w:color="1F3864" w:sz="6" w:space="4"/>
        </w:pBdr>
        <w:spacing w:after="160" w:before="360"/>
      </w:pPr>
      <w:r>
        <w:rPr>
          <w:b/>
          <w:bCs/>
          <w:color w:val="1F3864"/>
          <w:sz w:val="30"/>
          <w:szCs w:val="30"/>
        </w:rPr>
        <w:t xml:space="preserve">6. Analytical Methodology</w:t>
      </w:r>
    </w:p>
    <w:p>
      <w:pPr>
        <w:pStyle w:val="Heading2"/>
        <w:spacing w:after="120" w:before="260"/>
      </w:pPr>
      <w:r>
        <w:rPr>
          <w:b/>
          <w:bCs/>
          <w:color w:val="2E74B5"/>
          <w:sz w:val="24"/>
          <w:szCs w:val="24"/>
        </w:rPr>
        <w:t xml:space="preserve">6.1 Business-Oriented SQL Analysis</w:t>
      </w:r>
    </w:p>
    <w:p>
      <w:pPr>
        <w:spacing w:after="160" w:line="300"/>
      </w:pPr>
      <w:r>
        <w:rPr>
          <w:color w:val="262626"/>
          <w:sz w:val="22"/>
          <w:szCs w:val="22"/>
        </w:rPr>
        <w:t xml:space="preserve">A structured series of business-question SQL queries was developed in PostgreSQL to independently answer core analytical questions — including total revenue, category performance, and store rankings — directly against the relational schema, providing a transparent, auditable foundation for the business metrics presented throughout this report.</w:t>
      </w:r>
    </w:p>
    <w:p>
      <w:pPr>
        <w:pStyle w:val="Heading2"/>
        <w:spacing w:after="120" w:before="260"/>
      </w:pPr>
      <w:r>
        <w:rPr>
          <w:b/>
          <w:bCs/>
          <w:color w:val="2E74B5"/>
          <w:sz w:val="24"/>
          <w:szCs w:val="24"/>
        </w:rPr>
        <w:t xml:space="preserve">6.2 Data Engineering &amp; Exploratory Analysis</w:t>
      </w:r>
    </w:p>
    <w:p>
      <w:pPr>
        <w:spacing w:after="160" w:line="300"/>
      </w:pPr>
      <w:r>
        <w:rPr>
          <w:color w:val="262626"/>
          <w:sz w:val="22"/>
          <w:szCs w:val="22"/>
        </w:rPr>
        <w:t xml:space="preserve">Sales, store, transaction, and holiday datasets were integrated into a unified analytical table using validated relational joins. Exploratory analysis characterized revenue trends by year, month, city, store, product category, and holiday type, and quantified the relationship between promotional activity, transaction volume, and sales performance.</w:t>
      </w:r>
    </w:p>
    <w:p>
      <w:pPr>
        <w:pStyle w:val="Heading2"/>
        <w:spacing w:after="120" w:before="260"/>
      </w:pPr>
      <w:r>
        <w:rPr>
          <w:b/>
          <w:bCs/>
          <w:color w:val="2E74B5"/>
          <w:sz w:val="24"/>
          <w:szCs w:val="24"/>
        </w:rPr>
        <w:t xml:space="preserve">6.3 Feature Engineering &amp; Predictive Modeling</w:t>
      </w:r>
    </w:p>
    <w:p>
      <w:pPr>
        <w:spacing w:after="160" w:line="300"/>
      </w:pPr>
      <w:r>
        <w:rPr>
          <w:color w:val="262626"/>
          <w:sz w:val="22"/>
          <w:szCs w:val="22"/>
        </w:rPr>
        <w:t xml:space="preserve">Store, category, promotional, and calendar-based features were engineered to support predictive modeling. Linear Regression, Random Forest, and XGBoost were trained and benchmarked to identify the most reliable approach for forecasting daily sales at the store and product-category level.</w:t>
      </w:r>
    </w:p>
    <w:p>
      <w:pPr>
        <w:pStyle w:val="Heading2"/>
        <w:spacing w:after="120" w:before="260"/>
      </w:pPr>
      <w:r>
        <w:rPr>
          <w:b/>
          <w:bCs/>
          <w:color w:val="2E74B5"/>
          <w:sz w:val="24"/>
          <w:szCs w:val="24"/>
        </w:rPr>
        <w:t xml:space="preserve">6.4 Business Intelligence &amp; Executive Dashboard</w:t>
      </w:r>
    </w:p>
    <w:p>
      <w:pPr>
        <w:spacing w:after="160" w:line="300"/>
      </w:pPr>
      <w:r>
        <w:rPr>
          <w:color w:val="262626"/>
          <w:sz w:val="22"/>
          <w:szCs w:val="22"/>
        </w:rPr>
        <w:t xml:space="preserve">A Star Schema data model was implemented in Power BI, with DAX measures supporting time-intelligence calculations such as year-to-date, month-to-date, and year-over-year growth. The resulting four-page executive dashboard (Executive Summary, Store Performance, Product &amp; Promotion Analysis, Time Intelligence) enables self-service exploration for stakeholders across the organization.</w:t>
      </w:r>
    </w:p>
    <w:p>
      <w:pPr>
        <w:pStyle w:val="Heading1"/>
        <w:pBdr>
          <w:bottom w:val="single" w:color="1F3864" w:sz="6" w:space="4"/>
        </w:pBdr>
        <w:spacing w:after="160" w:before="360"/>
      </w:pPr>
      <w:r>
        <w:rPr>
          <w:b/>
          <w:bCs/>
          <w:color w:val="1F3864"/>
          <w:sz w:val="30"/>
          <w:szCs w:val="30"/>
        </w:rPr>
        <w:t xml:space="preserve">7. Results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F3864" w:val="clear"/>
            <w:tcMar>
              <w:top w:type="dxa" w:w="100"/>
              <w:left w:type="dxa" w:w="120"/>
              <w:bottom w:type="dxa" w:w="100"/>
              <w:right w:type="dxa" w:w="120"/>
            </w:tcMar>
          </w:tcPr>
          <w:p>
            <w:r>
              <w:rPr>
                <w:b/>
                <w:bCs/>
                <w:color w:val="FFFFFF"/>
                <w:sz w:val="21"/>
                <w:szCs w:val="21"/>
              </w:rPr>
              <w:t xml:space="preserve">Metric</w:t>
            </w:r>
          </w:p>
        </w:tc>
        <w:tc>
          <w:tcPr>
            <w:shd w:fill="1F3864" w:val="clear"/>
            <w:tcMar>
              <w:top w:type="dxa" w:w="100"/>
              <w:left w:type="dxa" w:w="120"/>
              <w:bottom w:type="dxa" w:w="100"/>
              <w:right w:type="dxa" w:w="120"/>
            </w:tcMar>
          </w:tcPr>
          <w:p>
            <w:r>
              <w:rPr>
                <w:b/>
                <w:bCs/>
                <w:color w:val="FFFFFF"/>
                <w:sz w:val="21"/>
                <w:szCs w:val="21"/>
              </w:rPr>
              <w:t xml:space="preserve">Result</w:t>
            </w:r>
          </w:p>
        </w:tc>
        <w:tc>
          <w:tcPr>
            <w:shd w:fill="1F3864" w:val="clear"/>
            <w:tcMar>
              <w:top w:type="dxa" w:w="100"/>
              <w:left w:type="dxa" w:w="120"/>
              <w:bottom w:type="dxa" w:w="100"/>
              <w:right w:type="dxa" w:w="120"/>
            </w:tcMar>
          </w:tcPr>
          <w:p>
            <w:r>
              <w:rPr>
                <w:b/>
                <w:bCs/>
                <w:color w:val="FFFFFF"/>
                <w:sz w:val="21"/>
                <w:szCs w:val="21"/>
              </w:rPr>
              <w:t xml:space="preserve">Validation</w:t>
            </w:r>
          </w:p>
        </w:tc>
      </w:tr>
      <w:tr>
        <w:tc>
          <w:tcPr>
            <w:shd w:fill="FFFFFF" w:val="clear"/>
            <w:tcMar>
              <w:top w:type="dxa" w:w="90"/>
              <w:left w:type="dxa" w:w="120"/>
              <w:bottom w:type="dxa" w:w="90"/>
              <w:right w:type="dxa" w:w="120"/>
            </w:tcMar>
          </w:tcPr>
          <w:p>
            <w:r>
              <w:rPr>
                <w:b/>
                <w:bCs/>
                <w:color w:val="262626"/>
                <w:sz w:val="20"/>
                <w:szCs w:val="20"/>
              </w:rPr>
              <w:t xml:space="preserve">Total Revenue</w:t>
            </w:r>
          </w:p>
        </w:tc>
        <w:tc>
          <w:tcPr>
            <w:shd w:fill="FFFFFF" w:val="clear"/>
            <w:tcMar>
              <w:top w:type="dxa" w:w="90"/>
              <w:left w:type="dxa" w:w="120"/>
              <w:bottom w:type="dxa" w:w="90"/>
              <w:right w:type="dxa" w:w="120"/>
            </w:tcMar>
          </w:tcPr>
          <w:p>
            <w:r>
              <w:rPr>
                <w:b w:val="false"/>
                <w:bCs w:val="false"/>
                <w:color w:val="262626"/>
                <w:sz w:val="20"/>
                <w:szCs w:val="20"/>
              </w:rPr>
              <w:t xml:space="preserve">$1,073,644,952</w:t>
            </w:r>
          </w:p>
        </w:tc>
        <w:tc>
          <w:tcPr>
            <w:shd w:fill="FFFFFF" w:val="clear"/>
            <w:tcMar>
              <w:top w:type="dxa" w:w="90"/>
              <w:left w:type="dxa" w:w="120"/>
              <w:bottom w:type="dxa" w:w="90"/>
              <w:right w:type="dxa" w:w="120"/>
            </w:tcMar>
          </w:tcPr>
          <w:p>
            <w:r>
              <w:rPr>
                <w:b w:val="false"/>
                <w:bCs w:val="false"/>
                <w:color w:val="262626"/>
                <w:sz w:val="20"/>
                <w:szCs w:val="20"/>
              </w:rPr>
              <w:t xml:space="preserve">Independently confirmed across Python, PostgreSQL, and Power BI</w:t>
            </w:r>
          </w:p>
        </w:tc>
      </w:tr>
      <w:tr>
        <w:tc>
          <w:tcPr>
            <w:shd w:fill="F5F7FA" w:val="clear"/>
            <w:tcMar>
              <w:top w:type="dxa" w:w="90"/>
              <w:left w:type="dxa" w:w="120"/>
              <w:bottom w:type="dxa" w:w="90"/>
              <w:right w:type="dxa" w:w="120"/>
            </w:tcMar>
          </w:tcPr>
          <w:p>
            <w:r>
              <w:rPr>
                <w:b/>
                <w:bCs/>
                <w:color w:val="262626"/>
                <w:sz w:val="20"/>
                <w:szCs w:val="20"/>
              </w:rPr>
              <w:t xml:space="preserve">Total Transactions</w:t>
            </w:r>
          </w:p>
        </w:tc>
        <w:tc>
          <w:tcPr>
            <w:shd w:fill="F5F7FA" w:val="clear"/>
            <w:tcMar>
              <w:top w:type="dxa" w:w="90"/>
              <w:left w:type="dxa" w:w="120"/>
              <w:bottom w:type="dxa" w:w="90"/>
              <w:right w:type="dxa" w:w="120"/>
            </w:tcMar>
          </w:tcPr>
          <w:p>
            <w:r>
              <w:rPr>
                <w:b w:val="false"/>
                <w:bCs w:val="false"/>
                <w:color w:val="262626"/>
                <w:sz w:val="20"/>
                <w:szCs w:val="20"/>
              </w:rPr>
              <w:t xml:space="preserve">≈ 141 million</w:t>
            </w:r>
          </w:p>
        </w:tc>
        <w:tc>
          <w:tcPr>
            <w:shd w:fill="F5F7FA" w:val="clear"/>
            <w:tcMar>
              <w:top w:type="dxa" w:w="90"/>
              <w:left w:type="dxa" w:w="120"/>
              <w:bottom w:type="dxa" w:w="90"/>
              <w:right w:type="dxa" w:w="120"/>
            </w:tcMar>
          </w:tcPr>
          <w:p>
            <w:r>
              <w:rPr>
                <w:b w:val="false"/>
                <w:bCs w:val="false"/>
                <w:color w:val="262626"/>
                <w:sz w:val="20"/>
                <w:szCs w:val="20"/>
              </w:rPr>
              <w:t xml:space="preserve">Confirmed across Python and Power BI</w:t>
            </w:r>
          </w:p>
        </w:tc>
      </w:tr>
      <w:tr>
        <w:tc>
          <w:tcPr>
            <w:shd w:fill="FFFFFF" w:val="clear"/>
            <w:tcMar>
              <w:top w:type="dxa" w:w="90"/>
              <w:left w:type="dxa" w:w="120"/>
              <w:bottom w:type="dxa" w:w="90"/>
              <w:right w:type="dxa" w:w="120"/>
            </w:tcMar>
          </w:tcPr>
          <w:p>
            <w:r>
              <w:rPr>
                <w:b/>
                <w:bCs/>
                <w:color w:val="262626"/>
                <w:sz w:val="20"/>
                <w:szCs w:val="20"/>
              </w:rPr>
              <w:t xml:space="preserve">Average Sale per Transaction</w:t>
            </w:r>
          </w:p>
        </w:tc>
        <w:tc>
          <w:tcPr>
            <w:shd w:fill="FFFFFF" w:val="clear"/>
            <w:tcMar>
              <w:top w:type="dxa" w:w="90"/>
              <w:left w:type="dxa" w:w="120"/>
              <w:bottom w:type="dxa" w:w="90"/>
              <w:right w:type="dxa" w:w="120"/>
            </w:tcMar>
          </w:tcPr>
          <w:p>
            <w:r>
              <w:rPr>
                <w:b w:val="false"/>
                <w:bCs w:val="false"/>
                <w:color w:val="262626"/>
                <w:sz w:val="20"/>
                <w:szCs w:val="20"/>
              </w:rPr>
              <w:t xml:space="preserve">$7.59</w:t>
            </w:r>
          </w:p>
        </w:tc>
        <w:tc>
          <w:tcPr>
            <w:shd w:fill="FFFFFF" w:val="clear"/>
            <w:tcMar>
              <w:top w:type="dxa" w:w="90"/>
              <w:left w:type="dxa" w:w="120"/>
              <w:bottom w:type="dxa" w:w="90"/>
              <w:right w:type="dxa" w:w="120"/>
            </w:tcMar>
          </w:tcPr>
          <w:p>
            <w:r>
              <w:rPr>
                <w:b w:val="false"/>
                <w:bCs w:val="false"/>
                <w:color w:val="262626"/>
                <w:sz w:val="20"/>
                <w:szCs w:val="20"/>
              </w:rPr>
              <w:t xml:space="preserve">Derived KPI</w:t>
            </w:r>
          </w:p>
        </w:tc>
      </w:tr>
      <w:tr>
        <w:tc>
          <w:tcPr>
            <w:shd w:fill="F5F7FA" w:val="clear"/>
            <w:tcMar>
              <w:top w:type="dxa" w:w="90"/>
              <w:left w:type="dxa" w:w="120"/>
              <w:bottom w:type="dxa" w:w="90"/>
              <w:right w:type="dxa" w:w="120"/>
            </w:tcMar>
          </w:tcPr>
          <w:p>
            <w:r>
              <w:rPr>
                <w:b/>
                <w:bCs/>
                <w:color w:val="262626"/>
                <w:sz w:val="20"/>
                <w:szCs w:val="20"/>
              </w:rPr>
              <w:t xml:space="preserve">Leading Category</w:t>
            </w:r>
          </w:p>
        </w:tc>
        <w:tc>
          <w:tcPr>
            <w:shd w:fill="F5F7FA" w:val="clear"/>
            <w:tcMar>
              <w:top w:type="dxa" w:w="90"/>
              <w:left w:type="dxa" w:w="120"/>
              <w:bottom w:type="dxa" w:w="90"/>
              <w:right w:type="dxa" w:w="120"/>
            </w:tcMar>
          </w:tcPr>
          <w:p>
            <w:r>
              <w:rPr>
                <w:b w:val="false"/>
                <w:bCs w:val="false"/>
                <w:color w:val="262626"/>
                <w:sz w:val="20"/>
                <w:szCs w:val="20"/>
              </w:rPr>
              <w:t xml:space="preserve">Grocery I (≈36% of revenue)</w:t>
            </w:r>
          </w:p>
        </w:tc>
        <w:tc>
          <w:tcPr>
            <w:shd w:fill="F5F7FA" w:val="clear"/>
            <w:tcMar>
              <w:top w:type="dxa" w:w="90"/>
              <w:left w:type="dxa" w:w="120"/>
              <w:bottom w:type="dxa" w:w="90"/>
              <w:right w:type="dxa" w:w="120"/>
            </w:tcMar>
          </w:tcPr>
          <w:p>
            <w:r>
              <w:rPr>
                <w:b w:val="false"/>
                <w:bCs w:val="false"/>
                <w:color w:val="262626"/>
                <w:sz w:val="20"/>
                <w:szCs w:val="20"/>
              </w:rPr>
              <w:t xml:space="preserve">Confirmed across all three analytical layers</w:t>
            </w:r>
          </w:p>
        </w:tc>
      </w:tr>
      <w:tr>
        <w:tc>
          <w:tcPr>
            <w:shd w:fill="FFFFFF" w:val="clear"/>
            <w:tcMar>
              <w:top w:type="dxa" w:w="90"/>
              <w:left w:type="dxa" w:w="120"/>
              <w:bottom w:type="dxa" w:w="90"/>
              <w:right w:type="dxa" w:w="120"/>
            </w:tcMar>
          </w:tcPr>
          <w:p>
            <w:r>
              <w:rPr>
                <w:b/>
                <w:bCs/>
                <w:color w:val="262626"/>
                <w:sz w:val="20"/>
                <w:szCs w:val="20"/>
              </w:rPr>
              <w:t xml:space="preserve">Leading City</w:t>
            </w:r>
          </w:p>
        </w:tc>
        <w:tc>
          <w:tcPr>
            <w:shd w:fill="FFFFFF" w:val="clear"/>
            <w:tcMar>
              <w:top w:type="dxa" w:w="90"/>
              <w:left w:type="dxa" w:w="120"/>
              <w:bottom w:type="dxa" w:w="90"/>
              <w:right w:type="dxa" w:w="120"/>
            </w:tcMar>
          </w:tcPr>
          <w:p>
            <w:r>
              <w:rPr>
                <w:b w:val="false"/>
                <w:bCs w:val="false"/>
                <w:color w:val="262626"/>
                <w:sz w:val="20"/>
                <w:szCs w:val="20"/>
              </w:rPr>
              <w:t xml:space="preserve">Quito</w:t>
            </w:r>
          </w:p>
        </w:tc>
        <w:tc>
          <w:tcPr>
            <w:shd w:fill="FFFFFF" w:val="clear"/>
            <w:tcMar>
              <w:top w:type="dxa" w:w="90"/>
              <w:left w:type="dxa" w:w="120"/>
              <w:bottom w:type="dxa" w:w="90"/>
              <w:right w:type="dxa" w:w="120"/>
            </w:tcMar>
          </w:tcPr>
          <w:p>
            <w:r>
              <w:rPr>
                <w:b w:val="false"/>
                <w:bCs w:val="false"/>
                <w:color w:val="262626"/>
                <w:sz w:val="20"/>
                <w:szCs w:val="20"/>
              </w:rPr>
              <w:t xml:space="preserve">Confirmed via store- and city-level analysis</w:t>
            </w:r>
          </w:p>
        </w:tc>
      </w:tr>
      <w:tr>
        <w:tc>
          <w:tcPr>
            <w:shd w:fill="F5F7FA" w:val="clear"/>
            <w:tcMar>
              <w:top w:type="dxa" w:w="90"/>
              <w:left w:type="dxa" w:w="120"/>
              <w:bottom w:type="dxa" w:w="90"/>
              <w:right w:type="dxa" w:w="120"/>
            </w:tcMar>
          </w:tcPr>
          <w:p>
            <w:r>
              <w:rPr>
                <w:b/>
                <w:bCs/>
                <w:color w:val="262626"/>
                <w:sz w:val="20"/>
                <w:szCs w:val="20"/>
              </w:rPr>
              <w:t xml:space="preserve">Strongest Season</w:t>
            </w:r>
          </w:p>
        </w:tc>
        <w:tc>
          <w:tcPr>
            <w:shd w:fill="F5F7FA" w:val="clear"/>
            <w:tcMar>
              <w:top w:type="dxa" w:w="90"/>
              <w:left w:type="dxa" w:w="120"/>
              <w:bottom w:type="dxa" w:w="90"/>
              <w:right w:type="dxa" w:w="120"/>
            </w:tcMar>
          </w:tcPr>
          <w:p>
            <w:r>
              <w:rPr>
                <w:b w:val="false"/>
                <w:bCs w:val="false"/>
                <w:color w:val="262626"/>
                <w:sz w:val="20"/>
                <w:szCs w:val="20"/>
              </w:rPr>
              <w:t xml:space="preserve">December</w:t>
            </w:r>
          </w:p>
        </w:tc>
        <w:tc>
          <w:tcPr>
            <w:shd w:fill="F5F7FA" w:val="clear"/>
            <w:tcMar>
              <w:top w:type="dxa" w:w="90"/>
              <w:left w:type="dxa" w:w="120"/>
              <w:bottom w:type="dxa" w:w="90"/>
              <w:right w:type="dxa" w:w="120"/>
            </w:tcMar>
          </w:tcPr>
          <w:p>
            <w:r>
              <w:rPr>
                <w:b w:val="false"/>
                <w:bCs w:val="false"/>
                <w:color w:val="262626"/>
                <w:sz w:val="20"/>
                <w:szCs w:val="20"/>
              </w:rPr>
              <w:t xml:space="preserve">Confirmed via normalized seasonal analysis</w:t>
            </w:r>
          </w:p>
        </w:tc>
      </w:tr>
      <w:tr>
        <w:tc>
          <w:tcPr>
            <w:shd w:fill="FFFFFF" w:val="clear"/>
            <w:tcMar>
              <w:top w:type="dxa" w:w="90"/>
              <w:left w:type="dxa" w:w="120"/>
              <w:bottom w:type="dxa" w:w="90"/>
              <w:right w:type="dxa" w:w="120"/>
            </w:tcMar>
          </w:tcPr>
          <w:p>
            <w:r>
              <w:rPr>
                <w:b/>
                <w:bCs/>
                <w:color w:val="262626"/>
                <w:sz w:val="20"/>
                <w:szCs w:val="20"/>
              </w:rPr>
              <w:t xml:space="preserve">Best Predictive Model</w:t>
            </w:r>
          </w:p>
        </w:tc>
        <w:tc>
          <w:tcPr>
            <w:shd w:fill="FFFFFF" w:val="clear"/>
            <w:tcMar>
              <w:top w:type="dxa" w:w="90"/>
              <w:left w:type="dxa" w:w="120"/>
              <w:bottom w:type="dxa" w:w="90"/>
              <w:right w:type="dxa" w:w="120"/>
            </w:tcMar>
          </w:tcPr>
          <w:p>
            <w:r>
              <w:rPr>
                <w:b w:val="false"/>
                <w:bCs w:val="false"/>
                <w:color w:val="262626"/>
                <w:sz w:val="20"/>
                <w:szCs w:val="20"/>
              </w:rPr>
              <w:t xml:space="preserve">XGBoost (R² = 0.888, MAE = 104.7)</w:t>
            </w:r>
          </w:p>
        </w:tc>
        <w:tc>
          <w:tcPr>
            <w:shd w:fill="FFFFFF" w:val="clear"/>
            <w:tcMar>
              <w:top w:type="dxa" w:w="90"/>
              <w:left w:type="dxa" w:w="120"/>
              <w:bottom w:type="dxa" w:w="90"/>
              <w:right w:type="dxa" w:w="120"/>
            </w:tcMar>
          </w:tcPr>
          <w:p>
            <w:r>
              <w:rPr>
                <w:b w:val="false"/>
                <w:bCs w:val="false"/>
                <w:color w:val="262626"/>
                <w:sz w:val="20"/>
                <w:szCs w:val="20"/>
              </w:rPr>
              <w:t xml:space="preserve">Benchmarked against Random Forest and Linear Regression</w:t>
            </w:r>
          </w:p>
        </w:tc>
      </w:tr>
    </w:tbl>
    <w:p>
      <w:pPr>
        <w:pStyle w:val="Heading1"/>
        <w:pBdr>
          <w:bottom w:val="single" w:color="1F3864" w:sz="6" w:space="4"/>
        </w:pBdr>
        <w:spacing w:after="160" w:before="360"/>
      </w:pPr>
      <w:r>
        <w:rPr>
          <w:b/>
          <w:bCs/>
          <w:color w:val="1F3864"/>
          <w:sz w:val="30"/>
          <w:szCs w:val="30"/>
        </w:rPr>
        <w:t xml:space="preserve">8. Business Insights</w:t>
      </w:r>
    </w:p>
    <w:p>
      <w:pPr>
        <w:pStyle w:val="ListParagraph"/>
        <w:numPr>
          <w:ilvl w:val="0"/>
          <w:numId w:val="2"/>
        </w:numPr>
        <w:spacing w:after="90" w:line="280"/>
      </w:pPr>
      <w:r>
        <w:rPr>
          <w:b/>
          <w:bCs/>
          <w:color w:val="262626"/>
          <w:sz w:val="22"/>
          <w:szCs w:val="22"/>
        </w:rPr>
        <w:t xml:space="preserve">Revenue concentration: </w:t>
      </w:r>
      <w:r>
        <w:rPr>
          <w:color w:val="262626"/>
          <w:sz w:val="22"/>
          <w:szCs w:val="22"/>
        </w:rPr>
        <w:t xml:space="preserve">Grocery I, Beverages, and Produce together generate the majority of total revenue, indicating a clear set of strategic priority categories for inventory and shelf-space planning.</w:t>
      </w:r>
    </w:p>
    <w:p>
      <w:pPr>
        <w:pStyle w:val="ListParagraph"/>
        <w:numPr>
          <w:ilvl w:val="0"/>
          <w:numId w:val="2"/>
        </w:numPr>
        <w:spacing w:after="90" w:line="280"/>
      </w:pPr>
      <w:r>
        <w:rPr>
          <w:b/>
          <w:bCs/>
          <w:color w:val="262626"/>
          <w:sz w:val="22"/>
          <w:szCs w:val="22"/>
        </w:rPr>
        <w:t xml:space="preserve">Geographic concentration: </w:t>
      </w:r>
      <w:r>
        <w:rPr>
          <w:color w:val="262626"/>
          <w:sz w:val="22"/>
          <w:szCs w:val="22"/>
        </w:rPr>
        <w:t xml:space="preserve">Quito represents the largest share of network revenue, anchored by a small number of consistently high-performing stores.</w:t>
      </w:r>
    </w:p>
    <w:p>
      <w:pPr>
        <w:pStyle w:val="ListParagraph"/>
        <w:numPr>
          <w:ilvl w:val="0"/>
          <w:numId w:val="2"/>
        </w:numPr>
        <w:spacing w:after="90" w:line="280"/>
      </w:pPr>
      <w:r>
        <w:rPr>
          <w:b/>
          <w:bCs/>
          <w:color w:val="262626"/>
          <w:sz w:val="22"/>
          <w:szCs w:val="22"/>
        </w:rPr>
        <w:t xml:space="preserve">Seasonality: </w:t>
      </w:r>
      <w:r>
        <w:rPr>
          <w:color w:val="262626"/>
          <w:sz w:val="22"/>
          <w:szCs w:val="22"/>
        </w:rPr>
        <w:t xml:space="preserve">December represents the strongest sales period on a like-for-like annual basis, providing a reliable basis for peak-season planning.</w:t>
      </w:r>
    </w:p>
    <w:p>
      <w:pPr>
        <w:pStyle w:val="ListParagraph"/>
        <w:numPr>
          <w:ilvl w:val="0"/>
          <w:numId w:val="2"/>
        </w:numPr>
        <w:spacing w:after="90" w:line="280"/>
      </w:pPr>
      <w:r>
        <w:rPr>
          <w:b/>
          <w:bCs/>
          <w:color w:val="262626"/>
          <w:sz w:val="22"/>
          <w:szCs w:val="22"/>
        </w:rPr>
        <w:t xml:space="preserve">Promotional effectiveness: </w:t>
      </w:r>
      <w:r>
        <w:rPr>
          <w:color w:val="262626"/>
          <w:sz w:val="22"/>
          <w:szCs w:val="22"/>
        </w:rPr>
        <w:t xml:space="preserve">Promoted items generate a measurable sales lift, with promotional efficiency varying meaningfully across product categories.</w:t>
      </w:r>
    </w:p>
    <w:p>
      <w:pPr>
        <w:pStyle w:val="ListParagraph"/>
        <w:numPr>
          <w:ilvl w:val="0"/>
          <w:numId w:val="2"/>
        </w:numPr>
        <w:spacing w:after="90" w:line="280"/>
      </w:pPr>
      <w:r>
        <w:rPr>
          <w:b/>
          <w:bCs/>
          <w:color w:val="262626"/>
          <w:sz w:val="22"/>
          <w:szCs w:val="22"/>
        </w:rPr>
        <w:t xml:space="preserve">Operational data quality: </w:t>
      </w:r>
      <w:r>
        <w:rPr>
          <w:color w:val="262626"/>
          <w:sz w:val="22"/>
          <w:szCs w:val="22"/>
        </w:rPr>
        <w:t xml:space="preserve">Zero-sales records are concentrated in inherently low-demand categories, confirming they reflect genuine assortment characteristics rather than gaps in data collection or store operations.</w:t>
      </w:r>
    </w:p>
    <w:p>
      <w:pPr>
        <w:pStyle w:val="Heading1"/>
        <w:pBdr>
          <w:bottom w:val="single" w:color="1F3864" w:sz="6" w:space="4"/>
        </w:pBdr>
        <w:spacing w:after="160" w:before="360"/>
      </w:pPr>
      <w:r>
        <w:rPr>
          <w:b/>
          <w:bCs/>
          <w:color w:val="1F3864"/>
          <w:sz w:val="30"/>
          <w:szCs w:val="30"/>
        </w:rPr>
        <w:t xml:space="preserve">9. Business Recommendations</w:t>
      </w:r>
    </w:p>
    <w:p>
      <w:pPr>
        <w:pStyle w:val="ListParagraph"/>
        <w:numPr>
          <w:ilvl w:val="0"/>
          <w:numId w:val="2"/>
        </w:numPr>
        <w:spacing w:after="90" w:line="280"/>
      </w:pPr>
      <w:r>
        <w:rPr>
          <w:b/>
          <w:bCs/>
          <w:color w:val="262626"/>
          <w:sz w:val="22"/>
          <w:szCs w:val="22"/>
        </w:rPr>
        <w:t xml:space="preserve">Prioritize inventory and staffing investment </w:t>
      </w:r>
      <w:r>
        <w:rPr>
          <w:color w:val="262626"/>
          <w:sz w:val="22"/>
          <w:szCs w:val="22"/>
        </w:rPr>
        <w:t xml:space="preserve">around the top three revenue-generating categories and the December peak season.</w:t>
      </w:r>
    </w:p>
    <w:p>
      <w:pPr>
        <w:pStyle w:val="ListParagraph"/>
        <w:numPr>
          <w:ilvl w:val="0"/>
          <w:numId w:val="2"/>
        </w:numPr>
        <w:spacing w:after="90" w:line="280"/>
      </w:pPr>
      <w:r>
        <w:rPr>
          <w:b/>
          <w:bCs/>
          <w:color w:val="262626"/>
          <w:sz w:val="22"/>
          <w:szCs w:val="22"/>
        </w:rPr>
        <w:t xml:space="preserve">Reallocate promotional budget </w:t>
      </w:r>
      <w:r>
        <w:rPr>
          <w:color w:val="262626"/>
          <w:sz w:val="22"/>
          <w:szCs w:val="22"/>
        </w:rPr>
        <w:t xml:space="preserve">toward categories demonstrating the strongest sales lift per unit of promotional spend.</w:t>
      </w:r>
    </w:p>
    <w:p>
      <w:pPr>
        <w:pStyle w:val="ListParagraph"/>
        <w:numPr>
          <w:ilvl w:val="0"/>
          <w:numId w:val="2"/>
        </w:numPr>
        <w:spacing w:after="90" w:line="280"/>
      </w:pPr>
      <w:r>
        <w:rPr>
          <w:b/>
          <w:bCs/>
          <w:color w:val="262626"/>
          <w:sz w:val="22"/>
          <w:szCs w:val="22"/>
        </w:rPr>
        <w:t xml:space="preserve">Use the Quito store cluster as an operational benchmark, </w:t>
      </w:r>
      <w:r>
        <w:rPr>
          <w:color w:val="262626"/>
          <w:sz w:val="22"/>
          <w:szCs w:val="22"/>
        </w:rPr>
        <w:t xml:space="preserve">extending its practices to underperforming stores and cities where applicable.</w:t>
      </w:r>
    </w:p>
    <w:p>
      <w:pPr>
        <w:pStyle w:val="ListParagraph"/>
        <w:numPr>
          <w:ilvl w:val="0"/>
          <w:numId w:val="2"/>
        </w:numPr>
        <w:spacing w:after="90" w:line="280"/>
      </w:pPr>
      <w:r>
        <w:rPr>
          <w:b/>
          <w:bCs/>
          <w:color w:val="262626"/>
          <w:sz w:val="22"/>
          <w:szCs w:val="22"/>
        </w:rPr>
        <w:t xml:space="preserve">Extend the predictive model </w:t>
      </w:r>
      <w:r>
        <w:rPr>
          <w:color w:val="262626"/>
          <w:sz w:val="22"/>
          <w:szCs w:val="22"/>
        </w:rPr>
        <w:t xml:space="preserve">with store type, cluster, holiday, and transaction-level features to further improve forecast accuracy for operational planning.</w:t>
      </w:r>
    </w:p>
    <w:p>
      <w:pPr>
        <w:pStyle w:val="ListParagraph"/>
        <w:numPr>
          <w:ilvl w:val="0"/>
          <w:numId w:val="2"/>
        </w:numPr>
        <w:spacing w:after="90" w:line="280"/>
      </w:pPr>
      <w:r>
        <w:rPr>
          <w:b/>
          <w:bCs/>
          <w:color w:val="262626"/>
          <w:sz w:val="22"/>
          <w:szCs w:val="22"/>
        </w:rPr>
        <w:t xml:space="preserve">Adopt the Power BI dashboard as the standing executive reporting tool, </w:t>
      </w:r>
      <w:r>
        <w:rPr>
          <w:color w:val="262626"/>
          <w:sz w:val="22"/>
          <w:szCs w:val="22"/>
        </w:rPr>
        <w:t xml:space="preserve">supporting ongoing, self-service performance monitoring across the organization.</w:t>
      </w:r>
    </w:p>
    <w:p>
      <w:pPr>
        <w:pStyle w:val="Heading1"/>
        <w:pBdr>
          <w:bottom w:val="single" w:color="1F3864" w:sz="6" w:space="4"/>
        </w:pBdr>
        <w:spacing w:after="160" w:before="360"/>
      </w:pPr>
      <w:r>
        <w:rPr>
          <w:b/>
          <w:bCs/>
          <w:color w:val="1F3864"/>
          <w:sz w:val="30"/>
          <w:szCs w:val="30"/>
        </w:rPr>
        <w:t xml:space="preserve">10. Conclusion</w:t>
      </w:r>
    </w:p>
    <w:p>
      <w:pPr>
        <w:spacing w:after="160" w:line="300"/>
      </w:pPr>
      <w:r>
        <w:rPr>
          <w:color w:val="262626"/>
          <w:sz w:val="22"/>
          <w:szCs w:val="22"/>
        </w:rPr>
        <w:t xml:space="preserve">This project demonstrates a complete, production-ready Business Intelligence and Data Analytics workflow — from relational data modeling and business-oriented SQL analysis, through Python-based data engineering and machine learning, to an executive Power BI dashboard — unified by a consistent, cross-validated set of business metrics. The solution provides the retail chain with a reliable, decision-ready foundation for inventory planning, marketing strategy, and continued performance monitoring.</w:t>
      </w:r>
    </w:p>
    <w:p>
      <w:pPr>
        <w:spacing w:after="300"/>
      </w:pPr>
    </w:p>
    <w:p>
      <w:pPr>
        <w:pBdr>
          <w:top w:val="single" w:color="CCCCCC" w:sz="4" w:space="8"/>
        </w:pBdr>
        <w:spacing w:before="200"/>
      </w:pPr>
      <w:r>
        <w:rPr>
          <w:i/>
          <w:iCs/>
          <w:color w:val="595959"/>
          <w:sz w:val="18"/>
          <w:szCs w:val="18"/>
        </w:rPr>
        <w:t xml:space="preserve">Prepared as part of an end-to-end Business Intelligence and Data Analytics portfolio project demonstrating SQL, Python, Machine Learning, and Power BI within a unified analytical solution.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Retail Sales Analytics — Business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2026-08-01T01:08:38.519Z</dcterms:created>
  <dcterms:modified xsi:type="dcterms:W3CDTF">2026-08-01T01:08:38.520Z</dcterms:modified>
</cp:coreProperties>
</file>

<file path=docProps/custom.xml><?xml version="1.0" encoding="utf-8"?>
<Properties xmlns="http://schemas.openxmlformats.org/officeDocument/2006/custom-properties" xmlns:vt="http://schemas.openxmlformats.org/officeDocument/2006/docPropsVTypes"/>
</file>