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SHAREHOLDER AGREEMENT</w:t>
      </w:r>
    </w:p>
    <w:p/>
    <w:p>
      <w:pPr>
        <w:jc w:val="center"/>
      </w:pPr>
      <w:r>
        <w:rPr>
          <w:b/>
          <w:sz w:val="36"/>
        </w:rPr>
        <w:t>petfolioo.com AB</w:t>
      </w:r>
    </w:p>
    <w:p/>
    <w:p>
      <w:pPr>
        <w:jc w:val="center"/>
      </w:pPr>
      <w:r>
        <w:rPr>
          <w:sz w:val="24"/>
        </w:rPr>
        <w:t>Between the Shareholders of petfolioo.com AB</w:t>
        <w:br/>
      </w:r>
      <w:r>
        <w:rPr>
          <w:sz w:val="24"/>
        </w:rPr>
        <w:t>Registered in Helsingborg, Sweden</w:t>
        <w:br/>
        <w:br/>
      </w:r>
      <w:r>
        <w:rPr>
          <w:sz w:val="22"/>
        </w:rPr>
        <w:t>Governed by Swedish Law</w:t>
        <w:br/>
        <w:br/>
      </w:r>
      <w:r>
        <w:rPr>
          <w:sz w:val="22"/>
        </w:rPr>
        <w:t>Date: ________________</w:t>
        <w:br/>
      </w:r>
      <w:r>
        <w:rPr>
          <w:sz w:val="22"/>
        </w:rPr>
        <w:t>Place: Helsingborg, Sweden</w:t>
      </w:r>
    </w:p>
    <w:p>
      <w:r>
        <w:br w:type="page"/>
      </w:r>
    </w:p>
    <w:p>
      <w:pPr>
        <w:pStyle w:val="Heading1"/>
      </w:pPr>
      <w:r>
        <w:t>TABLE OF CONTENTS</w:t>
      </w:r>
    </w:p>
    <w:p>
      <w:r>
        <w:t>1. Parties</w:t>
      </w:r>
    </w:p>
    <w:p>
      <w:r>
        <w:t>2. Background and Purpose</w:t>
      </w:r>
    </w:p>
    <w:p>
      <w:r>
        <w:t>3. Company Information</w:t>
      </w:r>
    </w:p>
    <w:p>
      <w:r>
        <w:t>4. Share Ownership</w:t>
      </w:r>
    </w:p>
    <w:p>
      <w:r>
        <w:t>5. Board of Directors</w:t>
      </w:r>
    </w:p>
    <w:p>
      <w:r>
        <w:t>6. Decision Making and Governance</w:t>
      </w:r>
    </w:p>
    <w:p>
      <w:r>
        <w:t>7. Roles and Responsibilities</w:t>
      </w:r>
    </w:p>
    <w:p>
      <w:r>
        <w:t>8. Contribution Requirements</w:t>
      </w:r>
    </w:p>
    <w:p>
      <w:r>
        <w:t>9. Intellectual Property</w:t>
      </w:r>
    </w:p>
    <w:p>
      <w:r>
        <w:t>10. Financial Management</w:t>
      </w:r>
    </w:p>
    <w:p>
      <w:r>
        <w:t>11. Share Transfer and Exit Provisions</w:t>
      </w:r>
    </w:p>
    <w:p>
      <w:r>
        <w:t>12. Succession and Inheritance</w:t>
      </w:r>
    </w:p>
    <w:p>
      <w:r>
        <w:t>13. Non-Compete</w:t>
      </w:r>
    </w:p>
    <w:p>
      <w:r>
        <w:t>14. Confidentiality</w:t>
      </w:r>
    </w:p>
    <w:p>
      <w:r>
        <w:t>15. Breach and Consequences</w:t>
      </w:r>
    </w:p>
    <w:p>
      <w:r>
        <w:t>16. Dispute Resolution</w:t>
      </w:r>
    </w:p>
    <w:p>
      <w:r>
        <w:t>17. Amendments and Review</w:t>
      </w:r>
    </w:p>
    <w:p>
      <w:r>
        <w:t>18. Entire Agreement and Severability</w:t>
      </w:r>
    </w:p>
    <w:p>
      <w:r>
        <w:t>19. Execution</w:t>
      </w:r>
    </w:p>
    <w:p>
      <w:r>
        <w:t>20. Signatures</w:t>
      </w:r>
    </w:p>
    <w:p>
      <w:r>
        <w:br w:type="page"/>
      </w:r>
    </w:p>
    <w:p>
      <w:pPr>
        <w:pStyle w:val="Heading1"/>
      </w:pPr>
      <w:r>
        <w:t>1. PARTIES</w:t>
      </w:r>
    </w:p>
    <w:p>
      <w:r>
        <w:rPr>
          <w:i/>
        </w:rPr>
        <w:t>Legal basis: Aktiebolagslagen (2005:551) Chapter 1; Avtalslagen (1915:218) Sections 1 to 9</w:t>
      </w:r>
    </w:p>
    <w:p>
      <w:pPr>
        <w:pStyle w:val="Heading2"/>
      </w:pPr>
      <w:r>
        <w:t>1.1 Partner 1</w:t>
      </w:r>
    </w:p>
    <w:p>
      <w:r>
        <w:rPr>
          <w:b/>
        </w:rPr>
        <w:t xml:space="preserve">Full Legal Name: </w:t>
      </w:r>
      <w:r>
        <w:t>Abdelaziz Ibrahim Abdelaziz Allam</w:t>
        <w:br/>
      </w:r>
      <w:r>
        <w:rPr>
          <w:b/>
        </w:rPr>
        <w:t xml:space="preserve">Personal Number: </w:t>
      </w:r>
      <w:r>
        <w:t>890718-6194</w:t>
        <w:br/>
      </w:r>
      <w:r>
        <w:rPr>
          <w:b/>
        </w:rPr>
        <w:t xml:space="preserve">Address: </w:t>
      </w:r>
      <w:r>
        <w:t>Helsingborg, Sweden</w:t>
        <w:br/>
      </w:r>
      <w:r>
        <w:rPr>
          <w:b/>
        </w:rPr>
        <w:t xml:space="preserve">Shareholding: </w:t>
      </w:r>
      <w:r>
        <w:t>67%</w:t>
      </w:r>
    </w:p>
    <w:p>
      <w:pPr>
        <w:pStyle w:val="Heading2"/>
      </w:pPr>
      <w:r>
        <w:t>1.2 Partner 2</w:t>
      </w:r>
    </w:p>
    <w:p>
      <w:r>
        <w:rPr>
          <w:b/>
        </w:rPr>
        <w:t xml:space="preserve">Full Legal Name: </w:t>
      </w:r>
      <w:r>
        <w:t>Pavneet Singh</w:t>
        <w:br/>
      </w:r>
      <w:r>
        <w:rPr>
          <w:b/>
        </w:rPr>
        <w:t xml:space="preserve">Personal Number: </w:t>
      </w:r>
      <w:r>
        <w:t>810704-3237</w:t>
        <w:br/>
      </w:r>
      <w:r>
        <w:rPr>
          <w:b/>
        </w:rPr>
        <w:t xml:space="preserve">Address: </w:t>
      </w:r>
      <w:r>
        <w:t>Helsingborg, Sweden</w:t>
        <w:br/>
      </w:r>
      <w:r>
        <w:rPr>
          <w:b/>
        </w:rPr>
        <w:t xml:space="preserve">Shareholding: </w:t>
      </w:r>
      <w:r>
        <w:t>33%</w:t>
      </w:r>
    </w:p>
    <w:p>
      <w:r>
        <w:t>Together referred to as "the Partners" and individually as "a Partner."</w:t>
      </w:r>
    </w:p>
    <w:p>
      <w:pPr>
        <w:pStyle w:val="Heading1"/>
      </w:pPr>
      <w:r>
        <w:t>2. BACKGROUND AND PURPOSE</w:t>
      </w:r>
    </w:p>
    <w:p>
      <w:r>
        <w:rPr>
          <w:i/>
        </w:rPr>
        <w:t>Legal basis: Avtalslagen (1915:218) Sections 1 and 2 regarding offer and acceptance; Aktiebolagslagen Chapter 1, Section 3 regarding limited liability</w:t>
      </w:r>
    </w:p>
    <w:p>
      <w:r>
        <w:rPr>
          <w:b/>
        </w:rPr>
        <w:t xml:space="preserve">2.1 </w:t>
      </w:r>
      <w:r>
        <w:t>petfolioo.com is a digital platform and mobile application for pet care management. The application was conceived and developed by Partner 1, who has invited Partner 2 to join as a co-owner with a 33% shareholding.</w:t>
      </w:r>
    </w:p>
    <w:p>
      <w:r>
        <w:rPr>
          <w:b/>
        </w:rPr>
        <w:t xml:space="preserve">2.2 </w:t>
      </w:r>
      <w:r>
        <w:t>The Partners have agreed to collaborate on the continued growth and development of petfolioo.com, with Partner 1 focusing on technology and product development, and Partner 2 focusing on marketing, media campaigns, social media, and business growth.</w:t>
      </w:r>
    </w:p>
    <w:p>
      <w:r>
        <w:rPr>
          <w:b/>
        </w:rPr>
        <w:t xml:space="preserve">2.3 </w:t>
      </w:r>
      <w:r>
        <w:t>The purpose of this Agreement is to regulate the relationship between the Partners, clarify their respective rights and obligations, protect both parties' interests, and ensure the long-term success of petfolioo.com in accordance with Swedish law.</w:t>
      </w:r>
    </w:p>
    <w:p>
      <w:r>
        <w:rPr>
          <w:b/>
        </w:rPr>
        <w:t xml:space="preserve">2.4 </w:t>
      </w:r>
      <w:r>
        <w:t>Both Partners enter into this Agreement voluntarily, in good faith, and with full understanding of its terms, as required by Avtalslagen Sections 28 to 33 (free from duress, fraud, or undue influence).</w:t>
      </w:r>
    </w:p>
    <w:p>
      <w:pPr>
        <w:pStyle w:val="Heading1"/>
      </w:pPr>
      <w:r>
        <w:t>3. COMPANY INFORMATION</w:t>
      </w:r>
    </w:p>
    <w:p>
      <w:r>
        <w:rPr>
          <w:i/>
        </w:rPr>
        <w:t>Legal basis: Aktiebolagslagen Chapter 2 (formation of companies) and Chapter 3 (articles of association)</w:t>
      </w:r>
    </w:p>
    <w:p>
      <w:r>
        <w:rPr>
          <w:b/>
        </w:rPr>
        <w:t xml:space="preserve">Company Name: </w:t>
      </w:r>
      <w:r>
        <w:t>petfolioo.com AB</w:t>
        <w:br/>
      </w:r>
      <w:r>
        <w:rPr>
          <w:b/>
        </w:rPr>
        <w:t xml:space="preserve">Organisation Number: </w:t>
      </w:r>
      <w:r>
        <w:t>[To be inserted upon registration]</w:t>
        <w:br/>
      </w:r>
      <w:r>
        <w:rPr>
          <w:b/>
        </w:rPr>
        <w:t xml:space="preserve">Legal Form: </w:t>
      </w:r>
      <w:r>
        <w:t>Aktiebolag (AB), Swedish Private Limited Company</w:t>
        <w:br/>
      </w:r>
      <w:r>
        <w:rPr>
          <w:b/>
        </w:rPr>
        <w:t xml:space="preserve">Registered Office: </w:t>
      </w:r>
      <w:r>
        <w:t>Helsingborg, Sweden</w:t>
        <w:br/>
      </w:r>
      <w:r>
        <w:rPr>
          <w:b/>
        </w:rPr>
        <w:t xml:space="preserve">Share Capital: </w:t>
      </w:r>
      <w:r>
        <w:t>25,000 SEK</w:t>
        <w:br/>
      </w:r>
      <w:r>
        <w:rPr>
          <w:b/>
        </w:rPr>
        <w:t xml:space="preserve">Number of Shares: </w:t>
      </w:r>
      <w:r>
        <w:t>1,000 shares (670 held by Partner 1; 330 held by Partner 2)</w:t>
        <w:br/>
      </w:r>
      <w:r>
        <w:rPr>
          <w:b/>
        </w:rPr>
        <w:t xml:space="preserve">Financial Year: </w:t>
      </w:r>
      <w:r>
        <w:t>1 January to 31 December</w:t>
        <w:br/>
      </w:r>
      <w:r>
        <w:rPr>
          <w:b/>
        </w:rPr>
        <w:t xml:space="preserve">Business Activity: </w:t>
      </w:r>
      <w:r>
        <w:t>Development and operation of a digital pet care platform and related services</w:t>
      </w:r>
    </w:p>
    <w:p>
      <w:pPr>
        <w:pStyle w:val="Heading1"/>
      </w:pPr>
      <w:r>
        <w:t>4. SHARE OWNERSHIP</w:t>
      </w:r>
    </w:p>
    <w:p>
      <w:r>
        <w:rPr>
          <w:i/>
        </w:rPr>
        <w:t>Legal basis: Aktiebolagslagen Chapter 4 (shares and share register); Chapter 5, Section 1 (voting rights at the shareholders' meeting based on shares held)</w:t>
      </w:r>
    </w:p>
    <w:p>
      <w:r>
        <w:rPr>
          <w:b/>
        </w:rPr>
        <w:t xml:space="preserve">4.1 </w:t>
      </w:r>
      <w:r>
        <w:t>The share capital of 25,000 SEK is divided as follows:</w:t>
      </w:r>
    </w:p>
    <w:p>
      <w:pPr>
        <w:pStyle w:val="ListBullet"/>
      </w:pPr>
      <w:r>
        <w:t>Partner 1: 670 shares (67%), representing a capital contribution of 16,750 SEK</w:t>
      </w:r>
    </w:p>
    <w:p>
      <w:pPr>
        <w:pStyle w:val="ListBullet"/>
      </w:pPr>
      <w:r>
        <w:t>Partner 2: 330 shares (33%), representing a capital contribution of 8,250 SEK</w:t>
      </w:r>
    </w:p>
    <w:p>
      <w:r>
        <w:rPr>
          <w:b/>
        </w:rPr>
        <w:t xml:space="preserve">4.2 </w:t>
      </w:r>
      <w:r>
        <w:t>Each share carries one vote at the shareholders' meeting (bolagsstämma), in accordance with Aktiebolagslagen Chapter 7, Section 8. Partner 1's 67% constitutes a simple majority for all ordinary resolutions.</w:t>
      </w:r>
    </w:p>
    <w:p>
      <w:r>
        <w:rPr>
          <w:b/>
        </w:rPr>
        <w:t xml:space="preserve">4.3 </w:t>
      </w:r>
      <w:r>
        <w:t>Both Partners' shares are fully owned from the date of this Agreement. Each Partner is entitled to all rights attached to their shares, including voting rights, dividend rights, and rights upon liquidation, proportional to their shareholding.</w:t>
      </w:r>
    </w:p>
    <w:p>
      <w:r>
        <w:rPr>
          <w:b/>
        </w:rPr>
        <w:t xml:space="preserve">4.4 </w:t>
      </w:r>
      <w:r>
        <w:t>Neither Partner may pledge, encumber, or use their shares as collateral without the prior written consent of the other Partner.</w:t>
      </w:r>
    </w:p>
    <w:p>
      <w:pPr>
        <w:pStyle w:val="Heading1"/>
      </w:pPr>
      <w:r>
        <w:t>5. BOARD OF DIRECTORS</w:t>
      </w:r>
    </w:p>
    <w:p>
      <w:r>
        <w:rPr>
          <w:i/>
        </w:rPr>
        <w:t>Legal basis: Aktiebolagslagen Chapter 8, Sections 1 to 22 (board composition, duties, appointment of chairman, and casting vote)</w:t>
      </w:r>
    </w:p>
    <w:p>
      <w:r>
        <w:rPr>
          <w:b/>
        </w:rPr>
        <w:t xml:space="preserve">5.1 </w:t>
      </w:r>
      <w:r>
        <w:t>The Board of Directors (styrelse) shall consist of two members:</w:t>
      </w:r>
    </w:p>
    <w:p>
      <w:pPr>
        <w:pStyle w:val="ListBullet"/>
      </w:pPr>
      <w:r>
        <w:t>Partner 1 as Chairman of the Board (styrelseordförande)</w:t>
      </w:r>
    </w:p>
    <w:p>
      <w:pPr>
        <w:pStyle w:val="ListBullet"/>
      </w:pPr>
      <w:r>
        <w:t>Partner 2 as Board Member (styrelseledamot)</w:t>
      </w:r>
    </w:p>
    <w:p>
      <w:r>
        <w:rPr>
          <w:b/>
        </w:rPr>
        <w:t xml:space="preserve">5.2 </w:t>
      </w:r>
      <w:r>
        <w:t xml:space="preserve">The Chairman is elected by the Board. In accordance with Aktiebolagslagen Chapter 8, Section 22, in the event of a tied vote at the Board level, </w:t>
      </w:r>
      <w:r>
        <w:rPr>
          <w:b/>
        </w:rPr>
        <w:t>the Chairman shall have the casting vote.</w:t>
      </w:r>
    </w:p>
    <w:p>
      <w:r>
        <w:rPr>
          <w:b/>
        </w:rPr>
        <w:t xml:space="preserve">5.3 </w:t>
      </w:r>
      <w:r>
        <w:t>Board meetings shall be held at minimum once every six months. Either Partner may call an extraordinary meeting with 14 days written notice. Meetings may be held digitally.</w:t>
      </w:r>
    </w:p>
    <w:p>
      <w:r>
        <w:rPr>
          <w:b/>
        </w:rPr>
        <w:t xml:space="preserve">5.4 </w:t>
      </w:r>
      <w:r>
        <w:t>Minutes shall be kept for all Board meetings in accordance with Aktiebolagslagen Chapter 8, Section 24. Minutes shall be signed by both members and stored securely.</w:t>
      </w:r>
    </w:p>
    <w:p>
      <w:r>
        <w:rPr>
          <w:b/>
        </w:rPr>
        <w:t xml:space="preserve">5.5 </w:t>
      </w:r>
      <w:r>
        <w:t>Both Board members have equal duty of loyalty and care towards the company as prescribed by Aktiebolagslagen Chapter 8, Section 4. Each member is personally liable for decisions made in breach of the law or the articles of association, as stated in Aktiebolagslagen Chapter 29, Section 1.</w:t>
      </w:r>
    </w:p>
    <w:p>
      <w:pPr>
        <w:pStyle w:val="Heading1"/>
      </w:pPr>
      <w:r>
        <w:t>6. DECISION MAKING AND GOVERNANCE</w:t>
      </w:r>
    </w:p>
    <w:p>
      <w:r>
        <w:rPr>
          <w:i/>
        </w:rPr>
        <w:t>Legal basis: Aktiebolagslagen Chapter 7 (shareholders' meeting); Chapter 8, Sections 34 and 35 (managing director authority); Avtalslagen Section 36 (reasonableness)</w:t>
      </w:r>
    </w:p>
    <w:p>
      <w:r>
        <w:rPr>
          <w:b/>
        </w:rPr>
        <w:t xml:space="preserve">6.1 Day-to-Day Decisions: </w:t>
      </w:r>
      <w:r>
        <w:t>Each Partner may independently make decisions within their area of responsibility (as defined in Section 7) for expenses up to 15,000 SEK per decision, or 15% of the company's average monthly revenue (whichever is higher), without requiring the other Partner's approval.</w:t>
      </w:r>
    </w:p>
    <w:p>
      <w:r>
        <w:rPr>
          <w:b/>
        </w:rPr>
        <w:t xml:space="preserve">6.2 Major Decisions requiring both Partners' agreement: </w:t>
      </w:r>
    </w:p>
    <w:p>
      <w:pPr>
        <w:pStyle w:val="ListBullet"/>
      </w:pPr>
      <w:r>
        <w:t>Any single expenditure exceeding the threshold in Section 6.1</w:t>
      </w:r>
    </w:p>
    <w:p>
      <w:pPr>
        <w:pStyle w:val="ListBullet"/>
      </w:pPr>
      <w:r>
        <w:t>Entering into contracts with a value exceeding 50,000 SEK or a duration exceeding 12 months</w:t>
      </w:r>
    </w:p>
    <w:p>
      <w:pPr>
        <w:pStyle w:val="ListBullet"/>
      </w:pPr>
      <w:r>
        <w:t>Hiring employees or engaging contractors</w:t>
      </w:r>
    </w:p>
    <w:p>
      <w:pPr>
        <w:pStyle w:val="ListBullet"/>
      </w:pPr>
      <w:r>
        <w:t>Taking on loans or debt on behalf of the company</w:t>
      </w:r>
    </w:p>
    <w:p>
      <w:pPr>
        <w:pStyle w:val="ListBullet"/>
      </w:pPr>
      <w:r>
        <w:t>Changing the company's business direction or target market</w:t>
      </w:r>
    </w:p>
    <w:p>
      <w:pPr>
        <w:pStyle w:val="ListBullet"/>
      </w:pPr>
      <w:r>
        <w:t>Any matter requiring a qualified majority under Aktiebolagslagen, such as changes to the articles of association or directed share issues (Chapter 7, Sections 42 to 44)</w:t>
      </w:r>
    </w:p>
    <w:p>
      <w:r>
        <w:rPr>
          <w:b/>
        </w:rPr>
        <w:t xml:space="preserve">6.3 Shareholders' Meeting Decisions: </w:t>
      </w:r>
      <w:r>
        <w:t>At the bolagsstämma, decisions are made by the majority of votes cast unless the law requires a qualified majority (two thirds per Aktiebolagslagen Chapter 7, Section 42). Partner 1's 67% shareholding constitutes both a simple majority and meets the two-thirds threshold for most qualified majority decisions.</w:t>
      </w:r>
    </w:p>
    <w:p>
      <w:r>
        <w:rPr>
          <w:b/>
        </w:rPr>
        <w:t xml:space="preserve">6.4 Signing Authority: </w:t>
      </w:r>
      <w:r>
        <w:t>In accordance with Aktiebolagslagen Chapter 8, Section 35, both Partners shall have individual signing authority for amounts up to 30,000 SEK. For amounts exceeding 30,000 SEK, both Partners must sign jointly.</w:t>
      </w:r>
    </w:p>
    <w:p>
      <w:r>
        <w:rPr>
          <w:b/>
        </w:rPr>
        <w:t xml:space="preserve">6.5 Deadlock Resolution: </w:t>
      </w:r>
      <w:r>
        <w:t>If the Partners cannot agree on a major decision after good-faith discussion:</w:t>
      </w:r>
    </w:p>
    <w:p>
      <w:pPr>
        <w:pStyle w:val="ListBullet"/>
      </w:pPr>
      <w:r>
        <w:t>Step 1: A 14-day cooling-off period for reflection and further discussion.</w:t>
      </w:r>
    </w:p>
    <w:p>
      <w:pPr>
        <w:pStyle w:val="ListBullet"/>
      </w:pPr>
      <w:r>
        <w:t>Step 2: If unresolved, the matter is escalated to the Board where the Chairman's casting vote (Section 5.2) shall determine the outcome.</w:t>
      </w:r>
    </w:p>
    <w:p>
      <w:pPr>
        <w:pStyle w:val="ListBullet"/>
      </w:pPr>
      <w:r>
        <w:t>Step 3: If the matter concerns a qualified majority decision under the law that cannot be resolved by casting vote, the dispute resolution process in Section 16 applies.</w:t>
      </w:r>
    </w:p>
    <w:p>
      <w:pPr>
        <w:pStyle w:val="Heading1"/>
      </w:pPr>
      <w:r>
        <w:t>7. ROLES AND RESPONSIBILITIES</w:t>
      </w:r>
    </w:p>
    <w:p>
      <w:r>
        <w:rPr>
          <w:i/>
        </w:rPr>
        <w:t>Legal basis: Aktiebolagslagen Chapter 8, Section 4 (board members' duty of care); Avtalslagen (1915:218) regarding contractual obligations</w:t>
      </w:r>
    </w:p>
    <w:p>
      <w:r>
        <w:rPr>
          <w:b/>
        </w:rPr>
        <w:t xml:space="preserve">7.1 Partner 1, Technology, Product, and Operations: </w:t>
      </w:r>
    </w:p>
    <w:p>
      <w:pPr>
        <w:pStyle w:val="ListBullet"/>
      </w:pPr>
      <w:r>
        <w:t>Software development, system architecture, and technical operations</w:t>
      </w:r>
    </w:p>
    <w:p>
      <w:pPr>
        <w:pStyle w:val="ListBullet"/>
      </w:pPr>
      <w:r>
        <w:t>Product management, feature planning, and roadmap</w:t>
      </w:r>
    </w:p>
    <w:p>
      <w:pPr>
        <w:pStyle w:val="ListBullet"/>
      </w:pPr>
      <w:r>
        <w:t>Infrastructure, hosting, deployment, and security</w:t>
      </w:r>
    </w:p>
    <w:p>
      <w:pPr>
        <w:pStyle w:val="ListBullet"/>
      </w:pPr>
      <w:r>
        <w:t>Technical partnerships and integrations</w:t>
      </w:r>
    </w:p>
    <w:p>
      <w:pPr>
        <w:pStyle w:val="ListBullet"/>
      </w:pPr>
      <w:r>
        <w:t>App store management and technical compliance</w:t>
      </w:r>
    </w:p>
    <w:p>
      <w:pPr>
        <w:pStyle w:val="ListBullet"/>
      </w:pPr>
      <w:r>
        <w:t>Data protection and GDPR technical compliance (EU Regulation 2016/679)</w:t>
      </w:r>
    </w:p>
    <w:p>
      <w:r>
        <w:rPr>
          <w:b/>
        </w:rPr>
        <w:t xml:space="preserve">7.2 Partner 2, Marketing, Media, and Business Growth: </w:t>
      </w:r>
    </w:p>
    <w:p>
      <w:pPr>
        <w:pStyle w:val="ListBullet"/>
      </w:pPr>
      <w:r>
        <w:t>Marketing strategy and execution</w:t>
      </w:r>
    </w:p>
    <w:p>
      <w:pPr>
        <w:pStyle w:val="ListBullet"/>
      </w:pPr>
      <w:r>
        <w:t>Social media management and content creation</w:t>
      </w:r>
    </w:p>
    <w:p>
      <w:pPr>
        <w:pStyle w:val="ListBullet"/>
      </w:pPr>
      <w:r>
        <w:t>Media campaigns and advertising</w:t>
      </w:r>
    </w:p>
    <w:p>
      <w:pPr>
        <w:pStyle w:val="ListBullet"/>
      </w:pPr>
      <w:r>
        <w:t>User acquisition and community building</w:t>
      </w:r>
    </w:p>
    <w:p>
      <w:pPr>
        <w:pStyle w:val="ListBullet"/>
      </w:pPr>
      <w:r>
        <w:t>Business development and non-technical partnerships</w:t>
      </w:r>
    </w:p>
    <w:p>
      <w:pPr>
        <w:pStyle w:val="ListBullet"/>
      </w:pPr>
      <w:r>
        <w:t>Customer communications and brand management</w:t>
      </w:r>
    </w:p>
    <w:p>
      <w:r>
        <w:rPr>
          <w:b/>
        </w:rPr>
        <w:t xml:space="preserve">7.3 </w:t>
      </w:r>
      <w:r>
        <w:t>Both Partners shall collaborate on:</w:t>
      </w:r>
    </w:p>
    <w:p>
      <w:pPr>
        <w:pStyle w:val="ListBullet"/>
      </w:pPr>
      <w:r>
        <w:t>Overall business strategy and long-term vision</w:t>
      </w:r>
    </w:p>
    <w:p>
      <w:pPr>
        <w:pStyle w:val="ListBullet"/>
      </w:pPr>
      <w:r>
        <w:t>Financial planning and budgeting</w:t>
      </w:r>
    </w:p>
    <w:p>
      <w:pPr>
        <w:pStyle w:val="ListBullet"/>
      </w:pPr>
      <w:r>
        <w:t>Pricing decisions</w:t>
      </w:r>
    </w:p>
    <w:p>
      <w:pPr>
        <w:pStyle w:val="ListBullet"/>
      </w:pPr>
      <w:r>
        <w:t>Major partnership agreements</w:t>
      </w:r>
    </w:p>
    <w:p>
      <w:r>
        <w:rPr>
          <w:b/>
        </w:rPr>
        <w:t xml:space="preserve">7.4 </w:t>
      </w:r>
      <w:r>
        <w:t>Each Partner respects the other's area of expertise and shall not make unilateral decisions in the other Partner's domain without prior discussion, except in urgent situations requiring immediate action to protect the company.</w:t>
      </w:r>
    </w:p>
    <w:p>
      <w:pPr>
        <w:pStyle w:val="Heading1"/>
      </w:pPr>
      <w:r>
        <w:t>8. CONTRIBUTION REQUIREMENTS</w:t>
      </w:r>
    </w:p>
    <w:p>
      <w:r>
        <w:rPr>
          <w:i/>
        </w:rPr>
        <w:t>Legal basis: Avtalslagen (1915:218) regarding contractual obligations; Aktiebolagslagen Chapter 29, Section 1 (liability for breach of duty)</w:t>
      </w:r>
    </w:p>
    <w:p>
      <w:r>
        <w:rPr>
          <w:b/>
        </w:rPr>
        <w:t xml:space="preserve">8.1 </w:t>
      </w:r>
      <w:r>
        <w:t xml:space="preserve">Both Partners commit to contributing a minimum of </w:t>
      </w:r>
      <w:r>
        <w:rPr>
          <w:b/>
        </w:rPr>
        <w:t>15 to 20 hours per week</w:t>
      </w:r>
      <w:r>
        <w:t xml:space="preserve"> to petfolioo.com. This commitment acknowledges that both Partners maintain separate full-time employment and that petfolioo.com is operated on a part-time basis.</w:t>
      </w:r>
    </w:p>
    <w:p>
      <w:r>
        <w:rPr>
          <w:b/>
        </w:rPr>
        <w:t xml:space="preserve">8.2 </w:t>
      </w:r>
      <w:r>
        <w:t>A formal contribution review shall take place every six months at the scheduled Board meeting. Both Partners shall present their hours contributed, tasks completed, and planned contributions for the next period.</w:t>
      </w:r>
    </w:p>
    <w:p>
      <w:r>
        <w:rPr>
          <w:b/>
        </w:rPr>
        <w:t xml:space="preserve">8.3 </w:t>
      </w:r>
      <w:r>
        <w:t>In the event that either Partner consistently falls below the minimum contribution commitment over a period of three consecutive months, the following progressive steps shall apply:</w:t>
      </w:r>
    </w:p>
    <w:p>
      <w:r>
        <w:rPr>
          <w:b/>
        </w:rPr>
        <w:t xml:space="preserve">Step 1, Discussion: </w:t>
      </w:r>
      <w:r>
        <w:t>The active Partner shall raise the concern at a Board meeting or in writing. Both Partners shall discuss the reasons and agree on a plan to restore contribution levels within 30 days.</w:t>
      </w:r>
    </w:p>
    <w:p>
      <w:r>
        <w:rPr>
          <w:b/>
        </w:rPr>
        <w:t xml:space="preserve">Step 2, Formal Written Notice: </w:t>
      </w:r>
      <w:r>
        <w:t>If the underperformance continues after Step 1, the active Partner shall issue a formal written notice. The underperforming Partner shall have 60 days to return to the agreed contribution level.</w:t>
      </w:r>
    </w:p>
    <w:p>
      <w:r>
        <w:rPr>
          <w:b/>
        </w:rPr>
        <w:t xml:space="preserve">Step 3, Profit Share Adjustment: </w:t>
      </w:r>
      <w:r>
        <w:t>If underperformance continues beyond Step 2, the underperforming Partner's profit share may be proportionally adjusted to reflect their actual contribution relative to the active Partner's contribution. This adjustment shall be reviewed monthly until contribution levels are restored.</w:t>
      </w:r>
    </w:p>
    <w:p>
      <w:r>
        <w:rPr>
          <w:b/>
        </w:rPr>
        <w:t xml:space="preserve">Step 4, Exit Discussion: </w:t>
      </w:r>
      <w:r>
        <w:t>If persistent inactivity continues beyond Step 3 for a further three months, both Partners shall discuss in good faith whether the inactive Partner should exit the company under the terms of Section 11.</w:t>
      </w:r>
    </w:p>
    <w:p>
      <w:r>
        <w:rPr>
          <w:b/>
        </w:rPr>
        <w:t xml:space="preserve">8.4 </w:t>
      </w:r>
      <w:r>
        <w:t>These steps apply equally to both Partners. The principle is fairness: each Partner's reward should reflect their actual contribution to the business.</w:t>
      </w:r>
    </w:p>
    <w:p>
      <w:pPr>
        <w:pStyle w:val="Heading1"/>
      </w:pPr>
      <w:r>
        <w:t>9. INTELLECTUAL PROPERTY</w:t>
      </w:r>
    </w:p>
    <w:p>
      <w:r>
        <w:rPr>
          <w:i/>
        </w:rPr>
        <w:t>Legal basis: Upphovsrättslagen (1960:729), the Swedish Copyright Act; Lag om arbetstagares uppfinningar (1949:345) applied by analogy for shareholders; Varumärkeslagen (2010:1877), the Swedish Trademark Act</w:t>
      </w:r>
    </w:p>
    <w:p>
      <w:r>
        <w:rPr>
          <w:b/>
        </w:rPr>
        <w:t xml:space="preserve">9.1 </w:t>
      </w:r>
      <w:r>
        <w:t xml:space="preserve">All intellectual property created by either Partner in connection with petfolioo.com, including but not limited to application source code, designs, branding, user interface, marketing materials, content, social media assets, algorithms, and business processes, shall be the </w:t>
      </w:r>
      <w:r>
        <w:rPr>
          <w:b/>
        </w:rPr>
        <w:t>sole and exclusive property of petfolioo.com AB.</w:t>
      </w:r>
    </w:p>
    <w:p>
      <w:r>
        <w:rPr>
          <w:b/>
        </w:rPr>
        <w:t xml:space="preserve">9.2 </w:t>
      </w:r>
      <w:r>
        <w:t>Both Partners acknowledge that:</w:t>
      </w:r>
    </w:p>
    <w:p>
      <w:pPr>
        <w:pStyle w:val="ListBullet"/>
      </w:pPr>
      <w:r>
        <w:t>Partner 1 has created the technical product (application, codebase, architecture) as their primary contribution to the company</w:t>
      </w:r>
    </w:p>
    <w:p>
      <w:pPr>
        <w:pStyle w:val="ListBullet"/>
      </w:pPr>
      <w:r>
        <w:t>Partner 2 contributes and will continue to create marketing materials, media content, social media assets, and brand materials as their primary contribution to the company</w:t>
      </w:r>
    </w:p>
    <w:p>
      <w:pPr>
        <w:pStyle w:val="ListBullet"/>
      </w:pPr>
      <w:r>
        <w:t>Both contributions are equally valued as part of building the business, and both become company property</w:t>
      </w:r>
    </w:p>
    <w:p>
      <w:r>
        <w:rPr>
          <w:b/>
        </w:rPr>
        <w:t xml:space="preserve">9.3 </w:t>
      </w:r>
      <w:r>
        <w:t>No intellectual property created prior to the registration of petfolioo.com AB is being brought into the company as a separate asset. This Agreement covers all intellectual property created from the date of incorporation onwards. Partner 1's pre-existing work on the application is acknowledged as their capital contribution beyond the financial share capital.</w:t>
      </w:r>
    </w:p>
    <w:p>
      <w:r>
        <w:rPr>
          <w:b/>
        </w:rPr>
        <w:t xml:space="preserve">9.4 </w:t>
      </w:r>
      <w:r>
        <w:t>Each Partner hereby assigns to petfolioo.com AB all rights, title, and interest in any work product created in connection with the company's business activities, whether during or outside normal working hours. This assignment is made in accordance with Upphovsrättslagen Section 40a regarding transfer of copyright in employment and commission relationships, applied by analogy to shareholders.</w:t>
      </w:r>
    </w:p>
    <w:p>
      <w:r>
        <w:rPr>
          <w:b/>
        </w:rPr>
        <w:t xml:space="preserve">9.5 </w:t>
      </w:r>
      <w:r>
        <w:t>In the event of either Partner's exit from petfolioo.com for any reason, the departing Partner shall have no claim over any intellectual property of petfolioo.com AB and shall not replicate, reproduce, or build upon any such intellectual property independently.</w:t>
      </w:r>
    </w:p>
    <w:p>
      <w:r>
        <w:rPr>
          <w:b/>
        </w:rPr>
        <w:t xml:space="preserve">9.6 </w:t>
      </w:r>
      <w:r>
        <w:t>Both Partners agree to execute any additional documents, such as specific copyright assignments under the Copyright Act, reasonably required to give full legal effect to the intellectual property ownership provisions of this section.</w:t>
      </w:r>
    </w:p>
    <w:p>
      <w:pPr>
        <w:pStyle w:val="Heading1"/>
      </w:pPr>
      <w:r>
        <w:t>10. FINANCIAL MANAGEMENT</w:t>
      </w:r>
    </w:p>
    <w:p>
      <w:r>
        <w:rPr>
          <w:i/>
        </w:rPr>
        <w:t>Legal basis: Aktiebolagslagen Chapters 17 and 18 (value transfers and dividends); Årsredovisningslagen (1995:1554); Inkomstskattelagen (1999:1229) Chapter 57 (the 3:12 rules for closely held companies)</w:t>
      </w:r>
    </w:p>
    <w:p>
      <w:r>
        <w:rPr>
          <w:b/>
        </w:rPr>
        <w:t xml:space="preserve">10.1 Profit Reserve: </w:t>
      </w:r>
      <w:r>
        <w:t>A minimum of 20% of annual net profit shall be retained within petfolioo.com AB at all times as an operational reserve, in accordance with the prudence principle (försiktighetsprincipen) set out in Aktiebolagslagen Chapter 17, Section 3.</w:t>
      </w:r>
    </w:p>
    <w:p>
      <w:r>
        <w:rPr>
          <w:b/>
        </w:rPr>
        <w:t xml:space="preserve">10.2 Profit Distribution: </w:t>
      </w:r>
      <w:r>
        <w:t>Profit may be distributed as:</w:t>
      </w:r>
    </w:p>
    <w:p>
      <w:pPr>
        <w:pStyle w:val="ListBullet"/>
      </w:pPr>
      <w:r>
        <w:t>Salary, subject to employer contributions (arbetsgivaravgifter) and income tax per Inkomstskattelagen</w:t>
      </w:r>
    </w:p>
    <w:p>
      <w:pPr>
        <w:pStyle w:val="ListBullet"/>
      </w:pPr>
      <w:r>
        <w:t>Dividend, decided at the shareholders' meeting in accordance with Aktiebolagslagen Chapter 18, within the limits set by Chapter 17, Section 3 (the amount restriction and the prudence rule)</w:t>
      </w:r>
    </w:p>
    <w:p>
      <w:r>
        <w:t>Distribution shall be proportional to shareholding (67% and 33%) unless both Partners agree otherwise in writing. The 3:12 rules under Inkomstskattelagen Chapter 57 apply to both Partners as the company qualifies as a closely held company (fåmansbolag).</w:t>
      </w:r>
    </w:p>
    <w:p>
      <w:r>
        <w:rPr>
          <w:b/>
        </w:rPr>
        <w:t xml:space="preserve">10.3 Salary: </w:t>
      </w:r>
      <w:r>
        <w:t>When the Partners agree to commence salary payments, both Partners shall receive salary proportional to their contribution and hours worked, as agreed at a formal Board meeting and documented in the minutes. Salary levels must comply with market rates to satisfy Swedish Tax Agency (Skatteverket) requirements.</w:t>
      </w:r>
    </w:p>
    <w:p>
      <w:r>
        <w:rPr>
          <w:b/>
        </w:rPr>
        <w:t xml:space="preserve">10.4 Loss Liability: </w:t>
      </w:r>
      <w:r>
        <w:t xml:space="preserve">As petfolioo.com is a registered Aktiebolag under Swedish law, each Partner's financial liability in the event of losses is </w:t>
      </w:r>
      <w:r>
        <w:rPr>
          <w:b/>
        </w:rPr>
        <w:t>limited to their contributed share capital</w:t>
      </w:r>
      <w:r>
        <w:t xml:space="preserve"> (Partner 1: 16,750 SEK; Partner 2: 8,250 SEK), in accordance with Aktiebolagslagen Chapter 1, Section 3. Neither Partner's personal assets are at risk beyond this amount.</w:t>
      </w:r>
    </w:p>
    <w:p>
      <w:r>
        <w:rPr>
          <w:b/>
        </w:rPr>
        <w:t xml:space="preserve">10.5 Loss Sharing: </w:t>
      </w:r>
      <w:r>
        <w:t>Financial obligations within the company shall be borne in proportion to each Partner's shareholding (67% and 33%), in accordance with the general principle of shareholder equality applied proportionally under Aktiebolagslagen Chapter 4, Section 1.</w:t>
      </w:r>
    </w:p>
    <w:p>
      <w:r>
        <w:rPr>
          <w:b/>
        </w:rPr>
        <w:t xml:space="preserve">10.6 Financial Transparency: </w:t>
      </w:r>
      <w:r>
        <w:t>Both Partners shall have full access to all financial records at all times. Annual accounts shall be prepared in accordance with Årsredovisningslagen and Bokföringslagen (1999:1078). An approved auditor shall be appointed if required by Aktiebolagslagen Chapter 9 or if either Partner requests it.</w:t>
      </w:r>
    </w:p>
    <w:p>
      <w:r>
        <w:rPr>
          <w:b/>
        </w:rPr>
        <w:t xml:space="preserve">10.7 Control Balance Sheet: </w:t>
      </w:r>
      <w:r>
        <w:t>If the Board has reason to believe that the company's equity is less than half of the registered share capital, the Board shall immediately prepare a control balance sheet (kontrollbalansräkning) in accordance with Aktiebolagslagen Chapter 25, Sections 13 to 17. Failure to do so results in personal liability for the Board members.</w:t>
      </w:r>
    </w:p>
    <w:p>
      <w:pPr>
        <w:pStyle w:val="Heading1"/>
      </w:pPr>
      <w:r>
        <w:t>11. SHARE TRANSFER AND EXIT PROVISIONS</w:t>
      </w:r>
    </w:p>
    <w:p>
      <w:r>
        <w:rPr>
          <w:i/>
        </w:rPr>
        <w:t>Legal basis: Aktiebolagslagen Chapter 4, Sections 7 and 8 (post-transfer acquisition clause), Section 18 (consent clause and pre-emption clause); Avtalslagen Section 36 (reasonableness)</w:t>
      </w:r>
    </w:p>
    <w:p>
      <w:r>
        <w:rPr>
          <w:b/>
        </w:rPr>
        <w:t xml:space="preserve">11.1 Transfer Restrictions: </w:t>
      </w:r>
      <w:r>
        <w:t>Neither Partner may sell, transfer, pledge, or otherwise dispose of their shares without first offering them to the other Partner under a right of first refusal. This restriction shall be reflected in the company's articles of association as a pre-emption clause (förköpsförbehåll) in accordance with Aktiebolagslagen Chapter 4, Section 18.</w:t>
      </w:r>
    </w:p>
    <w:p>
      <w:r>
        <w:rPr>
          <w:b/>
        </w:rPr>
        <w:t xml:space="preserve">11.2 Voluntary Exit: </w:t>
      </w:r>
      <w:r>
        <w:t>If either Partner wishes to voluntarily exit petfolioo.com, they must:</w:t>
      </w:r>
    </w:p>
    <w:p>
      <w:pPr>
        <w:pStyle w:val="ListBullet"/>
      </w:pPr>
      <w:r>
        <w:t>Provide 90 days written notice to the other Partner.</w:t>
      </w:r>
    </w:p>
    <w:p>
      <w:pPr>
        <w:pStyle w:val="ListBullet"/>
      </w:pPr>
      <w:r>
        <w:t>Offer their shares to the remaining Partner at the independently assessed valuation described in Section 11.6.</w:t>
      </w:r>
    </w:p>
    <w:p>
      <w:pPr>
        <w:pStyle w:val="ListBullet"/>
      </w:pPr>
      <w:r>
        <w:t>The remaining Partner shall have 60 days to accept or decline the offer.</w:t>
      </w:r>
    </w:p>
    <w:p>
      <w:pPr>
        <w:pStyle w:val="ListBullet"/>
      </w:pPr>
      <w:r>
        <w:t>If the remaining Partner declines, the exiting Partner may seek an external buyer, subject to the remaining Partner's right of first refusal at matching terms.</w:t>
      </w:r>
    </w:p>
    <w:p>
      <w:r>
        <w:rPr>
          <w:b/>
        </w:rPr>
        <w:t xml:space="preserve">11.3 Forced Exit: </w:t>
      </w:r>
      <w:r>
        <w:t>A Partner may be subject to forced exit in the following circumstances:</w:t>
      </w:r>
    </w:p>
    <w:p>
      <w:pPr>
        <w:pStyle w:val="ListBullet"/>
      </w:pPr>
      <w:r>
        <w:t>Persistent breach of this Agreement after the progressive steps in Section 8.3 have been exhausted.</w:t>
      </w:r>
    </w:p>
    <w:p>
      <w:pPr>
        <w:pStyle w:val="ListBullet"/>
      </w:pPr>
      <w:r>
        <w:t>Criminal conviction that materially affects the company's reputation or operations.</w:t>
      </w:r>
    </w:p>
    <w:p>
      <w:pPr>
        <w:pStyle w:val="ListBullet"/>
      </w:pPr>
      <w:r>
        <w:t>Breach of the confidentiality obligations set out in Section 14.</w:t>
      </w:r>
    </w:p>
    <w:p>
      <w:pPr>
        <w:pStyle w:val="ListBullet"/>
      </w:pPr>
      <w:r>
        <w:t>Breach of the non-compete obligations set out in Section 13.</w:t>
      </w:r>
    </w:p>
    <w:p>
      <w:pPr>
        <w:pStyle w:val="ListBullet"/>
      </w:pPr>
      <w:r>
        <w:t>Any intentional action causing material harm to the company.</w:t>
      </w:r>
    </w:p>
    <w:p>
      <w:r>
        <w:rPr>
          <w:b/>
        </w:rPr>
        <w:t xml:space="preserve">11.4 Forced Exit Terms: </w:t>
      </w:r>
      <w:r>
        <w:t xml:space="preserve">In a forced exit scenario, the departing Partner's shares shall be purchased by the remaining Partner at the independently assessed valuation. If the forced exit is due to a serious breach such as criminal conviction, intentional harm, or intellectual property theft, a </w:t>
      </w:r>
      <w:r>
        <w:rPr>
          <w:b/>
        </w:rPr>
        <w:t>20% discount</w:t>
      </w:r>
      <w:r>
        <w:t xml:space="preserve"> may be applied to the valuation. This reflects the principle in Avtalslagen Section 36 that a party in breach should not benefit equally from the exit.</w:t>
      </w:r>
    </w:p>
    <w:p>
      <w:r>
        <w:rPr>
          <w:b/>
        </w:rPr>
        <w:t xml:space="preserve">11.5 Death or Permanent Incapacity: </w:t>
      </w:r>
      <w:r>
        <w:t>In the event of a Partner's death or permanent incapacity:</w:t>
      </w:r>
    </w:p>
    <w:p>
      <w:pPr>
        <w:pStyle w:val="ListBullet"/>
      </w:pPr>
      <w:r>
        <w:t>The remaining Partner shall have the right of first refusal to purchase the deceased or incapacitated Partner's shares at the independently assessed valuation.</w:t>
      </w:r>
    </w:p>
    <w:p>
      <w:pPr>
        <w:pStyle w:val="ListBullet"/>
      </w:pPr>
      <w:r>
        <w:t>This right must be exercised within 90 days.</w:t>
      </w:r>
    </w:p>
    <w:p>
      <w:pPr>
        <w:pStyle w:val="ListBullet"/>
      </w:pPr>
      <w:r>
        <w:t>If this right is not exercised, the shares pass to the Partner's legal heirs in accordance with the Inheritance Code (Ärvdabalken, 1958:637).</w:t>
      </w:r>
    </w:p>
    <w:p>
      <w:pPr>
        <w:pStyle w:val="ListBullet"/>
      </w:pPr>
      <w:r>
        <w:t>Any incoming heir must be approved by the remaining Partner before being admitted as a shareholder with board rights. If not approved, the shares must be sold to the remaining Partner at the assessed valuation within 90 days.</w:t>
      </w:r>
    </w:p>
    <w:p>
      <w:r>
        <w:rPr>
          <w:b/>
        </w:rPr>
        <w:t xml:space="preserve">11.6 Valuation Method: </w:t>
      </w:r>
      <w:r>
        <w:t xml:space="preserve">In all exit scenarios, the share valuation shall be determined by an </w:t>
      </w:r>
      <w:r>
        <w:rPr>
          <w:b/>
        </w:rPr>
        <w:t>independent professional assessor</w:t>
      </w:r>
      <w:r>
        <w:t xml:space="preserve"> (auktoriserad revisor or certified business valuator) mutually agreed upon by both Partners. The cost of the assessment shall be shared equally. The valuation shall consider:</w:t>
      </w:r>
    </w:p>
    <w:p>
      <w:pPr>
        <w:pStyle w:val="ListBullet"/>
      </w:pPr>
      <w:r>
        <w:t>Company assets and liabilities</w:t>
      </w:r>
    </w:p>
    <w:p>
      <w:pPr>
        <w:pStyle w:val="ListBullet"/>
      </w:pPr>
      <w:r>
        <w:t>Intellectual property value in accordance with the Copyright Act</w:t>
      </w:r>
    </w:p>
    <w:p>
      <w:pPr>
        <w:pStyle w:val="ListBullet"/>
      </w:pPr>
      <w:r>
        <w:t>Trailing 12-month revenue and profit</w:t>
      </w:r>
    </w:p>
    <w:p>
      <w:pPr>
        <w:pStyle w:val="ListBullet"/>
      </w:pPr>
      <w:r>
        <w:t>User base, growth trajectory, and market position</w:t>
      </w:r>
    </w:p>
    <w:p>
      <w:pPr>
        <w:pStyle w:val="ListBullet"/>
      </w:pPr>
      <w:r>
        <w:t>Future earning potential</w:t>
      </w:r>
    </w:p>
    <w:p>
      <w:r>
        <w:t>If the Partners cannot agree on an assessor, each Partner shall nominate one assessor and the two assessors shall jointly appoint a third, whose valuation shall be final and binding.</w:t>
      </w:r>
    </w:p>
    <w:p>
      <w:r>
        <w:rPr>
          <w:b/>
        </w:rPr>
        <w:t xml:space="preserve">11.7 Payment Terms: </w:t>
      </w:r>
      <w:r>
        <w:t>Payment for shares upon exit may be made in a lump sum or in instalments over a maximum of 12 months, as agreed between the Partners. Interest at the Swedish reference rate (Riksbanken referensränta) plus 2% shall apply to instalment payments.</w:t>
      </w:r>
    </w:p>
    <w:p>
      <w:r>
        <w:rPr>
          <w:b/>
        </w:rPr>
        <w:t xml:space="preserve">11.8 Right of First Refusal: </w:t>
      </w:r>
      <w:r>
        <w:t>In all share transfer scenarios, the remaining Partner shall always have the right of first refusal to purchase the other Partner's shares before any third party is approached, in accordance with the pre-emption clause registered in the articles of association under Aktiebolagslagen Chapter 4, Section 18.</w:t>
      </w:r>
    </w:p>
    <w:p>
      <w:pPr>
        <w:pStyle w:val="Heading1"/>
      </w:pPr>
      <w:r>
        <w:t>12. SUCCESSION AND INHERITANCE</w:t>
      </w:r>
    </w:p>
    <w:p>
      <w:r>
        <w:rPr>
          <w:i/>
        </w:rPr>
        <w:t>Legal basis: Ärvdabalken (1958:637), the Swedish Inheritance Code; Aktiebolagslagen Chapter 4, Section 18 (transfer restrictions)</w:t>
      </w:r>
    </w:p>
    <w:p>
      <w:r>
        <w:rPr>
          <w:b/>
        </w:rPr>
        <w:t xml:space="preserve">12.1 </w:t>
      </w:r>
      <w:r>
        <w:t>Each Partner's shares form part of their estate and are subject to Swedish inheritance law. This Agreement does not override the statutory rights of legal heirs.</w:t>
      </w:r>
    </w:p>
    <w:p>
      <w:r>
        <w:rPr>
          <w:b/>
        </w:rPr>
        <w:t xml:space="preserve">12.2 </w:t>
      </w:r>
      <w:r>
        <w:t>Upon a Partner's death, their shares pass to their legal heirs. However, the remaining Partner retains:</w:t>
      </w:r>
    </w:p>
    <w:p>
      <w:pPr>
        <w:pStyle w:val="ListBullet"/>
      </w:pPr>
      <w:r>
        <w:t>The right of first refusal to purchase the shares at fair market value.</w:t>
      </w:r>
    </w:p>
    <w:p>
      <w:pPr>
        <w:pStyle w:val="ListBullet"/>
      </w:pPr>
      <w:r>
        <w:t>The right to approve any heir before they are admitted as a shareholder with operational and board rights.</w:t>
      </w:r>
    </w:p>
    <w:p>
      <w:pPr>
        <w:pStyle w:val="ListBullet"/>
      </w:pPr>
      <w:r>
        <w:t>Continued authority over their designated areas of responsibility without interruption.</w:t>
      </w:r>
    </w:p>
    <w:p>
      <w:r>
        <w:rPr>
          <w:b/>
        </w:rPr>
        <w:t xml:space="preserve">12.3 </w:t>
      </w:r>
      <w:r>
        <w:t>An incoming heir who is approved as a shareholder shall be bound by all terms of this Agreement as if they were the original Partner. A formal addendum acknowledging this shall be signed by all parties.</w:t>
      </w:r>
    </w:p>
    <w:p>
      <w:r>
        <w:rPr>
          <w:b/>
        </w:rPr>
        <w:t xml:space="preserve">12.4 </w:t>
      </w:r>
      <w:r>
        <w:t>If an incoming heir is a minor (under 18 years of age), a legal guardian shall exercise their rights in accordance with Föräldrabalken (1949:381) Chapter 13, subject to the consent of the chief guardian (överförmyndaren) where required by law.</w:t>
      </w:r>
    </w:p>
    <w:p>
      <w:r>
        <w:rPr>
          <w:b/>
        </w:rPr>
        <w:t xml:space="preserve">12.5 </w:t>
      </w:r>
      <w:r>
        <w:t>Neither Partner may assign, gift, or transfer their shares to any family member during their lifetime without following the transfer process described in Section 11, including the right of first refusal.</w:t>
      </w:r>
    </w:p>
    <w:p>
      <w:pPr>
        <w:pStyle w:val="Heading1"/>
      </w:pPr>
      <w:r>
        <w:t>13. NON-COMPETE</w:t>
      </w:r>
    </w:p>
    <w:p>
      <w:r>
        <w:rPr>
          <w:i/>
        </w:rPr>
        <w:t>Legal basis: Avtalslagen (1915:218) Section 38 (restrictive covenants) and Section 36 (reasonableness review); EU competition law principles</w:t>
      </w:r>
    </w:p>
    <w:p>
      <w:r>
        <w:rPr>
          <w:b/>
        </w:rPr>
        <w:t xml:space="preserve">13.1 </w:t>
      </w:r>
      <w:r>
        <w:t xml:space="preserve">During the term of this Agreement and for a period of </w:t>
      </w:r>
      <w:r>
        <w:rPr>
          <w:b/>
        </w:rPr>
        <w:t>12 months</w:t>
      </w:r>
      <w:r>
        <w:t xml:space="preserve"> following a Partner's exit from petfolioo.com, the departing Partner shall not:</w:t>
      </w:r>
    </w:p>
    <w:p>
      <w:pPr>
        <w:pStyle w:val="ListBullet"/>
      </w:pPr>
      <w:r>
        <w:t>Develop, publish, or operate any mobile application or digital service that directly competes with petfolioo.com's existing products within the pet care industry.</w:t>
      </w:r>
    </w:p>
    <w:p>
      <w:pPr>
        <w:pStyle w:val="ListBullet"/>
      </w:pPr>
      <w:r>
        <w:t>Solicit or engage any existing clients, users, or business partners of petfolioo.com for competing purposes.</w:t>
      </w:r>
    </w:p>
    <w:p>
      <w:r>
        <w:rPr>
          <w:b/>
        </w:rPr>
        <w:t xml:space="preserve">13.2 </w:t>
      </w:r>
      <w:r>
        <w:t>This non-compete applies equally to both Partners and is limited to:</w:t>
      </w:r>
    </w:p>
    <w:p>
      <w:pPr>
        <w:pStyle w:val="ListBullet"/>
      </w:pPr>
      <w:r>
        <w:t>Scope: Pet care digital services only, not general technology or other industries.</w:t>
      </w:r>
    </w:p>
    <w:p>
      <w:pPr>
        <w:pStyle w:val="ListBullet"/>
      </w:pPr>
      <w:r>
        <w:t>Duration: 12 months from the date of exit.</w:t>
      </w:r>
    </w:p>
    <w:p>
      <w:pPr>
        <w:pStyle w:val="ListBullet"/>
      </w:pPr>
      <w:r>
        <w:t>Geography: Sweden and any markets where petfolioo.com is actively operating at the time of exit.</w:t>
      </w:r>
    </w:p>
    <w:p>
      <w:r>
        <w:rPr>
          <w:b/>
        </w:rPr>
        <w:t xml:space="preserve">13.3 </w:t>
      </w:r>
      <w:r>
        <w:t>This clause shall be interpreted in accordance with Avtalslagen Section 38 and the reasonableness standard in Section 36. It shall not be applied in a manner that unreasonably restricts a former Partner's right to earn a living. The limited scope (pet care technology only), limited duration (12 months), and limited geography are designed to meet the Swedish enforceability standard.</w:t>
      </w:r>
    </w:p>
    <w:p>
      <w:r>
        <w:rPr>
          <w:b/>
        </w:rPr>
        <w:t xml:space="preserve">13.4 </w:t>
      </w:r>
      <w:r>
        <w:t>The non-compete does not apply if:</w:t>
      </w:r>
    </w:p>
    <w:p>
      <w:pPr>
        <w:pStyle w:val="ListBullet"/>
      </w:pPr>
      <w:r>
        <w:t>The departing Partner was forced out due to the other Partner's breach.</w:t>
      </w:r>
    </w:p>
    <w:p>
      <w:pPr>
        <w:pStyle w:val="ListBullet"/>
      </w:pPr>
      <w:r>
        <w:t>The company is dissolved or liquidated.</w:t>
      </w:r>
    </w:p>
    <w:p>
      <w:pPr>
        <w:pStyle w:val="ListBullet"/>
      </w:pPr>
      <w:r>
        <w:t>Both Partners mutually agree to waive it in writing.</w:t>
      </w:r>
    </w:p>
    <w:p>
      <w:pPr>
        <w:pStyle w:val="Heading1"/>
      </w:pPr>
      <w:r>
        <w:t>14. CONFIDENTIALITY</w:t>
      </w:r>
    </w:p>
    <w:p>
      <w:r>
        <w:rPr>
          <w:i/>
        </w:rPr>
        <w:t>Legal basis: Lag (2018:558) om företagshemligheter (Trade Secrets Act, implementing EU Directive 2016/943); Dataskyddsförordningen (GDPR, EU Regulation 2016/679)</w:t>
      </w:r>
    </w:p>
    <w:p>
      <w:r>
        <w:rPr>
          <w:b/>
        </w:rPr>
        <w:t xml:space="preserve">14.1 </w:t>
      </w:r>
      <w:r>
        <w:t>Both Partners agree to keep strictly confidential all information relating to petfolioo.com that qualifies as a trade secret under the Trade Secrets Act, including but not limited to:</w:t>
      </w:r>
    </w:p>
    <w:p>
      <w:pPr>
        <w:pStyle w:val="ListBullet"/>
      </w:pPr>
      <w:r>
        <w:t>Source code, technical architecture, and algorithms</w:t>
      </w:r>
    </w:p>
    <w:p>
      <w:pPr>
        <w:pStyle w:val="ListBullet"/>
      </w:pPr>
      <w:r>
        <w:t>Business strategies, marketing plans, and development roadmaps</w:t>
      </w:r>
    </w:p>
    <w:p>
      <w:pPr>
        <w:pStyle w:val="ListBullet"/>
      </w:pPr>
      <w:r>
        <w:t>User data and customer information (also protected under GDPR)</w:t>
      </w:r>
    </w:p>
    <w:p>
      <w:pPr>
        <w:pStyle w:val="ListBullet"/>
      </w:pPr>
      <w:r>
        <w:t>Financial information and revenue figures</w:t>
      </w:r>
    </w:p>
    <w:p>
      <w:pPr>
        <w:pStyle w:val="ListBullet"/>
      </w:pPr>
      <w:r>
        <w:t>Partner and client relationships</w:t>
      </w:r>
    </w:p>
    <w:p>
      <w:pPr>
        <w:pStyle w:val="ListBullet"/>
      </w:pPr>
      <w:r>
        <w:t>Pricing models and commercial terms</w:t>
      </w:r>
    </w:p>
    <w:p>
      <w:r>
        <w:rPr>
          <w:b/>
        </w:rPr>
        <w:t xml:space="preserve">14.2 </w:t>
      </w:r>
      <w:r>
        <w:t xml:space="preserve">This confidentiality obligation applies </w:t>
      </w:r>
      <w:r>
        <w:rPr>
          <w:b/>
        </w:rPr>
        <w:t>during the term of this Agreement and indefinitely thereafter</w:t>
      </w:r>
      <w:r>
        <w:t>, as permitted by the Trade Secrets Act for information that retains its character as a trade secret.</w:t>
      </w:r>
    </w:p>
    <w:p>
      <w:r>
        <w:rPr>
          <w:b/>
        </w:rPr>
        <w:t xml:space="preserve">14.3 </w:t>
      </w:r>
      <w:r>
        <w:t>Neither Partner shall disclose any confidential information to any third party without the prior written consent of the other Partner, except:</w:t>
      </w:r>
    </w:p>
    <w:p>
      <w:pPr>
        <w:pStyle w:val="ListBullet"/>
      </w:pPr>
      <w:r>
        <w:t>Where required by Swedish law, court order, or a regulatory authority.</w:t>
      </w:r>
    </w:p>
    <w:p>
      <w:pPr>
        <w:pStyle w:val="ListBullet"/>
      </w:pPr>
      <w:r>
        <w:t>To professional advisors (lawyers, accountants) who are bound by their own professional secrecy obligations.</w:t>
      </w:r>
    </w:p>
    <w:p>
      <w:r>
        <w:rPr>
          <w:b/>
        </w:rPr>
        <w:t xml:space="preserve">14.4 </w:t>
      </w:r>
      <w:r>
        <w:t>Breach of this confidentiality clause may give rise to both contractual liability under this Agreement and statutory liability under the Trade Secrets Act, including damages and criminal penalties of up to six years imprisonment for aggravated cases.</w:t>
      </w:r>
    </w:p>
    <w:p>
      <w:pPr>
        <w:pStyle w:val="Heading1"/>
      </w:pPr>
      <w:r>
        <w:t>15. BREACH AND CONSEQUENCES</w:t>
      </w:r>
    </w:p>
    <w:p>
      <w:r>
        <w:rPr>
          <w:i/>
        </w:rPr>
        <w:t>Legal basis: Avtalslagen (1915:218); Skadeståndslagen (1972:207), the Tort Liability Act; Aktiebolagslagen Chapter 29 (liability for board members)</w:t>
      </w:r>
    </w:p>
    <w:p>
      <w:r>
        <w:rPr>
          <w:b/>
        </w:rPr>
        <w:t xml:space="preserve">15.1 </w:t>
      </w:r>
      <w:r>
        <w:t>A material breach of this Agreement by either Partner may include:</w:t>
      </w:r>
    </w:p>
    <w:p>
      <w:pPr>
        <w:pStyle w:val="ListBullet"/>
      </w:pPr>
      <w:r>
        <w:t>Breach of the confidentiality obligations in Section 14.</w:t>
      </w:r>
    </w:p>
    <w:p>
      <w:pPr>
        <w:pStyle w:val="ListBullet"/>
      </w:pPr>
      <w:r>
        <w:t>Breach of the non-compete obligations in Section 13.</w:t>
      </w:r>
    </w:p>
    <w:p>
      <w:pPr>
        <w:pStyle w:val="ListBullet"/>
      </w:pPr>
      <w:r>
        <w:t>Unauthorised transfer or pledging of shares.</w:t>
      </w:r>
    </w:p>
    <w:p>
      <w:pPr>
        <w:pStyle w:val="ListBullet"/>
      </w:pPr>
      <w:r>
        <w:t>Unauthorised commitments or expenditures on behalf of the company.</w:t>
      </w:r>
    </w:p>
    <w:p>
      <w:pPr>
        <w:pStyle w:val="ListBullet"/>
      </w:pPr>
      <w:r>
        <w:t>Persistent failure to meet contribution requirements after exhausting the progressive steps.</w:t>
      </w:r>
    </w:p>
    <w:p>
      <w:pPr>
        <w:pStyle w:val="ListBullet"/>
      </w:pPr>
      <w:r>
        <w:t>Any intentional act causing material harm to the company.</w:t>
      </w:r>
    </w:p>
    <w:p>
      <w:r>
        <w:rPr>
          <w:b/>
        </w:rPr>
        <w:t xml:space="preserve">15.2 </w:t>
      </w:r>
      <w:r>
        <w:t>Upon material breach, the non-breaching Partner may:</w:t>
      </w:r>
    </w:p>
    <w:p>
      <w:pPr>
        <w:pStyle w:val="ListBullet"/>
      </w:pPr>
      <w:r>
        <w:t>Demand immediate cure within 14 days for curable breaches.</w:t>
      </w:r>
    </w:p>
    <w:p>
      <w:pPr>
        <w:pStyle w:val="ListBullet"/>
      </w:pPr>
      <w:r>
        <w:t>Trigger the forced exit process described in Section 11.3.</w:t>
      </w:r>
    </w:p>
    <w:p>
      <w:pPr>
        <w:pStyle w:val="ListBullet"/>
      </w:pPr>
      <w:r>
        <w:t>Claim damages in accordance with Skadeståndslagen Chapter 2, Section 2 (pure economic loss in contractual relationships).</w:t>
      </w:r>
    </w:p>
    <w:p>
      <w:pPr>
        <w:pStyle w:val="ListBullet"/>
      </w:pPr>
      <w:r>
        <w:t>Pursue injunctive relief through Swedish courts if immediate harm is occurring.</w:t>
      </w:r>
    </w:p>
    <w:p>
      <w:r>
        <w:rPr>
          <w:b/>
        </w:rPr>
        <w:t xml:space="preserve">15.3 </w:t>
      </w:r>
      <w:r>
        <w:t>The breaching Partner shall be liable for all direct damages caused by the breach, including lost profits, costs of remediation, and legal costs. Liability is assessed according to the Swedish standard of adequate causation (adekvat kausalitet).</w:t>
      </w:r>
    </w:p>
    <w:p>
      <w:r>
        <w:rPr>
          <w:b/>
        </w:rPr>
        <w:t xml:space="preserve">15.4 </w:t>
      </w:r>
      <w:r>
        <w:t>Neither Partner shall be liable for breach caused by circumstances beyond their reasonable control (force majeure), including but not limited to natural disasters, government orders, pandemic, or war.</w:t>
      </w:r>
    </w:p>
    <w:p>
      <w:pPr>
        <w:pStyle w:val="Heading1"/>
      </w:pPr>
      <w:r>
        <w:t>16. DISPUTE RESOLUTION</w:t>
      </w:r>
    </w:p>
    <w:p>
      <w:r>
        <w:rPr>
          <w:i/>
        </w:rPr>
        <w:t>Legal basis: Lag (1999:116) om skiljerförfarande (Swedish Arbitration Act); Lag (2011:860) om medling i vissa privaträttsliga tvister (Mediation Act)</w:t>
      </w:r>
    </w:p>
    <w:p>
      <w:r>
        <w:rPr>
          <w:b/>
        </w:rPr>
        <w:t xml:space="preserve">16.1 </w:t>
      </w:r>
      <w:r>
        <w:t>In the event of any dispute arising out of or in connection with this Agreement, the Partners shall follow these steps:</w:t>
      </w:r>
    </w:p>
    <w:p>
      <w:r>
        <w:rPr>
          <w:b/>
        </w:rPr>
        <w:t xml:space="preserve">Step 1, Good-Faith Negotiation: </w:t>
      </w:r>
      <w:r>
        <w:t>The Partners shall first attempt to resolve the dispute through direct negotiation within 30 days of the dispute being formally identified in writing.</w:t>
      </w:r>
    </w:p>
    <w:p>
      <w:r>
        <w:rPr>
          <w:b/>
        </w:rPr>
        <w:t xml:space="preserve">Step 2, Mediation: </w:t>
      </w:r>
      <w:r>
        <w:t>If negotiation fails, the Partners shall appoint a mutually agreed neutral mediator in accordance with the Mediation Act. The cost of mediation shall be shared equally. Mediation shall be completed within 60 days of the appointment.</w:t>
      </w:r>
    </w:p>
    <w:p>
      <w:r>
        <w:rPr>
          <w:b/>
        </w:rPr>
        <w:t xml:space="preserve">Step 3, Binding Arbitration: </w:t>
      </w:r>
      <w:r>
        <w:t>If mediation fails, the dispute shall be finally resolved by binding arbitration under the Rules of the Arbitration Institute of the Stockholm Chamber of Commerce (SCC). The SCC Simplified Arbitration Rules shall apply for disputes with a value below 500,000 SEK. The seat of arbitration shall be Helsingborg. The language of arbitration shall be English or Swedish as mutually agreed. The arbitration shall be confidential.</w:t>
      </w:r>
    </w:p>
    <w:p>
      <w:r>
        <w:rPr>
          <w:b/>
        </w:rPr>
        <w:t xml:space="preserve">16.2 Governing Law: </w:t>
      </w:r>
      <w:r>
        <w:t>This Agreement shall be governed by and construed in accordance with Swedish law.</w:t>
      </w:r>
    </w:p>
    <w:p>
      <w:r>
        <w:rPr>
          <w:b/>
        </w:rPr>
        <w:t xml:space="preserve">16.3 Jurisdiction: </w:t>
      </w:r>
      <w:r>
        <w:t>The jurisdiction for all matters relating to this Agreement shall be Sweden.</w:t>
      </w:r>
    </w:p>
    <w:p>
      <w:r>
        <w:rPr>
          <w:b/>
        </w:rPr>
        <w:t xml:space="preserve">16.4 Costs: </w:t>
      </w:r>
      <w:r>
        <w:t>Unless the arbitrator determines otherwise, the costs of arbitration shall be borne equally by both parties. Each party bears their own legal representation costs unless the arbitrator awards costs to the prevailing party.</w:t>
      </w:r>
    </w:p>
    <w:p>
      <w:pPr>
        <w:pStyle w:val="Heading1"/>
      </w:pPr>
      <w:r>
        <w:t>17. AMENDMENTS AND REVIEW</w:t>
      </w:r>
    </w:p>
    <w:p>
      <w:r>
        <w:rPr>
          <w:i/>
        </w:rPr>
        <w:t>Legal basis: Avtalslagen (1915:218) Sections 1 and 2 (mutual agreement required for modification)</w:t>
      </w:r>
    </w:p>
    <w:p>
      <w:r>
        <w:rPr>
          <w:b/>
        </w:rPr>
        <w:t xml:space="preserve">17.1 </w:t>
      </w:r>
      <w:r>
        <w:t xml:space="preserve">Any amendment to this Agreement must be made </w:t>
      </w:r>
      <w:r>
        <w:rPr>
          <w:b/>
        </w:rPr>
        <w:t>in writing and signed by both Partners.</w:t>
      </w:r>
      <w:r>
        <w:t xml:space="preserve"> No verbal agreement shall constitute a valid amendment. This requirement cannot itself be waived verbally.</w:t>
      </w:r>
    </w:p>
    <w:p>
      <w:r>
        <w:rPr>
          <w:b/>
        </w:rPr>
        <w:t xml:space="preserve">17.2 </w:t>
      </w:r>
      <w:r>
        <w:t>A formal review of this Agreement shall take place every 12 months at the annual Board meeting to ensure it remains current and relevant.</w:t>
      </w:r>
    </w:p>
    <w:p>
      <w:r>
        <w:rPr>
          <w:b/>
        </w:rPr>
        <w:t xml:space="preserve">17.3 </w:t>
      </w:r>
      <w:r>
        <w:t>The following events shall trigger an unscheduled review:</w:t>
      </w:r>
    </w:p>
    <w:p>
      <w:pPr>
        <w:pStyle w:val="ListBullet"/>
      </w:pPr>
      <w:r>
        <w:t>Addition of a new partner or shareholder.</w:t>
      </w:r>
    </w:p>
    <w:p>
      <w:pPr>
        <w:pStyle w:val="ListBullet"/>
      </w:pPr>
      <w:r>
        <w:t>Exit of either Partner.</w:t>
      </w:r>
    </w:p>
    <w:p>
      <w:pPr>
        <w:pStyle w:val="ListBullet"/>
      </w:pPr>
      <w:r>
        <w:t>Company revenue exceeding 1,000,000 SEK annually.</w:t>
      </w:r>
    </w:p>
    <w:p>
      <w:pPr>
        <w:pStyle w:val="ListBullet"/>
      </w:pPr>
      <w:r>
        <w:t>Any material change in the business direction of petfolioo.com.</w:t>
      </w:r>
    </w:p>
    <w:p>
      <w:pPr>
        <w:pStyle w:val="ListBullet"/>
      </w:pPr>
      <w:r>
        <w:t>Changes in applicable Swedish law that materially affect this Agreement.</w:t>
      </w:r>
    </w:p>
    <w:p>
      <w:pPr>
        <w:pStyle w:val="Heading1"/>
      </w:pPr>
      <w:r>
        <w:t>18. ENTIRE AGREEMENT AND SEVERABILITY</w:t>
      </w:r>
    </w:p>
    <w:p>
      <w:r>
        <w:rPr>
          <w:i/>
        </w:rPr>
        <w:t>Legal basis: Avtalslagen (1915:218); Aktiebolagslagen Chapter 3 (relationship between articles of association and shareholder agreements)</w:t>
      </w:r>
    </w:p>
    <w:p>
      <w:r>
        <w:rPr>
          <w:b/>
        </w:rPr>
        <w:t xml:space="preserve">18.1 </w:t>
      </w:r>
      <w:r>
        <w:t xml:space="preserve">This Agreement constitutes the entire agreement between the Partners with respect to the subject matter hereof and </w:t>
      </w:r>
      <w:r>
        <w:rPr>
          <w:b/>
        </w:rPr>
        <w:t>supersedes all previous verbal and written understandings, negotiations, and agreements</w:t>
      </w:r>
      <w:r>
        <w:t xml:space="preserve"> between the Partners relating to petfolioo.com.</w:t>
      </w:r>
    </w:p>
    <w:p>
      <w:r>
        <w:rPr>
          <w:b/>
        </w:rPr>
        <w:t xml:space="preserve">18.2 </w:t>
      </w:r>
      <w:r>
        <w:t>Each Partner acknowledges that they have read, understood, and agreed to all terms of this Agreement freely and without duress, in accordance with Avtalslagen Sections 28 to 33.</w:t>
      </w:r>
    </w:p>
    <w:p>
      <w:r>
        <w:rPr>
          <w:b/>
        </w:rPr>
        <w:t xml:space="preserve">18.3 Severability: </w:t>
      </w:r>
      <w:r>
        <w:t>If any provision of this Agreement is found to be invalid or unenforceable under Swedish law, including by application of Avtalslagen Section 36, the remaining provisions shall continue in full force and effect. The invalid provision shall be replaced with the nearest enforceable equivalent that reflects the original intent of the Partners.</w:t>
      </w:r>
    </w:p>
    <w:p>
      <w:r>
        <w:rPr>
          <w:b/>
        </w:rPr>
        <w:t xml:space="preserve">18.4 </w:t>
      </w:r>
      <w:r>
        <w:t>In the event of any conflict between this Agreement and the company's articles of association (bolagsordning), the articles of association shall prevail insofar as required by Aktiebolagslagen. The Partners commit to amending the articles of association to align with this Agreement where legally permissible.</w:t>
      </w:r>
    </w:p>
    <w:p>
      <w:pPr>
        <w:pStyle w:val="Heading1"/>
      </w:pPr>
      <w:r>
        <w:t>19. EXECUTION</w:t>
      </w:r>
    </w:p>
    <w:p>
      <w:r>
        <w:rPr>
          <w:b/>
        </w:rPr>
        <w:t xml:space="preserve">19.1 </w:t>
      </w:r>
      <w:r>
        <w:t xml:space="preserve">This Agreement is executed in </w:t>
      </w:r>
      <w:r>
        <w:rPr>
          <w:b/>
        </w:rPr>
        <w:t>two original copies</w:t>
      </w:r>
      <w:r>
        <w:t>, one for each Partner. Both copies are equally valid.</w:t>
      </w:r>
    </w:p>
    <w:p>
      <w:r>
        <w:rPr>
          <w:b/>
        </w:rPr>
        <w:t xml:space="preserve">19.2 </w:t>
      </w:r>
      <w:r>
        <w:t>This Agreement may alternatively be executed electronically via BankID, which has full legal validity under the EU eIDAS Regulation (910/2014) and Swedish electronic signature legislation.</w:t>
      </w:r>
    </w:p>
    <w:p>
      <w:r>
        <w:rPr>
          <w:b/>
        </w:rPr>
        <w:t xml:space="preserve">19.3 </w:t>
      </w:r>
      <w:r>
        <w:t>Two witnesses are present at signing to strengthen evidentiary value in the event of any future dispute regarding the Agreement's authenticity or the circumstances of signing.</w:t>
      </w:r>
    </w:p>
    <w:p>
      <w:r>
        <w:br w:type="page"/>
      </w:r>
    </w:p>
    <w:p>
      <w:pPr>
        <w:pStyle w:val="Heading1"/>
      </w:pPr>
      <w:r>
        <w:t>20. SIGNATURES</w:t>
      </w:r>
    </w:p>
    <w:p>
      <w:r>
        <w:t>By signing below, both Partners confirm their full understanding and acceptance of all terms of this Agreement, entered into freely and voluntarily.</w:t>
      </w:r>
    </w:p>
    <w:p/>
    <w:p>
      <w:r>
        <w:t>______________________________________________________________________</w:t>
      </w:r>
    </w:p>
    <w:p/>
    <w:p>
      <w:r>
        <w:rPr>
          <w:b/>
        </w:rPr>
        <w:t>Partner 1</w:t>
      </w:r>
    </w:p>
    <w:p/>
    <w:p>
      <w:r>
        <w:t>Full Legal Name: Abdelaziz Ibrahim Abdelaziz Allam</w:t>
      </w:r>
    </w:p>
    <w:p>
      <w:r>
        <w:t>Personal Number: 890718-6194</w:t>
      </w:r>
    </w:p>
    <w:p/>
    <w:p>
      <w:r>
        <w:t>Signature: ________________________________________</w:t>
      </w:r>
    </w:p>
    <w:p/>
    <w:p>
      <w:r>
        <w:t>Date: ________________</w:t>
      </w:r>
    </w:p>
    <w:p>
      <w:r>
        <w:t>Place: Helsingborg</w:t>
      </w:r>
    </w:p>
    <w:p/>
    <w:p>
      <w:r>
        <w:t>______________________________________________________________________</w:t>
      </w:r>
    </w:p>
    <w:p/>
    <w:p>
      <w:r>
        <w:rPr>
          <w:b/>
        </w:rPr>
        <w:t>Partner 2</w:t>
      </w:r>
    </w:p>
    <w:p/>
    <w:p>
      <w:r>
        <w:t>Full Legal Name: Pavneet Singh</w:t>
      </w:r>
    </w:p>
    <w:p>
      <w:r>
        <w:t>Personal Number: 810704-3237</w:t>
      </w:r>
    </w:p>
    <w:p/>
    <w:p>
      <w:r>
        <w:t>Signature: ________________________________________</w:t>
      </w:r>
    </w:p>
    <w:p/>
    <w:p>
      <w:r>
        <w:t>Date: ________________</w:t>
      </w:r>
    </w:p>
    <w:p>
      <w:r>
        <w:t>Place: Helsingborg</w:t>
      </w:r>
    </w:p>
    <w:p/>
    <w:p>
      <w:r>
        <w:t>______________________________________________________________________</w:t>
      </w:r>
    </w:p>
    <w:p/>
    <w:p>
      <w:r>
        <w:rPr>
          <w:b/>
        </w:rPr>
        <w:t>Witness 1</w:t>
      </w:r>
    </w:p>
    <w:p/>
    <w:p>
      <w:r>
        <w:t>Full Name: ________________________________________</w:t>
      </w:r>
    </w:p>
    <w:p>
      <w:r>
        <w:t>Personal Number: ________________________________________</w:t>
      </w:r>
    </w:p>
    <w:p>
      <w:r>
        <w:t>Signature: ________________________________________</w:t>
      </w:r>
    </w:p>
    <w:p>
      <w:r>
        <w:t>Date: ________________</w:t>
      </w:r>
    </w:p>
    <w:p/>
    <w:p>
      <w:r>
        <w:t>______________________________________________________________________</w:t>
      </w:r>
    </w:p>
    <w:p/>
    <w:p>
      <w:r>
        <w:rPr>
          <w:b/>
        </w:rPr>
        <w:t>Witness 2</w:t>
      </w:r>
    </w:p>
    <w:p/>
    <w:p>
      <w:r>
        <w:t>Full Name: ________________________________________</w:t>
      </w:r>
    </w:p>
    <w:p>
      <w:r>
        <w:t>Personal Number: ________________________________________</w:t>
      </w:r>
    </w:p>
    <w:p>
      <w:r>
        <w:t>Signature: ________________________________________</w:t>
      </w:r>
    </w:p>
    <w:p>
      <w:r>
        <w:t>Date: 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