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Review — petfolioo.com Shareholder Agreement</w:t>
      </w:r>
    </w:p>
    <w:p>
      <w:pPr>
        <w:jc w:val="center"/>
      </w:pPr>
      <w:r>
        <w:rPr>
          <w:i/>
          <w:sz w:val="22"/>
        </w:rPr>
        <w:t>Prepared for: Abdelaziz Ibrahim Abdelaziz Allam (Partner 1, 67% Shareholder)</w:t>
      </w:r>
      <w:r>
        <w:br/>
      </w:r>
      <w:r>
        <w:rPr>
          <w:i/>
          <w:sz w:val="22"/>
        </w:rPr>
        <w:t>Agreement Date: 12 June 2026 | Review Date: 12 July 2026</w:t>
      </w:r>
      <w:r>
        <w:br/>
      </w:r>
      <w:r>
        <w:rPr>
          <w:i/>
          <w:sz w:val="22"/>
        </w:rPr>
        <w:t>Governing Law: Swedish (Aktiebolagslagen, ABL 2005:551 + Avtalslagen 1915:218)</w:t>
      </w:r>
    </w:p>
    <w:p/>
    <w:p>
      <w:pPr>
        <w:pStyle w:val="Heading1"/>
      </w:pPr>
      <w:r>
        <w:t>1. Overall Assessment</w:t>
      </w:r>
    </w:p>
    <w:p>
      <w:r>
        <w:rPr>
          <w:sz w:val="22"/>
        </w:rPr>
        <w:t xml:space="preserve">The agreement is </w:t>
      </w:r>
      <w:r>
        <w:rPr>
          <w:b/>
          <w:sz w:val="22"/>
        </w:rPr>
        <w:t>reasonably well-structured</w:t>
      </w:r>
      <w:r>
        <w:t xml:space="preserve"> for a two-partner startup but has several gaps and risks that need attention. It broadly aligns with Swedish law, but some clauses need refinement to better protect the majority shareholder's interests and ensure long-term enforceability.</w:t>
      </w:r>
    </w:p>
    <w:p>
      <w:pPr>
        <w:pStyle w:val="Heading1"/>
      </w:pPr>
      <w:r>
        <w:t>2. Section-by-Section Analysis</w:t>
      </w:r>
    </w:p>
    <w:p>
      <w:pPr>
        <w:pStyle w:val="Heading2"/>
      </w:pPr>
      <w:r>
        <w:t>Sections 1-3: Parties &amp; Company Structure</w:t>
      </w:r>
    </w:p>
    <w:p>
      <w:r>
        <w:rPr>
          <w:b/>
        </w:rPr>
        <w:t xml:space="preserve">Status: </w:t>
      </w:r>
      <w:r>
        <w:t>Acceptable</w:t>
      </w:r>
    </w:p>
    <w:p>
      <w:pPr>
        <w:pStyle w:val="ListBullet"/>
      </w:pPr>
      <w:r>
        <w:t>Share split 67/33 correctly reflects capital contribution (16,750 / 8,250 = 25,000 SEK).</w:t>
      </w:r>
    </w:p>
    <w:p>
      <w:pPr>
        <w:pStyle w:val="ListBullet"/>
      </w:pPr>
      <w:r>
        <w:t>Personal numbers (personnummer) are included — standard for Swedish agreements.</w:t>
      </w:r>
    </w:p>
    <w:p>
      <w:pPr>
        <w:pStyle w:val="ListBullet"/>
      </w:pPr>
      <w:r>
        <w:t>Company correctly identified as an Aktiebolag (AB).</w:t>
      </w:r>
    </w:p>
    <w:p>
      <w:r>
        <w:rPr>
          <w:b/>
        </w:rPr>
        <w:t xml:space="preserve">Risk: </w:t>
      </w:r>
      <w:r>
        <w:t>None in this section.</w:t>
      </w:r>
    </w:p>
    <w:p>
      <w:pPr>
        <w:pStyle w:val="Heading2"/>
      </w:pPr>
      <w:r>
        <w:t>Sections 4-5: Board of Directors &amp; Decision Making</w:t>
      </w:r>
    </w:p>
    <w:p>
      <w:r>
        <w:rPr>
          <w:b/>
        </w:rPr>
        <w:t>Concern Level: MEDIUM</w:t>
      </w:r>
    </w:p>
    <w:p>
      <w:pPr>
        <w:pStyle w:val="ListBullet"/>
      </w:pPr>
      <w:r>
        <w:t>Equal board representation despite 67/33 ownership is a significant concession from Partner 1. Under ABL Chapter 8, the board is normally elected by the shareholders' meeting (bolagsstämma) where Partner 1 would have majority vote. By agreeing to equal board seats, Partner 1 has given up natural majority control.</w:t>
      </w:r>
    </w:p>
    <w:p>
      <w:pPr>
        <w:pStyle w:val="ListBullet"/>
      </w:pPr>
      <w:r>
        <w:t>The "15% of net profit" threshold for independent decisions is vague — 15% of which period's net profit? This needs clarification (trailing 12-month? Annual budget?).</w:t>
      </w:r>
    </w:p>
    <w:p>
      <w:pPr>
        <w:pStyle w:val="ListBullet"/>
      </w:pPr>
      <w:r>
        <w:t>The 3,000 SEK fixed limit in the first year is extremely low for any meaningful business decisions. Even minor operational costs (hosting, services) could exceed this.</w:t>
      </w:r>
    </w:p>
    <w:p>
      <w:r>
        <w:rPr>
          <w:b/>
        </w:rPr>
        <w:t>Recommendations:</w:t>
      </w:r>
    </w:p>
    <w:p>
      <w:pPr>
        <w:pStyle w:val="ListBullet"/>
      </w:pPr>
      <w:r>
        <w:t>Clarify the 15% calculation basis (trailing 12-month net profit or annual budget).</w:t>
      </w:r>
    </w:p>
    <w:p>
      <w:pPr>
        <w:pStyle w:val="ListBullet"/>
      </w:pPr>
      <w:r>
        <w:t>Raise the first-year fixed limit to at least 10,000–15,000 SEK.</w:t>
      </w:r>
    </w:p>
    <w:p>
      <w:pPr>
        <w:pStyle w:val="ListBullet"/>
      </w:pPr>
      <w:r>
        <w:t>Add that Partner 1 (67% owner) holds the casting vote at bolagsstämma — this is the statutory right under ABL.</w:t>
      </w:r>
    </w:p>
    <w:p>
      <w:pPr>
        <w:pStyle w:val="Heading2"/>
      </w:pPr>
      <w:r>
        <w:t>Section 6: Deadlock Resolution</w:t>
      </w:r>
    </w:p>
    <w:p>
      <w:r>
        <w:rPr>
          <w:b/>
        </w:rPr>
        <w:t xml:space="preserve">Status: </w:t>
      </w:r>
      <w:r>
        <w:t>Good structure (cooling → mediation → buyout)</w:t>
      </w:r>
    </w:p>
    <w:p>
      <w:pPr>
        <w:pStyle w:val="ListBullet"/>
      </w:pPr>
      <w:r>
        <w:t>The three-step process is solid and follows best practices for Swedish shareholder agreements.</w:t>
      </w:r>
    </w:p>
    <w:p>
      <w:pPr>
        <w:pStyle w:val="ListBullet"/>
      </w:pPr>
      <w:r>
        <w:t>However, it is not specified who gets the buyout option. As the 67% holder, Partner 1 should have the right to buy the minority share at assessed value — not the other way around.</w:t>
      </w:r>
    </w:p>
    <w:p>
      <w:r>
        <w:rPr>
          <w:b/>
        </w:rPr>
        <w:t xml:space="preserve">Recommendation: </w:t>
      </w:r>
      <w:r>
        <w:t>Clarify that in a deadlock buyout, the majority shareholder has the first right to acquire the minority's shares.</w:t>
      </w:r>
    </w:p>
    <w:p>
      <w:pPr>
        <w:pStyle w:val="Heading2"/>
      </w:pPr>
      <w:r>
        <w:t>Section 8: Contribution Commitments</w:t>
      </w:r>
    </w:p>
    <w:p>
      <w:r>
        <w:rPr>
          <w:b/>
        </w:rPr>
        <w:t>Concern Level: LOW-MEDIUM</w:t>
      </w:r>
    </w:p>
    <w:p>
      <w:pPr>
        <w:pStyle w:val="ListBullet"/>
      </w:pPr>
      <w:r>
        <w:t>15–20 hours/week commitment is reasonable for a part-time venture.</w:t>
      </w:r>
    </w:p>
    <w:p>
      <w:pPr>
        <w:pStyle w:val="ListBullet"/>
      </w:pPr>
      <w:r>
        <w:t>The progressive discipline system (warning → profit reduction → forced buyout) protects the more active partner well.</w:t>
      </w:r>
    </w:p>
    <w:p>
      <w:pPr>
        <w:pStyle w:val="ListBullet"/>
      </w:pPr>
      <w:r>
        <w:t>30 days to cure underperformance after warning is fair.</w:t>
      </w:r>
    </w:p>
    <w:p>
      <w:pPr>
        <w:pStyle w:val="ListBullet"/>
      </w:pPr>
      <w:r>
        <w:t>3 months of continued inactivity before forced buyout trigger is reasonable.</w:t>
      </w:r>
    </w:p>
    <w:p>
      <w:r>
        <w:rPr>
          <w:b/>
        </w:rPr>
        <w:t xml:space="preserve">Issue: </w:t>
      </w:r>
      <w:r>
        <w:t>"Contribution" is not clearly defined — does it include coding, marketing, admin, customer support? This ambiguity could lead to disputes.</w:t>
      </w:r>
    </w:p>
    <w:p>
      <w:r>
        <w:rPr>
          <w:b/>
        </w:rPr>
        <w:t xml:space="preserve">Recommendation: </w:t>
      </w:r>
      <w:r>
        <w:t>Define what constitutes a valid contribution (development, design, marketing, admin, customer support, etc.) to prevent disputes over compliance.</w:t>
      </w:r>
    </w:p>
    <w:p>
      <w:pPr>
        <w:pStyle w:val="Heading2"/>
      </w:pPr>
      <w:r>
        <w:t>Section 9: Share Transfer and Exit Provisions</w:t>
      </w:r>
    </w:p>
    <w:p>
      <w:r>
        <w:rPr>
          <w:b/>
        </w:rPr>
        <w:t>Concern Level: MEDIUM-HIGH</w:t>
      </w:r>
    </w:p>
    <w:p>
      <w:pPr>
        <w:pStyle w:val="ListBullet"/>
      </w:pPr>
      <w:r>
        <w:t>90-day notice for voluntary exit is standard.</w:t>
      </w:r>
    </w:p>
    <w:p>
      <w:pPr>
        <w:pStyle w:val="ListBullet"/>
      </w:pPr>
      <w:r>
        <w:t>Right of first refusal protects both parties.</w:t>
      </w:r>
    </w:p>
    <w:p>
      <w:pPr>
        <w:pStyle w:val="ListBullet"/>
      </w:pPr>
      <w:r>
        <w:t>Forced exit triggers (breach, criminal conviction, non-contribution) are reasonable.</w:t>
      </w:r>
    </w:p>
    <w:p>
      <w:r>
        <w:rPr>
          <w:b/>
        </w:rPr>
        <w:t>Issues identified:</w:t>
      </w:r>
    </w:p>
    <w:p>
      <w:pPr>
        <w:pStyle w:val="ListBullet"/>
      </w:pPr>
      <w:r>
        <w:t>Section 9.3 (Death/Incapacity): Shares pass to "immediate family" if first refusal is not exercised within 60 days. This means a partner's family could inherit shares and Partner 1 would have a partner they didn't choose. The approval clause helps, but the agreement is silent on what happens if approval is denied — creating potential limbo.</w:t>
      </w:r>
    </w:p>
    <w:p>
      <w:pPr>
        <w:pStyle w:val="ListBullet"/>
      </w:pPr>
      <w:r>
        <w:t>Section 9.4 (Valuation): "Independent professional assessor" is specified but no valuation method is defined (DCF? Revenue multiple? Asset-based?). This creates significant room for dispute.</w:t>
      </w:r>
    </w:p>
    <w:p>
      <w:r>
        <w:rPr>
          <w:b/>
        </w:rPr>
        <w:t>Recommendations:</w:t>
      </w:r>
    </w:p>
    <w:p>
      <w:pPr>
        <w:pStyle w:val="ListBullet"/>
      </w:pPr>
      <w:r>
        <w:t>Add: If the remaining partner does not approve an incoming family member, the shares must be sold to the remaining partner at assessed valuation within 90 days.</w:t>
      </w:r>
    </w:p>
    <w:p>
      <w:pPr>
        <w:pStyle w:val="ListBullet"/>
      </w:pPr>
      <w:r>
        <w:t>Specify valuation methodology or reference a recognized standard (e.g., 3x trailing 12-month revenue, or independent DCF valuation, whichever is higher).</w:t>
      </w:r>
    </w:p>
    <w:p>
      <w:pPr>
        <w:pStyle w:val="ListBullet"/>
      </w:pPr>
      <w:r>
        <w:t>Consider adding a minority discount provision for the 33% stake since minority shares are inherently worth less on the open market.</w:t>
      </w:r>
    </w:p>
    <w:p>
      <w:pPr>
        <w:pStyle w:val="Heading2"/>
      </w:pPr>
      <w:r>
        <w:t>Section 10: Future Partner — Planned Entry of Partner 2's Son</w:t>
      </w:r>
    </w:p>
    <w:p>
      <w:r>
        <w:rPr>
          <w:b/>
          <w:color w:val="C00000"/>
        </w:rPr>
        <w:t>Concern Level: HIGH — Most Problematic Section</w:t>
      </w:r>
    </w:p>
    <w:p>
      <w:r>
        <w:t>This clause pre-commits to transferring Partner 2's 33% to his son Kiratpreet Singh (born 1 December 2008) upon turning 18 on 1 December 2026 — only approximately 5 months from the agreement date.</w:t>
      </w:r>
    </w:p>
    <w:p>
      <w:r>
        <w:rPr>
          <w:b/>
        </w:rPr>
        <w:t>Critical Issues:</w:t>
      </w:r>
    </w:p>
    <w:p>
      <w:pPr>
        <w:pStyle w:val="ListBullet"/>
      </w:pPr>
      <w:r>
        <w:t>This is not a standard clause. It is essentially a succession plan for a minority shareholder embedded in the founding agreement. This suggests Partner 2 may be planning to exit very early.</w:t>
      </w:r>
    </w:p>
    <w:p>
      <w:pPr>
        <w:pStyle w:val="ListBullet"/>
      </w:pPr>
      <w:r>
        <w:t>The role options upon transfer (Section 10.3) — Full Exit, Chairman, Silent Shareholder, Advisor — apply to Partner 1 (the 67% majority owner). This is backwards. Why would the majority owner be offered exit options when the minority holder changes? This clause appears drafted more in Partner 2's interest.</w:t>
      </w:r>
    </w:p>
    <w:p>
      <w:pPr>
        <w:pStyle w:val="ListBullet"/>
      </w:pPr>
      <w:r>
        <w:t>An 18-year-old with no proven track record in the business would hold 33% of the company. There are no competence requirements or probation period specified.</w:t>
      </w:r>
    </w:p>
    <w:p>
      <w:pPr>
        <w:pStyle w:val="ListBullet"/>
      </w:pPr>
      <w:r>
        <w:t>No explicit veto right for Partner 1. While Section 10.2 requires "written agreement of both existing Partners," the clause's framing as an expected outcome creates social pressure to accept.</w:t>
      </w:r>
    </w:p>
    <w:p>
      <w:pPr>
        <w:pStyle w:val="ListBullet"/>
      </w:pPr>
      <w:r>
        <w:t>Under Swedish law (ABL Chapter 4), share transfers are normally free unless restricted by a hembudsklausul (pre-emption clause) in the articles of association (bolagsordning). If petfolioo.com's bolagsordning lacks such a clause, this agreement alone may not be enforceable against third parties.</w:t>
      </w:r>
    </w:p>
    <w:p>
      <w:r>
        <w:rPr>
          <w:b/>
        </w:rPr>
        <w:t>Recommendations:</w:t>
      </w:r>
    </w:p>
    <w:p>
      <w:pPr>
        <w:pStyle w:val="ListBullet"/>
      </w:pPr>
      <w:r>
        <w:t>Remove or heavily revise this section.</w:t>
      </w:r>
    </w:p>
    <w:p>
      <w:pPr>
        <w:pStyle w:val="ListBullet"/>
      </w:pPr>
      <w:r>
        <w:t>If kept, add: a minimum probationary period (6–12 months) before full transfer where Kiratpreet demonstrates active contribution.</w:t>
      </w:r>
    </w:p>
    <w:p>
      <w:pPr>
        <w:pStyle w:val="ListBullet"/>
      </w:pPr>
      <w:r>
        <w:t>Add competence/contribution requirements before transfer completes.</w:t>
      </w:r>
    </w:p>
    <w:p>
      <w:pPr>
        <w:pStyle w:val="ListBullet"/>
      </w:pPr>
      <w:r>
        <w:t>Add Partner 1's explicit right to refuse the transfer without penalty or consequence.</w:t>
      </w:r>
    </w:p>
    <w:p>
      <w:pPr>
        <w:pStyle w:val="ListBullet"/>
      </w:pPr>
      <w:r>
        <w:t>Clarify that Partner 1's 67% ownership and board position are entirely unaffected by this transfer.</w:t>
      </w:r>
    </w:p>
    <w:p>
      <w:pPr>
        <w:pStyle w:val="ListBullet"/>
      </w:pPr>
      <w:r>
        <w:t>Verify that the bolagsordning includes a hembudsklausul or samtyckesförbehåll that supports these transfer restrictions.</w:t>
      </w:r>
    </w:p>
    <w:p>
      <w:pPr>
        <w:pStyle w:val="Heading2"/>
      </w:pPr>
      <w:r>
        <w:t>Section 11: Intellectual Property</w:t>
      </w:r>
    </w:p>
    <w:p>
      <w:r>
        <w:rPr>
          <w:b/>
        </w:rPr>
        <w:t>Concern Level: MEDIUM</w:t>
      </w:r>
    </w:p>
    <w:p>
      <w:pPr>
        <w:pStyle w:val="ListBullet"/>
      </w:pPr>
      <w:r>
        <w:t>Section 11.1 is strong — all IP belongs to the company exclusively.</w:t>
      </w:r>
    </w:p>
    <w:p>
      <w:pPr>
        <w:pStyle w:val="ListBullet"/>
      </w:pPr>
      <w:r>
        <w:t>Section 11.2 explicitly states no pre-existing IP is being brought into the company. This protects both parties equally.</w:t>
      </w:r>
    </w:p>
    <w:p>
      <w:pPr>
        <w:pStyle w:val="ListBullet"/>
      </w:pPr>
      <w:r>
        <w:t>Section 11.3 assigns work done outside normal working hours. Under Swedish law (Lag om arbetstagares uppfinningar, 1949:345), this is standard for business-related inventions. For shareholders (not employees), this contractual assignment is the correct legal approach.</w:t>
      </w:r>
    </w:p>
    <w:p>
      <w:pPr>
        <w:pStyle w:val="ListBullet"/>
      </w:pPr>
      <w:r>
        <w:t>Section 11.4 — no claim on IP after exit — good for protecting the company.</w:t>
      </w:r>
    </w:p>
    <w:p>
      <w:r>
        <w:rPr>
          <w:b/>
        </w:rPr>
        <w:t xml:space="preserve">Risk for Partner 1: </w:t>
      </w:r>
      <w:r>
        <w:t>As the primary developer and 67% owner, Partner 1 is assigning significantly more IP than Partner 2. If Partner 2 exits early (see Section 10), they retain no IP — but they paid for 33% of the company that holds all of Partner 1's code. The exit valuation must properly account for the IP value created disproportionately by Partner 1.</w:t>
      </w:r>
    </w:p>
    <w:p>
      <w:r>
        <w:rPr>
          <w:b/>
        </w:rPr>
        <w:t xml:space="preserve">Recommendation: </w:t>
      </w:r>
      <w:r>
        <w:t>Consider adding that IP valuation upon exit should reflect the relative contribution of each partner to its creation — or ensure the independent assessor is required to consider this factor.</w:t>
      </w:r>
    </w:p>
    <w:p>
      <w:pPr>
        <w:pStyle w:val="Heading2"/>
      </w:pPr>
      <w:r>
        <w:t>Section 12: Profit, Loss and Financial Management</w:t>
      </w:r>
    </w:p>
    <w:p>
      <w:r>
        <w:rPr>
          <w:b/>
        </w:rPr>
        <w:t xml:space="preserve">Status: </w:t>
      </w:r>
      <w:r>
        <w:t>Mostly Good</w:t>
      </w:r>
    </w:p>
    <w:p>
      <w:pPr>
        <w:pStyle w:val="ListBullet"/>
      </w:pPr>
      <w:r>
        <w:t>20–30% profit reserve is conservative and prudent for a startup.</w:t>
      </w:r>
    </w:p>
    <w:p>
      <w:pPr>
        <w:pStyle w:val="ListBullet"/>
      </w:pPr>
      <w:r>
        <w:t>Salary and dividend model per Swedish tax law is correct (ABL Ch. 18 for utdelning).</w:t>
      </w:r>
    </w:p>
    <w:p>
      <w:pPr>
        <w:pStyle w:val="ListBullet"/>
      </w:pPr>
      <w:r>
        <w:t>Loss liability limited to share capital — confirms the statutory protection under ABL Ch. 1 §3.</w:t>
      </w:r>
    </w:p>
    <w:p>
      <w:r>
        <w:rPr>
          <w:b/>
        </w:rPr>
        <w:t xml:space="preserve">Issue with Section 12.5 — "Equal Loss Sharing": </w:t>
      </w:r>
      <w:r>
        <w:t>This states financial obligations within share capital and retained profits shall be shared equally between the Partners. However, ownership is 67/33 — not 50/50. Losses should logically be shared proportionally to ownership. Equal loss sharing contradicts standard ABL principles where liability follows shareholding. While this technically benefits Partner 1 (paying less than proportional share), it could be challenged as unfair and creates legal ambiguity.</w:t>
      </w:r>
    </w:p>
    <w:p>
      <w:r>
        <w:rPr>
          <w:b/>
        </w:rPr>
        <w:t xml:space="preserve">Recommendation: </w:t>
      </w:r>
      <w:r>
        <w:t>Change "equally" to "in proportion to their respective shareholdings" to align with ABL and avoid confusion or future disputes.</w:t>
      </w:r>
    </w:p>
    <w:p>
      <w:pPr>
        <w:pStyle w:val="Heading2"/>
      </w:pPr>
      <w:r>
        <w:t>Section 13: Confidentiality</w:t>
      </w:r>
    </w:p>
    <w:p>
      <w:r>
        <w:rPr>
          <w:b/>
        </w:rPr>
        <w:t xml:space="preserve">Status: </w:t>
      </w:r>
      <w:r>
        <w:t>Good — No issues</w:t>
      </w:r>
    </w:p>
    <w:p>
      <w:pPr>
        <w:pStyle w:val="ListBullet"/>
      </w:pPr>
      <w:r>
        <w:t>Comprehensive coverage of confidential information types.</w:t>
      </w:r>
    </w:p>
    <w:p>
      <w:pPr>
        <w:pStyle w:val="ListBullet"/>
      </w:pPr>
      <w:r>
        <w:t>"Permanently thereafter" is strong but standard and enforceable in Sweden for trade secrets under Lag om företagshemligheter (2018:558).</w:t>
      </w:r>
    </w:p>
    <w:p>
      <w:pPr>
        <w:pStyle w:val="ListBullet"/>
      </w:pPr>
      <w:r>
        <w:t>Exception for court orders/Swedish law requirements is necessary and correctly included.</w:t>
      </w:r>
    </w:p>
    <w:p>
      <w:pPr>
        <w:pStyle w:val="Heading2"/>
      </w:pPr>
      <w:r>
        <w:t>Section 14: Non-Compete</w:t>
      </w:r>
    </w:p>
    <w:p>
      <w:r>
        <w:rPr>
          <w:b/>
        </w:rPr>
        <w:t>Concern Level: LOW-MEDIUM</w:t>
      </w:r>
    </w:p>
    <w:p>
      <w:pPr>
        <w:pStyle w:val="ListBullet"/>
      </w:pPr>
      <w:r>
        <w:t>12–24 months is at the upper end of what Swedish courts enforce. Swedish law (primarily through Avtalslagen §36 — the "reasonableness" clause) limits non-competes to what is strictly necessary.</w:t>
      </w:r>
    </w:p>
    <w:p>
      <w:pPr>
        <w:pStyle w:val="ListBullet"/>
      </w:pPr>
      <w:r>
        <w:t>The variable duration (determined at exit) adds legal uncertainty. Courts prefer clear, fixed terms for enforceability.</w:t>
      </w:r>
    </w:p>
    <w:p>
      <w:pPr>
        <w:pStyle w:val="ListBullet"/>
      </w:pPr>
      <w:r>
        <w:t>Section 14.3 acknowledges it shall not unreasonably restrict earning a living — this aligns with Swedish legal principles and strengthens enforceability.</w:t>
      </w:r>
    </w:p>
    <w:p>
      <w:r>
        <w:rPr>
          <w:b/>
        </w:rPr>
        <w:t xml:space="preserve">Risk for Partner 1: </w:t>
      </w:r>
      <w:r>
        <w:t>As the primary developer, a non-compete impacts Partner 1 significantly more than Partner 2. Being blocked from the pet-tech space for up to 24 months could be career-damaging.</w:t>
      </w:r>
    </w:p>
    <w:p>
      <w:r>
        <w:rPr>
          <w:b/>
        </w:rPr>
        <w:t>Recommendations:</w:t>
      </w:r>
    </w:p>
    <w:p>
      <w:pPr>
        <w:pStyle w:val="ListBullet"/>
      </w:pPr>
      <w:r>
        <w:t>Fix the duration to 12 months (more likely to be enforced by Swedish courts).</w:t>
      </w:r>
    </w:p>
    <w:p>
      <w:pPr>
        <w:pStyle w:val="ListBullet"/>
      </w:pPr>
      <w:r>
        <w:t>Add that the non-compete only applies if the exiting partner received fair market value for their shares. Swedish courts have struck down non-competes where no compensation was provided.</w:t>
      </w:r>
    </w:p>
    <w:p>
      <w:pPr>
        <w:pStyle w:val="ListBullet"/>
      </w:pPr>
      <w:r>
        <w:t>Add that forced exit (Section 9.2) due to the other partner's breach does NOT trigger the non-compete for the innocent/non-breaching party.</w:t>
      </w:r>
    </w:p>
    <w:p>
      <w:pPr>
        <w:pStyle w:val="Heading2"/>
      </w:pPr>
      <w:r>
        <w:t>Section 15: Dispute Resolution</w:t>
      </w:r>
    </w:p>
    <w:p>
      <w:r>
        <w:rPr>
          <w:b/>
        </w:rPr>
        <w:t xml:space="preserve">Status: </w:t>
      </w:r>
      <w:r>
        <w:t>Good</w:t>
      </w:r>
    </w:p>
    <w:p>
      <w:pPr>
        <w:pStyle w:val="ListBullet"/>
      </w:pPr>
      <w:r>
        <w:t>Three-step escalation (negotiation 30 days → mediation 60 days → binding arbitration) is best practice.</w:t>
      </w:r>
    </w:p>
    <w:p>
      <w:pPr>
        <w:pStyle w:val="ListBullet"/>
      </w:pPr>
      <w:r>
        <w:t>Binding arbitration is standard for Swedish shareholder agreements and avoids public court proceedings.</w:t>
      </w:r>
    </w:p>
    <w:p>
      <w:pPr>
        <w:pStyle w:val="ListBullet"/>
      </w:pPr>
      <w:r>
        <w:t>Governed by Swedish law with Swedish jurisdiction — correct.</w:t>
      </w:r>
    </w:p>
    <w:p>
      <w:r>
        <w:rPr>
          <w:b/>
        </w:rPr>
        <w:t xml:space="preserve">Minor concern: </w:t>
      </w:r>
      <w:r>
        <w:t>Arbitration costs can be very high (easily 200,000+ SEK). For a company with 25,000 SEK share capital, this could be disproportionate. Consider specifying the Stockholms Handelskammares Skiljedomsinstitut (SCC) simplified arbitration rules for disputes below a certain threshold.</w:t>
      </w:r>
    </w:p>
    <w:p>
      <w:pPr>
        <w:pStyle w:val="Heading2"/>
      </w:pPr>
      <w:r>
        <w:t>Sections 16-19: Amendments, Entire Agreement, Copies, Signatures</w:t>
      </w:r>
    </w:p>
    <w:p>
      <w:r>
        <w:rPr>
          <w:b/>
        </w:rPr>
        <w:t xml:space="preserve">Status: </w:t>
      </w:r>
      <w:r>
        <w:t>Good</w:t>
      </w:r>
    </w:p>
    <w:p>
      <w:pPr>
        <w:pStyle w:val="ListBullet"/>
      </w:pPr>
      <w:r>
        <w:t>Written amendments only — standard and protective.</w:t>
      </w:r>
    </w:p>
    <w:p>
      <w:pPr>
        <w:pStyle w:val="ListBullet"/>
      </w:pPr>
      <w:r>
        <w:t>Annual review every 12 months is good practice.</w:t>
      </w:r>
    </w:p>
    <w:p>
      <w:pPr>
        <w:pStyle w:val="ListBullet"/>
      </w:pPr>
      <w:r>
        <w:t>Two original copies — correct under Swedish practice.</w:t>
      </w:r>
    </w:p>
    <w:p>
      <w:pPr>
        <w:pStyle w:val="ListBullet"/>
      </w:pPr>
      <w:r>
        <w:t>No witnesses included. Under Swedish law, witnesses are not strictly required for shareholder agreements, but they significantly strengthen enforceability in case of dispute.</w:t>
      </w:r>
    </w:p>
    <w:p>
      <w:r>
        <w:rPr>
          <w:b/>
        </w:rPr>
        <w:t xml:space="preserve">Recommendation: </w:t>
      </w:r>
      <w:r>
        <w:t>Add two witnesses to signatures, or use BankID electronic signatures for stronger legal standing.</w:t>
      </w:r>
    </w:p>
    <w:p>
      <w:pPr>
        <w:pStyle w:val="Heading1"/>
      </w:pPr>
      <w:r>
        <w:t>3. Top 5 Risks for Partner 1 (Abdelaziz)</w:t>
      </w:r>
    </w:p>
    <w:tbl>
      <w:tblPr>
        <w:tblStyle w:val="MediumShading1-Accent1"/>
        <w:tblW w:type="auto" w:w="0"/>
        <w:jc w:val="center"/>
        <w:tblLook w:firstColumn="1" w:firstRow="1" w:lastColumn="0" w:lastRow="0" w:noHBand="0" w:noVBand="1" w:val="04A0"/>
      </w:tblPr>
      <w:tblGrid>
        <w:gridCol w:w="2351"/>
        <w:gridCol w:w="2351"/>
        <w:gridCol w:w="2351"/>
        <w:gridCol w:w="2351"/>
      </w:tblGrid>
      <w:tr>
        <w:tc>
          <w:tcPr>
            <w:tcW w:type="dxa" w:w="2351"/>
          </w:tcPr>
          <w:p>
            <w:r>
              <w:t>#</w:t>
            </w:r>
          </w:p>
        </w:tc>
        <w:tc>
          <w:tcPr>
            <w:tcW w:type="dxa" w:w="2351"/>
          </w:tcPr>
          <w:p>
            <w:r>
              <w:t>Risk</w:t>
            </w:r>
          </w:p>
        </w:tc>
        <w:tc>
          <w:tcPr>
            <w:tcW w:type="dxa" w:w="2351"/>
          </w:tcPr>
          <w:p>
            <w:r>
              <w:t>Severity</w:t>
            </w:r>
          </w:p>
        </w:tc>
        <w:tc>
          <w:tcPr>
            <w:tcW w:type="dxa" w:w="2351"/>
          </w:tcPr>
          <w:p>
            <w:r>
              <w:t>Section</w:t>
            </w:r>
          </w:p>
        </w:tc>
      </w:tr>
      <w:tr>
        <w:tc>
          <w:tcPr>
            <w:tcW w:type="dxa" w:w="2351"/>
          </w:tcPr>
          <w:p>
            <w:r>
              <w:t>1</w:t>
            </w:r>
          </w:p>
        </w:tc>
        <w:tc>
          <w:tcPr>
            <w:tcW w:type="dxa" w:w="2351"/>
          </w:tcPr>
          <w:p>
            <w:r>
              <w:t>Partner 2's son inherits 33% in ~5 months with no competence requirement</w:t>
            </w:r>
          </w:p>
        </w:tc>
        <w:tc>
          <w:tcPr>
            <w:tcW w:type="dxa" w:w="2351"/>
          </w:tcPr>
          <w:p>
            <w:r>
              <w:t>HIGH</w:t>
            </w:r>
          </w:p>
        </w:tc>
        <w:tc>
          <w:tcPr>
            <w:tcW w:type="dxa" w:w="2351"/>
          </w:tcPr>
          <w:p>
            <w:r>
              <w:t>10</w:t>
            </w:r>
          </w:p>
        </w:tc>
      </w:tr>
      <w:tr>
        <w:tc>
          <w:tcPr>
            <w:tcW w:type="dxa" w:w="2351"/>
          </w:tcPr>
          <w:p>
            <w:r>
              <w:t>2</w:t>
            </w:r>
          </w:p>
        </w:tc>
        <w:tc>
          <w:tcPr>
            <w:tcW w:type="dxa" w:w="2351"/>
          </w:tcPr>
          <w:p>
            <w:r>
              <w:t>Equal board control despite 67% ownership dilutes majority voting power</w:t>
            </w:r>
          </w:p>
        </w:tc>
        <w:tc>
          <w:tcPr>
            <w:tcW w:type="dxa" w:w="2351"/>
          </w:tcPr>
          <w:p>
            <w:r>
              <w:t>MEDIUM</w:t>
            </w:r>
          </w:p>
        </w:tc>
        <w:tc>
          <w:tcPr>
            <w:tcW w:type="dxa" w:w="2351"/>
          </w:tcPr>
          <w:p>
            <w:r>
              <w:t>4</w:t>
            </w:r>
          </w:p>
        </w:tc>
      </w:tr>
      <w:tr>
        <w:tc>
          <w:tcPr>
            <w:tcW w:type="dxa" w:w="2351"/>
          </w:tcPr>
          <w:p>
            <w:r>
              <w:t>3</w:t>
            </w:r>
          </w:p>
        </w:tc>
        <w:tc>
          <w:tcPr>
            <w:tcW w:type="dxa" w:w="2351"/>
          </w:tcPr>
          <w:p>
            <w:r>
              <w:t>Non-compete blocks Partner 1 (the developer) from pet-tech for up to 24 months</w:t>
            </w:r>
          </w:p>
        </w:tc>
        <w:tc>
          <w:tcPr>
            <w:tcW w:type="dxa" w:w="2351"/>
          </w:tcPr>
          <w:p>
            <w:r>
              <w:t>MEDIUM</w:t>
            </w:r>
          </w:p>
        </w:tc>
        <w:tc>
          <w:tcPr>
            <w:tcW w:type="dxa" w:w="2351"/>
          </w:tcPr>
          <w:p>
            <w:r>
              <w:t>14</w:t>
            </w:r>
          </w:p>
        </w:tc>
      </w:tr>
      <w:tr>
        <w:tc>
          <w:tcPr>
            <w:tcW w:type="dxa" w:w="2351"/>
          </w:tcPr>
          <w:p>
            <w:r>
              <w:t>4</w:t>
            </w:r>
          </w:p>
        </w:tc>
        <w:tc>
          <w:tcPr>
            <w:tcW w:type="dxa" w:w="2351"/>
          </w:tcPr>
          <w:p>
            <w:r>
              <w:t>No valuation methodology specified — disputes likely on exit price</w:t>
            </w:r>
          </w:p>
        </w:tc>
        <w:tc>
          <w:tcPr>
            <w:tcW w:type="dxa" w:w="2351"/>
          </w:tcPr>
          <w:p>
            <w:r>
              <w:t>MEDIUM</w:t>
            </w:r>
          </w:p>
        </w:tc>
        <w:tc>
          <w:tcPr>
            <w:tcW w:type="dxa" w:w="2351"/>
          </w:tcPr>
          <w:p>
            <w:r>
              <w:t>9.4</w:t>
            </w:r>
          </w:p>
        </w:tc>
      </w:tr>
      <w:tr>
        <w:tc>
          <w:tcPr>
            <w:tcW w:type="dxa" w:w="2351"/>
          </w:tcPr>
          <w:p>
            <w:r>
              <w:t>5</w:t>
            </w:r>
          </w:p>
        </w:tc>
        <w:tc>
          <w:tcPr>
            <w:tcW w:type="dxa" w:w="2351"/>
          </w:tcPr>
          <w:p>
            <w:r>
              <w:t>"Equal" loss sharing contradicts proportional ownership principles</w:t>
            </w:r>
          </w:p>
        </w:tc>
        <w:tc>
          <w:tcPr>
            <w:tcW w:type="dxa" w:w="2351"/>
          </w:tcPr>
          <w:p>
            <w:r>
              <w:t>LOW-MEDIUM</w:t>
            </w:r>
          </w:p>
        </w:tc>
        <w:tc>
          <w:tcPr>
            <w:tcW w:type="dxa" w:w="2351"/>
          </w:tcPr>
          <w:p>
            <w:r>
              <w:t>12.5</w:t>
            </w:r>
          </w:p>
        </w:tc>
      </w:tr>
    </w:tbl>
    <w:p/>
    <w:p>
      <w:pPr>
        <w:pStyle w:val="Heading1"/>
      </w:pPr>
      <w:r>
        <w:t>4. Recommended Amendments</w:t>
      </w:r>
    </w:p>
    <w:p>
      <w:r>
        <w:t>The following amendments are recommended before signing (or as a first formal addendum if already signed):</w:t>
      </w:r>
    </w:p>
    <w:p/>
    <w:p>
      <w:r>
        <w:rPr>
          <w:b/>
        </w:rPr>
        <w:t xml:space="preserve">1. Section 10 (Son's Entry): </w:t>
      </w:r>
      <w:r>
        <w:t>Add a probationary period (6–12 months), competence requirements, Partner 1's explicit veto right without penalty, and clarification that Partner 1's 67% ownership and board control are unaffected by the transfer.</w:t>
      </w:r>
    </w:p>
    <w:p>
      <w:r>
        <w:rPr>
          <w:b/>
        </w:rPr>
        <w:t xml:space="preserve">2. Section 9.4 (Valuation): </w:t>
      </w:r>
      <w:r>
        <w:t>Specify valuation methodology — suggest: 3x trailing 12-month revenue or independent DCF valuation, whichever is higher. Consider a minority discount for the 33% stake.</w:t>
      </w:r>
    </w:p>
    <w:p>
      <w:r>
        <w:rPr>
          <w:b/>
        </w:rPr>
        <w:t xml:space="preserve">3. Section 14 (Non-Compete): </w:t>
      </w:r>
      <w:r>
        <w:t>Fix duration at 12 months. Add compensation requirement. Exempt the innocent/non-breaching party in forced-exit scenarios.</w:t>
      </w:r>
    </w:p>
    <w:p>
      <w:r>
        <w:rPr>
          <w:b/>
        </w:rPr>
        <w:t xml:space="preserve">4. Section 5 (Decision Making): </w:t>
      </w:r>
      <w:r>
        <w:t>Add that Partner 1 holds casting vote at bolagsstämma (shareholder meetings) — this is the statutory right under ABL with 67% ownership.</w:t>
      </w:r>
    </w:p>
    <w:p>
      <w:r>
        <w:rPr>
          <w:b/>
        </w:rPr>
        <w:t xml:space="preserve">5. Section 12.5 (Loss Sharing): </w:t>
      </w:r>
      <w:r>
        <w:t>Change "equally" to "in proportion to their respective shareholdings" to align with ABL principles.</w:t>
      </w:r>
    </w:p>
    <w:p>
      <w:r>
        <w:rPr>
          <w:b/>
        </w:rPr>
        <w:t xml:space="preserve">6. Section 19 (Signatures): </w:t>
      </w:r>
      <w:r>
        <w:t>Add two witnesses or use BankID electronic signatures for enhanced legal standing.</w:t>
      </w:r>
    </w:p>
    <w:p>
      <w:r>
        <w:rPr>
          <w:b/>
        </w:rPr>
        <w:t xml:space="preserve">7. Bolagsordning Alignment: </w:t>
      </w:r>
      <w:r>
        <w:t>Verify that the company's articles of association (bolagsordning) include a hembudsklausul (pre-emption clause) or samtyckesförbehåll (consent clause) that supports the transfer restrictions in this agreement.</w:t>
      </w:r>
    </w:p>
    <w:p>
      <w:pPr>
        <w:pStyle w:val="Heading1"/>
      </w:pPr>
      <w:r>
        <w:t>5. Swedish Law Compliance Summary</w:t>
      </w:r>
    </w:p>
    <w:tbl>
      <w:tblPr>
        <w:tblStyle w:val="MediumShading1-Accent1"/>
        <w:tblW w:type="auto" w:w="0"/>
        <w:jc w:val="center"/>
        <w:tblLook w:firstColumn="1" w:firstRow="1" w:lastColumn="0" w:lastRow="0" w:noHBand="0" w:noVBand="1" w:val="04A0"/>
      </w:tblPr>
      <w:tblGrid>
        <w:gridCol w:w="3135"/>
        <w:gridCol w:w="3135"/>
        <w:gridCol w:w="3135"/>
      </w:tblGrid>
      <w:tr>
        <w:tc>
          <w:tcPr>
            <w:tcW w:type="dxa" w:w="3135"/>
          </w:tcPr>
          <w:p>
            <w:r>
              <w:t>Law/Regulation</w:t>
            </w:r>
          </w:p>
        </w:tc>
        <w:tc>
          <w:tcPr>
            <w:tcW w:type="dxa" w:w="3135"/>
          </w:tcPr>
          <w:p>
            <w:r>
              <w:t>Compliant?</w:t>
            </w:r>
          </w:p>
        </w:tc>
        <w:tc>
          <w:tcPr>
            <w:tcW w:type="dxa" w:w="3135"/>
          </w:tcPr>
          <w:p>
            <w:r>
              <w:t>Notes</w:t>
            </w:r>
          </w:p>
        </w:tc>
      </w:tr>
      <w:tr>
        <w:tc>
          <w:tcPr>
            <w:tcW w:type="dxa" w:w="3135"/>
          </w:tcPr>
          <w:p>
            <w:r>
              <w:t>Aktiebolagslagen (ABL 2005:551)</w:t>
            </w:r>
          </w:p>
        </w:tc>
        <w:tc>
          <w:tcPr>
            <w:tcW w:type="dxa" w:w="3135"/>
          </w:tcPr>
          <w:p>
            <w:r>
              <w:t>Mostly</w:t>
            </w:r>
          </w:p>
        </w:tc>
        <w:tc>
          <w:tcPr>
            <w:tcW w:type="dxa" w:w="3135"/>
          </w:tcPr>
          <w:p>
            <w:r>
              <w:t>Loss sharing should be proportional; verify bolagsordning alignment</w:t>
            </w:r>
          </w:p>
        </w:tc>
      </w:tr>
      <w:tr>
        <w:tc>
          <w:tcPr>
            <w:tcW w:type="dxa" w:w="3135"/>
          </w:tcPr>
          <w:p>
            <w:r>
              <w:t>Avtalslagen (1915:218)</w:t>
            </w:r>
          </w:p>
        </w:tc>
        <w:tc>
          <w:tcPr>
            <w:tcW w:type="dxa" w:w="3135"/>
          </w:tcPr>
          <w:p>
            <w:r>
              <w:t>Yes</w:t>
            </w:r>
          </w:p>
        </w:tc>
        <w:tc>
          <w:tcPr>
            <w:tcW w:type="dxa" w:w="3135"/>
          </w:tcPr>
          <w:p>
            <w:r>
              <w:t>Agreement formed with mutual consent, no duress</w:t>
            </w:r>
          </w:p>
        </w:tc>
      </w:tr>
      <w:tr>
        <w:tc>
          <w:tcPr>
            <w:tcW w:type="dxa" w:w="3135"/>
          </w:tcPr>
          <w:p>
            <w:r>
              <w:t>Lag om företagshemligheter (2018:558)</w:t>
            </w:r>
          </w:p>
        </w:tc>
        <w:tc>
          <w:tcPr>
            <w:tcW w:type="dxa" w:w="3135"/>
          </w:tcPr>
          <w:p>
            <w:r>
              <w:t>Yes</w:t>
            </w:r>
          </w:p>
        </w:tc>
        <w:tc>
          <w:tcPr>
            <w:tcW w:type="dxa" w:w="3135"/>
          </w:tcPr>
          <w:p>
            <w:r>
              <w:t>Confidentiality clause aligns with trade secret protection</w:t>
            </w:r>
          </w:p>
        </w:tc>
      </w:tr>
      <w:tr>
        <w:tc>
          <w:tcPr>
            <w:tcW w:type="dxa" w:w="3135"/>
          </w:tcPr>
          <w:p>
            <w:r>
              <w:t>Skattelagstiftning (Tax Law)</w:t>
            </w:r>
          </w:p>
        </w:tc>
        <w:tc>
          <w:tcPr>
            <w:tcW w:type="dxa" w:w="3135"/>
          </w:tcPr>
          <w:p>
            <w:r>
              <w:t>Yes</w:t>
            </w:r>
          </w:p>
        </w:tc>
        <w:tc>
          <w:tcPr>
            <w:tcW w:type="dxa" w:w="3135"/>
          </w:tcPr>
          <w:p>
            <w:r>
              <w:t>Salary + dividend distribution model is correct</w:t>
            </w:r>
          </w:p>
        </w:tc>
      </w:tr>
      <w:tr>
        <w:tc>
          <w:tcPr>
            <w:tcW w:type="dxa" w:w="3135"/>
          </w:tcPr>
          <w:p>
            <w:r>
              <w:t>GDPR</w:t>
            </w:r>
          </w:p>
        </w:tc>
        <w:tc>
          <w:tcPr>
            <w:tcW w:type="dxa" w:w="3135"/>
          </w:tcPr>
          <w:p>
            <w:r>
              <w:t>Caution</w:t>
            </w:r>
          </w:p>
        </w:tc>
        <w:tc>
          <w:tcPr>
            <w:tcW w:type="dxa" w:w="3135"/>
          </w:tcPr>
          <w:p>
            <w:r>
              <w:t>Personal numbers in document — ensure secure storage</w:t>
            </w:r>
          </w:p>
        </w:tc>
      </w:tr>
      <w:tr>
        <w:tc>
          <w:tcPr>
            <w:tcW w:type="dxa" w:w="3135"/>
          </w:tcPr>
          <w:p>
            <w:r>
              <w:t>Lag om skiljeförfarande (1999:116)</w:t>
            </w:r>
          </w:p>
        </w:tc>
        <w:tc>
          <w:tcPr>
            <w:tcW w:type="dxa" w:w="3135"/>
          </w:tcPr>
          <w:p>
            <w:r>
              <w:t>Yes</w:t>
            </w:r>
          </w:p>
        </w:tc>
        <w:tc>
          <w:tcPr>
            <w:tcW w:type="dxa" w:w="3135"/>
          </w:tcPr>
          <w:p>
            <w:r>
              <w:t>Binding arbitration clause is valid and enforceable</w:t>
            </w:r>
          </w:p>
        </w:tc>
      </w:tr>
    </w:tbl>
    <w:p/>
    <w:p>
      <w:pPr>
        <w:pStyle w:val="Heading1"/>
      </w:pPr>
      <w:r>
        <w:t>6. Conclusion</w:t>
      </w:r>
    </w:p>
    <w:p>
      <w:r>
        <w:t xml:space="preserve">The agreement provides a reasonable foundation but requires amendments to adequately protect the majority shareholder's interests. </w:t>
      </w:r>
    </w:p>
    <w:p>
      <w:r>
        <w:rPr>
          <w:b/>
        </w:rPr>
        <w:t xml:space="preserve">The most critical issue is Section 10 </w:t>
      </w:r>
      <w:r>
        <w:t>(planned entry of Partner 2's son). This is an unusual clause that could fundamentally change the partnership dynamic within months of signing. It should be either removed entirely or significantly strengthened with protections for Partner 1.</w:t>
      </w:r>
    </w:p>
    <w:p>
      <w:r>
        <w:t>It is strongly recommended that both Partners discuss and agree on the amendments listed above, document them as a formal addendum, and ensure the company's bolagsordning (articles of association) aligns with this agreement's transfer restrictions.</w:t>
      </w:r>
    </w:p>
    <w:p>
      <w:r>
        <w:rPr>
          <w:b/>
        </w:rPr>
        <w:t xml:space="preserve">Note: </w:t>
      </w:r>
      <w:r>
        <w:t>This review is for informational purposes and does not constitute formal legal advice. For binding legal guidance, consult a licensed Swedish jurist (advokat) specializing in corporate law (bolagsrätt).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