
<file path=[Content_Types].xml><?xml version="1.0" encoding="utf-8"?>
<Types xmlns="http://schemas.openxmlformats.org/package/2006/content-types">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Style w:val="Heading2"/>
        <w:keepNext w:val="0"/>
        <w:keepLines w:val="0"/>
        <w:pBdr/>
        <w:spacing w:before="0" w:lineRule="auto"/>
        <w:contextualSpacing w:val="0"/>
        <w:rPr>
          <w:rFonts w:ascii="Arial" w:cs="Arial" w:eastAsia="Arial" w:hAnsi="Arial"/>
          <w:color w:val="0b5394"/>
          <w:sz w:val="34"/>
          <w:szCs w:val="34"/>
          <w:highlight w:val="white"/>
        </w:rPr>
      </w:pPr>
      <w:bookmarkStart w:colFirst="0" w:colLast="0" w:name="_d0b4ztny5x5a" w:id="0"/>
      <w:bookmarkEnd w:id="0"/>
      <w:r w:rsidDel="00000000" w:rsidR="00000000" w:rsidRPr="00000000">
        <w:rPr>
          <w:rFonts w:ascii="Arial" w:cs="Arial" w:eastAsia="Arial" w:hAnsi="Arial"/>
          <w:color w:val="0b5394"/>
          <w:sz w:val="34"/>
          <w:szCs w:val="34"/>
          <w:highlight w:val="white"/>
          <w:rtl w:val="0"/>
        </w:rPr>
        <w:t xml:space="preserve">Question en Suspens - Services aux Émetteurs</w:t>
      </w:r>
    </w:p>
    <w:p w:rsidR="00000000" w:rsidDel="00000000" w:rsidP="00000000" w:rsidRDefault="00000000" w:rsidRPr="00000000">
      <w:pPr>
        <w:pBdr/>
        <w:contextualSpacing w:val="0"/>
        <w:rPr>
          <w:b w:val="1"/>
          <w:color w:val="222222"/>
          <w:sz w:val="34"/>
          <w:szCs w:val="34"/>
          <w:highlight w:val="white"/>
        </w:rPr>
      </w:pPr>
      <w:r w:rsidDel="00000000" w:rsidR="00000000" w:rsidRPr="00000000">
        <w:rPr>
          <w:rtl w:val="0"/>
        </w:rPr>
      </w:r>
    </w:p>
    <w:p w:rsidR="00000000" w:rsidDel="00000000" w:rsidP="00000000" w:rsidRDefault="00000000" w:rsidRPr="00000000">
      <w:pPr>
        <w:pBdr/>
        <w:contextualSpacing w:val="0"/>
        <w:rPr>
          <w:color w:val="222222"/>
          <w:sz w:val="20"/>
          <w:szCs w:val="20"/>
          <w:highlight w:val="white"/>
          <w:u w:val="single"/>
        </w:rPr>
      </w:pPr>
      <w:r w:rsidDel="00000000" w:rsidR="00000000" w:rsidRPr="00000000">
        <w:rPr>
          <w:color w:val="222222"/>
          <w:sz w:val="20"/>
          <w:szCs w:val="20"/>
          <w:highlight w:val="white"/>
          <w:u w:val="single"/>
          <w:rtl w:val="0"/>
        </w:rPr>
        <w:t xml:space="preserve">A- Tenue de registre :</w:t>
      </w:r>
    </w:p>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p w:rsidR="00000000" w:rsidDel="00000000" w:rsidP="00000000" w:rsidRDefault="00000000" w:rsidRPr="00000000">
      <w:pPr>
        <w:pBdr/>
        <w:contextualSpacing w:val="0"/>
        <w:rPr>
          <w:b w:val="1"/>
          <w:color w:val="222222"/>
          <w:sz w:val="20"/>
          <w:szCs w:val="20"/>
          <w:highlight w:val="white"/>
        </w:rPr>
      </w:pPr>
      <w:r w:rsidDel="00000000" w:rsidR="00000000" w:rsidRPr="00000000">
        <w:rPr>
          <w:b w:val="1"/>
          <w:color w:val="222222"/>
          <w:sz w:val="20"/>
          <w:szCs w:val="20"/>
          <w:highlight w:val="white"/>
          <w:rtl w:val="0"/>
        </w:rPr>
        <w:t xml:space="preserve">1- Déduction de la partie flottante et impact des opérations miroirs :</w:t>
      </w:r>
    </w:p>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p w:rsidR="00000000" w:rsidDel="00000000" w:rsidP="00000000" w:rsidRDefault="00000000" w:rsidRPr="00000000">
      <w:pPr>
        <w:pBdr/>
        <w:contextualSpacing w:val="0"/>
        <w:rPr>
          <w:color w:val="222222"/>
          <w:sz w:val="20"/>
          <w:szCs w:val="20"/>
          <w:highlight w:val="white"/>
        </w:rPr>
      </w:pPr>
      <w:r w:rsidDel="00000000" w:rsidR="00000000" w:rsidRPr="00000000">
        <w:rPr>
          <w:color w:val="222222"/>
          <w:sz w:val="20"/>
          <w:szCs w:val="20"/>
          <w:highlight w:val="white"/>
          <w:rtl w:val="0"/>
        </w:rPr>
        <w:t xml:space="preserve">Est ce que la déduction de la partie flottante dans le compte d’émission sur une valeur VON (au porteur) se fait sur le compte  331000 "Titres à repartir suite à un échange" ?</w:t>
      </w:r>
    </w:p>
    <w:p w:rsidR="00000000" w:rsidDel="00000000" w:rsidP="00000000" w:rsidRDefault="00000000" w:rsidRPr="00000000">
      <w:pPr>
        <w:pBdr/>
        <w:contextualSpacing w:val="0"/>
        <w:rPr>
          <w:color w:val="222222"/>
          <w:sz w:val="20"/>
          <w:szCs w:val="20"/>
          <w:highlight w:val="white"/>
        </w:rPr>
      </w:pPr>
      <w:r w:rsidDel="00000000" w:rsidR="00000000" w:rsidRPr="00000000">
        <w:rPr>
          <w:color w:val="222222"/>
          <w:sz w:val="20"/>
          <w:szCs w:val="20"/>
          <w:highlight w:val="white"/>
          <w:rtl w:val="0"/>
        </w:rPr>
        <w:t xml:space="preserve">Par conséquent, les opérations miroirs sur une valeur VON passent sur quel compte technique ? </w:t>
      </w:r>
    </w:p>
    <w:p w:rsidR="00000000" w:rsidDel="00000000" w:rsidP="00000000" w:rsidRDefault="00000000" w:rsidRPr="00000000">
      <w:pPr>
        <w:pBdr/>
        <w:contextualSpacing w:val="0"/>
        <w:rPr>
          <w:color w:val="222222"/>
          <w:sz w:val="20"/>
          <w:szCs w:val="20"/>
          <w:highlight w:val="white"/>
        </w:rPr>
      </w:pPr>
      <w:r w:rsidDel="00000000" w:rsidR="00000000" w:rsidRPr="00000000">
        <w:rPr>
          <w:color w:val="222222"/>
          <w:sz w:val="20"/>
          <w:szCs w:val="20"/>
          <w:highlight w:val="white"/>
          <w:rtl w:val="0"/>
        </w:rPr>
        <w:t xml:space="preserve">Actuellement, les opérations miroirs suite à un achat ou une vente d’une valeur VEN (au nominatif) alimentent le compte 210 000 “Compte transit négociations” et les opérations de transfert passent par le compte 240 000 “Compte transit de transferts”.</w:t>
      </w:r>
    </w:p>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p w:rsidR="00000000" w:rsidDel="00000000" w:rsidP="00000000" w:rsidRDefault="00000000" w:rsidRPr="00000000">
      <w:pPr>
        <w:pBdr/>
        <w:contextualSpacing w:val="0"/>
        <w:rPr>
          <w:b w:val="1"/>
          <w:color w:val="222222"/>
          <w:sz w:val="20"/>
          <w:szCs w:val="20"/>
          <w:highlight w:val="white"/>
        </w:rPr>
      </w:pPr>
      <w:r w:rsidDel="00000000" w:rsidR="00000000" w:rsidRPr="00000000">
        <w:rPr>
          <w:b w:val="1"/>
          <w:color w:val="222222"/>
          <w:sz w:val="20"/>
          <w:szCs w:val="20"/>
          <w:highlight w:val="white"/>
          <w:rtl w:val="0"/>
        </w:rPr>
        <w:t xml:space="preserve">2- Format des données suivantes dans le reporting MEGARA: </w:t>
      </w:r>
    </w:p>
    <w:p w:rsidR="00000000" w:rsidDel="00000000" w:rsidP="00000000" w:rsidRDefault="00000000" w:rsidRPr="00000000">
      <w:pPr>
        <w:numPr>
          <w:ilvl w:val="0"/>
          <w:numId w:val="3"/>
        </w:numPr>
        <w:pBdr/>
        <w:ind w:left="940" w:hanging="360"/>
        <w:contextualSpacing w:val="1"/>
        <w:rPr/>
      </w:pPr>
      <w:r w:rsidDel="00000000" w:rsidR="00000000" w:rsidRPr="00000000">
        <w:rPr>
          <w:color w:val="222222"/>
          <w:sz w:val="20"/>
          <w:szCs w:val="20"/>
          <w:highlight w:val="white"/>
          <w:rtl w:val="0"/>
        </w:rPr>
        <w:t xml:space="preserve">Dates</w:t>
      </w:r>
    </w:p>
    <w:p w:rsidR="00000000" w:rsidDel="00000000" w:rsidP="00000000" w:rsidRDefault="00000000" w:rsidRPr="00000000">
      <w:pPr>
        <w:numPr>
          <w:ilvl w:val="0"/>
          <w:numId w:val="3"/>
        </w:numPr>
        <w:pBdr/>
        <w:ind w:left="940" w:hanging="360"/>
        <w:contextualSpacing w:val="1"/>
        <w:rPr/>
      </w:pPr>
      <w:r w:rsidDel="00000000" w:rsidR="00000000" w:rsidRPr="00000000">
        <w:rPr>
          <w:color w:val="222222"/>
          <w:sz w:val="20"/>
          <w:szCs w:val="20"/>
          <w:highlight w:val="white"/>
          <w:rtl w:val="0"/>
        </w:rPr>
        <w:t xml:space="preserve">Montants</w:t>
      </w:r>
    </w:p>
    <w:p w:rsidR="00000000" w:rsidDel="00000000" w:rsidP="00000000" w:rsidRDefault="00000000" w:rsidRPr="00000000">
      <w:pPr>
        <w:numPr>
          <w:ilvl w:val="0"/>
          <w:numId w:val="3"/>
        </w:numPr>
        <w:pBdr/>
        <w:ind w:left="940" w:hanging="360"/>
        <w:contextualSpacing w:val="1"/>
        <w:rPr/>
      </w:pPr>
      <w:r w:rsidDel="00000000" w:rsidR="00000000" w:rsidRPr="00000000">
        <w:rPr>
          <w:color w:val="222222"/>
          <w:sz w:val="20"/>
          <w:szCs w:val="20"/>
          <w:highlight w:val="white"/>
          <w:rtl w:val="0"/>
        </w:rPr>
        <w:t xml:space="preserve">Quantités</w:t>
      </w:r>
    </w:p>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p w:rsidR="00000000" w:rsidDel="00000000" w:rsidP="00000000" w:rsidRDefault="00000000" w:rsidRPr="00000000">
      <w:pPr>
        <w:pBdr/>
        <w:contextualSpacing w:val="0"/>
        <w:rPr>
          <w:b w:val="1"/>
          <w:color w:val="222222"/>
          <w:sz w:val="20"/>
          <w:szCs w:val="20"/>
          <w:highlight w:val="white"/>
        </w:rPr>
      </w:pPr>
      <w:r w:rsidDel="00000000" w:rsidR="00000000" w:rsidRPr="00000000">
        <w:rPr>
          <w:b w:val="1"/>
          <w:color w:val="222222"/>
          <w:sz w:val="20"/>
          <w:szCs w:val="20"/>
          <w:highlight w:val="white"/>
          <w:rtl w:val="0"/>
        </w:rPr>
        <w:t xml:space="preserve">3-  Cas d’utilisation de génération du rapport “Journal des mouvements émetteur” </w:t>
      </w:r>
    </w:p>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p w:rsidR="00000000" w:rsidDel="00000000" w:rsidP="00000000" w:rsidRDefault="00000000" w:rsidRPr="00000000">
      <w:pPr>
        <w:pBdr/>
        <w:contextualSpacing w:val="0"/>
        <w:rPr>
          <w:color w:val="222222"/>
          <w:sz w:val="20"/>
          <w:szCs w:val="20"/>
          <w:highlight w:val="white"/>
        </w:rPr>
      </w:pPr>
      <w:r w:rsidDel="00000000" w:rsidR="00000000" w:rsidRPr="00000000">
        <w:rPr>
          <w:color w:val="222222"/>
          <w:sz w:val="20"/>
          <w:szCs w:val="20"/>
          <w:highlight w:val="white"/>
          <w:rtl w:val="0"/>
        </w:rPr>
        <w:t xml:space="preserve">C’est un report envoyé à l’émetteur, à sa demande, qui liste les opérations affectant le capital.</w:t>
      </w:r>
    </w:p>
    <w:p w:rsidR="00000000" w:rsidDel="00000000" w:rsidP="00000000" w:rsidRDefault="00000000" w:rsidRPr="00000000">
      <w:pPr>
        <w:pBdr/>
        <w:contextualSpacing w:val="0"/>
        <w:rPr>
          <w:color w:val="222222"/>
          <w:sz w:val="20"/>
          <w:szCs w:val="20"/>
          <w:highlight w:val="white"/>
        </w:rPr>
      </w:pPr>
      <w:r w:rsidDel="00000000" w:rsidR="00000000" w:rsidRPr="00000000">
        <w:rPr>
          <w:color w:val="222222"/>
          <w:sz w:val="20"/>
          <w:szCs w:val="20"/>
          <w:highlight w:val="white"/>
          <w:rtl w:val="0"/>
        </w:rPr>
        <w:t xml:space="preserve">La question était comment on va déduire les colonnes solde initial et solde final du rapport. On s’est dit alors qu’il faut ajouter le registre comme paramètre de génération et de changer le cas d’utilisation comme suit :</w:t>
      </w:r>
    </w:p>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tbl>
      <w:tblPr>
        <w:tblStyle w:val="Table1"/>
        <w:bidiVisual w:val="0"/>
        <w:tblW w:w="888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995"/>
        <w:gridCol w:w="1665"/>
        <w:gridCol w:w="1905"/>
        <w:gridCol w:w="1635"/>
        <w:gridCol w:w="1680"/>
        <w:tblGridChange w:id="0">
          <w:tblGrid>
            <w:gridCol w:w="1995"/>
            <w:gridCol w:w="1665"/>
            <w:gridCol w:w="1905"/>
            <w:gridCol w:w="1635"/>
            <w:gridCol w:w="1680"/>
          </w:tblGrid>
        </w:tblGridChange>
      </w:tblGrid>
      <w:tr>
        <w:tc>
          <w:tcPr>
            <w:tcBorders>
              <w:top w:color="000000" w:space="0" w:sz="6" w:val="single"/>
              <w:left w:color="000000" w:space="0" w:sz="6" w:val="single"/>
              <w:bottom w:color="000000" w:space="0" w:sz="6" w:val="single"/>
              <w:right w:color="000000" w:space="0" w:sz="6" w:val="single"/>
            </w:tcBorders>
            <w:tcMar>
              <w:left w:w="40.0" w:type="dxa"/>
              <w:right w:w="40.0" w:type="dxa"/>
            </w:tcMar>
            <w:vAlign w:val="bottom"/>
          </w:tcPr>
          <w:p w:rsidR="00000000" w:rsidDel="00000000" w:rsidP="00000000" w:rsidRDefault="00000000" w:rsidRPr="00000000">
            <w:pPr>
              <w:pBdr/>
              <w:contextualSpacing w:val="0"/>
              <w:rPr>
                <w:color w:val="222222"/>
                <w:sz w:val="20"/>
                <w:szCs w:val="20"/>
                <w:highlight w:val="white"/>
              </w:rPr>
            </w:pPr>
            <w:r w:rsidDel="00000000" w:rsidR="00000000" w:rsidRPr="00000000">
              <w:rPr>
                <w:color w:val="222222"/>
                <w:sz w:val="20"/>
                <w:szCs w:val="20"/>
                <w:highlight w:val="white"/>
                <w:rtl w:val="0"/>
              </w:rPr>
              <w:t xml:space="preserve">Instrument financier</w:t>
            </w:r>
          </w:p>
        </w:tc>
        <w:tc>
          <w:tcPr>
            <w:tcBorders>
              <w:top w:color="ffffff" w:space="0" w:sz="6" w:val="single"/>
              <w:bottom w:color="ffffff" w:space="0" w:sz="6" w:val="single"/>
              <w:right w:color="000000" w:space="0" w:sz="6" w:val="single"/>
            </w:tcBorders>
            <w:tcMar>
              <w:left w:w="40.0" w:type="dxa"/>
              <w:right w:w="40.0" w:type="dxa"/>
            </w:tcMar>
            <w:vAlign w:val="bottom"/>
          </w:tcPr>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tc>
        <w:tc>
          <w:tcPr>
            <w:tcBorders>
              <w:top w:color="000000" w:space="0" w:sz="6" w:val="single"/>
              <w:bottom w:color="000000" w:space="0" w:sz="6" w:val="single"/>
              <w:right w:color="000000" w:space="0" w:sz="6" w:val="single"/>
            </w:tcBorders>
            <w:tcMar>
              <w:left w:w="40.0" w:type="dxa"/>
              <w:right w:w="40.0" w:type="dxa"/>
            </w:tcMar>
            <w:vAlign w:val="bottom"/>
          </w:tcPr>
          <w:p w:rsidR="00000000" w:rsidDel="00000000" w:rsidP="00000000" w:rsidRDefault="00000000" w:rsidRPr="00000000">
            <w:pPr>
              <w:pBdr/>
              <w:contextualSpacing w:val="0"/>
              <w:rPr>
                <w:color w:val="222222"/>
                <w:sz w:val="20"/>
                <w:szCs w:val="20"/>
                <w:highlight w:val="white"/>
              </w:rPr>
            </w:pPr>
            <w:r w:rsidDel="00000000" w:rsidR="00000000" w:rsidRPr="00000000">
              <w:rPr>
                <w:color w:val="222222"/>
                <w:sz w:val="20"/>
                <w:szCs w:val="20"/>
                <w:highlight w:val="white"/>
                <w:rtl w:val="0"/>
              </w:rPr>
              <w:t xml:space="preserve">Référence du registre</w:t>
            </w:r>
          </w:p>
        </w:tc>
        <w:tc>
          <w:tcPr>
            <w:tcBorders>
              <w:top w:color="ffffff" w:space="0" w:sz="6" w:val="single"/>
              <w:bottom w:color="ffffff" w:space="0" w:sz="6" w:val="single"/>
              <w:right w:color="ffffff" w:space="0" w:sz="6" w:val="single"/>
            </w:tcBorders>
            <w:tcMar>
              <w:left w:w="40.0" w:type="dxa"/>
              <w:right w:w="40.0" w:type="dxa"/>
            </w:tcMar>
            <w:vAlign w:val="bottom"/>
          </w:tcPr>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tc>
        <w:tc>
          <w:tcPr>
            <w:tcBorders>
              <w:top w:color="ffffff" w:space="0" w:sz="6" w:val="single"/>
              <w:bottom w:color="ffffff" w:space="0" w:sz="6" w:val="single"/>
              <w:right w:color="ffffff" w:space="0" w:sz="6" w:val="single"/>
            </w:tcBorders>
            <w:tcMar>
              <w:left w:w="40.0" w:type="dxa"/>
              <w:right w:w="40.0" w:type="dxa"/>
            </w:tcMar>
            <w:vAlign w:val="bottom"/>
          </w:tcPr>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tc>
      </w:tr>
      <w:tr>
        <w:tc>
          <w:tcPr>
            <w:tcBorders>
              <w:left w:color="000000" w:space="0" w:sz="6" w:val="single"/>
              <w:bottom w:color="000000" w:space="0" w:sz="6" w:val="single"/>
              <w:right w:color="000000" w:space="0" w:sz="6" w:val="single"/>
            </w:tcBorders>
            <w:tcMar>
              <w:left w:w="40.0" w:type="dxa"/>
              <w:right w:w="40.0" w:type="dxa"/>
            </w:tcMar>
            <w:vAlign w:val="bottom"/>
          </w:tcPr>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tc>
        <w:tc>
          <w:tcPr>
            <w:tcBorders>
              <w:bottom w:color="ffffff" w:space="0" w:sz="6" w:val="single"/>
              <w:right w:color="000000" w:space="0" w:sz="6" w:val="single"/>
            </w:tcBorders>
            <w:tcMar>
              <w:left w:w="40.0" w:type="dxa"/>
              <w:right w:w="40.0" w:type="dxa"/>
            </w:tcMar>
            <w:vAlign w:val="bottom"/>
          </w:tcPr>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tc>
        <w:tc>
          <w:tcPr>
            <w:tcBorders>
              <w:bottom w:color="000000" w:space="0" w:sz="6" w:val="single"/>
              <w:right w:color="000000" w:space="0" w:sz="6" w:val="single"/>
            </w:tcBorders>
            <w:tcMar>
              <w:left w:w="40.0" w:type="dxa"/>
              <w:right w:w="40.0" w:type="dxa"/>
            </w:tcMar>
            <w:vAlign w:val="bottom"/>
          </w:tcPr>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tc>
        <w:tc>
          <w:tcPr>
            <w:tcBorders>
              <w:bottom w:color="ffffff" w:space="0" w:sz="6" w:val="single"/>
              <w:right w:color="ffffff" w:space="0" w:sz="6" w:val="single"/>
            </w:tcBorders>
            <w:tcMar>
              <w:left w:w="40.0" w:type="dxa"/>
              <w:right w:w="40.0" w:type="dxa"/>
            </w:tcMar>
            <w:vAlign w:val="bottom"/>
          </w:tcPr>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tc>
        <w:tc>
          <w:tcPr>
            <w:tcBorders>
              <w:bottom w:color="ffffff" w:space="0" w:sz="6" w:val="single"/>
              <w:right w:color="ffffff" w:space="0" w:sz="6" w:val="single"/>
            </w:tcBorders>
            <w:tcMar>
              <w:left w:w="40.0" w:type="dxa"/>
              <w:right w:w="40.0" w:type="dxa"/>
            </w:tcMar>
            <w:vAlign w:val="bottom"/>
          </w:tcPr>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tc>
      </w:tr>
      <w:tr>
        <w:tc>
          <w:tcPr>
            <w:tcBorders>
              <w:left w:color="ffffff" w:space="0" w:sz="6" w:val="single"/>
              <w:bottom w:color="000000" w:space="0" w:sz="6" w:val="single"/>
              <w:right w:color="ffffff" w:space="0" w:sz="6" w:val="single"/>
            </w:tcBorders>
            <w:tcMar>
              <w:left w:w="40.0" w:type="dxa"/>
              <w:right w:w="40.0" w:type="dxa"/>
            </w:tcMar>
            <w:vAlign w:val="bottom"/>
          </w:tcPr>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tc>
        <w:tc>
          <w:tcPr>
            <w:tcBorders>
              <w:bottom w:color="000000" w:space="0" w:sz="6" w:val="single"/>
              <w:right w:color="ffffff" w:space="0" w:sz="6" w:val="single"/>
            </w:tcBorders>
            <w:tcMar>
              <w:left w:w="40.0" w:type="dxa"/>
              <w:right w:w="40.0" w:type="dxa"/>
            </w:tcMar>
            <w:vAlign w:val="bottom"/>
          </w:tcPr>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tc>
        <w:tc>
          <w:tcPr>
            <w:tcBorders>
              <w:bottom w:color="ffffff" w:space="0" w:sz="6" w:val="single"/>
              <w:right w:color="ffffff" w:space="0" w:sz="6" w:val="single"/>
            </w:tcBorders>
            <w:tcMar>
              <w:left w:w="40.0" w:type="dxa"/>
              <w:right w:w="40.0" w:type="dxa"/>
            </w:tcMar>
            <w:vAlign w:val="bottom"/>
          </w:tcPr>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tc>
        <w:tc>
          <w:tcPr>
            <w:tcBorders>
              <w:bottom w:color="000000" w:space="0" w:sz="6" w:val="single"/>
              <w:right w:color="ffffff" w:space="0" w:sz="6" w:val="single"/>
            </w:tcBorders>
            <w:tcMar>
              <w:left w:w="40.0" w:type="dxa"/>
              <w:right w:w="40.0" w:type="dxa"/>
            </w:tcMar>
            <w:vAlign w:val="bottom"/>
          </w:tcPr>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tc>
        <w:tc>
          <w:tcPr>
            <w:tcBorders>
              <w:bottom w:color="000000" w:space="0" w:sz="6" w:val="single"/>
              <w:right w:color="ffffff" w:space="0" w:sz="6" w:val="single"/>
            </w:tcBorders>
            <w:tcMar>
              <w:left w:w="40.0" w:type="dxa"/>
              <w:right w:w="40.0" w:type="dxa"/>
            </w:tcMar>
            <w:vAlign w:val="bottom"/>
          </w:tcPr>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tc>
      </w:tr>
      <w:tr>
        <w:tc>
          <w:tcPr>
            <w:tcBorders>
              <w:left w:color="000000" w:space="0" w:sz="6" w:val="single"/>
              <w:bottom w:color="000000" w:space="0" w:sz="6" w:val="single"/>
              <w:right w:color="000000" w:space="0" w:sz="6" w:val="single"/>
            </w:tcBorders>
            <w:tcMar>
              <w:left w:w="40.0" w:type="dxa"/>
              <w:right w:w="40.0" w:type="dxa"/>
            </w:tcMar>
            <w:vAlign w:val="bottom"/>
          </w:tcPr>
          <w:p w:rsidR="00000000" w:rsidDel="00000000" w:rsidP="00000000" w:rsidRDefault="00000000" w:rsidRPr="00000000">
            <w:pPr>
              <w:pBdr/>
              <w:contextualSpacing w:val="0"/>
              <w:rPr>
                <w:color w:val="222222"/>
                <w:sz w:val="20"/>
                <w:szCs w:val="20"/>
                <w:highlight w:val="white"/>
              </w:rPr>
            </w:pPr>
            <w:r w:rsidDel="00000000" w:rsidR="00000000" w:rsidRPr="00000000">
              <w:rPr>
                <w:color w:val="222222"/>
                <w:sz w:val="20"/>
                <w:szCs w:val="20"/>
                <w:highlight w:val="white"/>
                <w:rtl w:val="0"/>
              </w:rPr>
              <w:t xml:space="preserve">Du : Date début</w:t>
            </w:r>
          </w:p>
        </w:tc>
        <w:tc>
          <w:tcPr>
            <w:tcBorders>
              <w:bottom w:color="000000" w:space="0" w:sz="6" w:val="single"/>
              <w:right w:color="000000" w:space="0" w:sz="6" w:val="single"/>
            </w:tcBorders>
            <w:tcMar>
              <w:left w:w="40.0" w:type="dxa"/>
              <w:right w:w="40.0" w:type="dxa"/>
            </w:tcMar>
            <w:vAlign w:val="bottom"/>
          </w:tcPr>
          <w:p w:rsidR="00000000" w:rsidDel="00000000" w:rsidP="00000000" w:rsidRDefault="00000000" w:rsidRPr="00000000">
            <w:pPr>
              <w:pBdr/>
              <w:contextualSpacing w:val="0"/>
              <w:rPr>
                <w:color w:val="222222"/>
                <w:sz w:val="20"/>
                <w:szCs w:val="20"/>
                <w:highlight w:val="white"/>
              </w:rPr>
            </w:pPr>
            <w:r w:rsidDel="00000000" w:rsidR="00000000" w:rsidRPr="00000000">
              <w:rPr>
                <w:color w:val="222222"/>
                <w:sz w:val="20"/>
                <w:szCs w:val="20"/>
                <w:highlight w:val="white"/>
                <w:rtl w:val="0"/>
              </w:rPr>
              <w:t xml:space="preserve">Registre validés (combo)</w:t>
            </w:r>
          </w:p>
        </w:tc>
        <w:tc>
          <w:tcPr>
            <w:tcBorders>
              <w:bottom w:color="ffffff" w:space="0" w:sz="6" w:val="single"/>
              <w:right w:color="000000" w:space="0" w:sz="6" w:val="single"/>
            </w:tcBorders>
            <w:tcMar>
              <w:left w:w="40.0" w:type="dxa"/>
              <w:right w:w="40.0" w:type="dxa"/>
            </w:tcMar>
            <w:vAlign w:val="bottom"/>
          </w:tcPr>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tc>
        <w:tc>
          <w:tcPr>
            <w:tcBorders>
              <w:bottom w:color="000000" w:space="0" w:sz="6" w:val="single"/>
              <w:right w:color="000000" w:space="0" w:sz="6" w:val="single"/>
            </w:tcBorders>
            <w:tcMar>
              <w:left w:w="40.0" w:type="dxa"/>
              <w:right w:w="40.0" w:type="dxa"/>
            </w:tcMar>
            <w:vAlign w:val="bottom"/>
          </w:tcPr>
          <w:p w:rsidR="00000000" w:rsidDel="00000000" w:rsidP="00000000" w:rsidRDefault="00000000" w:rsidRPr="00000000">
            <w:pPr>
              <w:pBdr/>
              <w:contextualSpacing w:val="0"/>
              <w:rPr>
                <w:color w:val="222222"/>
                <w:sz w:val="20"/>
                <w:szCs w:val="20"/>
                <w:highlight w:val="white"/>
              </w:rPr>
            </w:pPr>
            <w:r w:rsidDel="00000000" w:rsidR="00000000" w:rsidRPr="00000000">
              <w:rPr>
                <w:color w:val="222222"/>
                <w:sz w:val="20"/>
                <w:szCs w:val="20"/>
                <w:highlight w:val="white"/>
                <w:rtl w:val="0"/>
              </w:rPr>
              <w:t xml:space="preserve">Au : Date fin</w:t>
            </w:r>
          </w:p>
        </w:tc>
        <w:tc>
          <w:tcPr>
            <w:tcBorders>
              <w:bottom w:color="000000" w:space="0" w:sz="6" w:val="single"/>
              <w:right w:color="000000" w:space="0" w:sz="6" w:val="single"/>
            </w:tcBorders>
            <w:tcMar>
              <w:left w:w="40.0" w:type="dxa"/>
              <w:right w:w="40.0" w:type="dxa"/>
            </w:tcMar>
            <w:vAlign w:val="bottom"/>
          </w:tcPr>
          <w:p w:rsidR="00000000" w:rsidDel="00000000" w:rsidP="00000000" w:rsidRDefault="00000000" w:rsidRPr="00000000">
            <w:pPr>
              <w:pBdr/>
              <w:contextualSpacing w:val="0"/>
              <w:rPr>
                <w:color w:val="222222"/>
                <w:sz w:val="20"/>
                <w:szCs w:val="20"/>
                <w:highlight w:val="white"/>
              </w:rPr>
            </w:pPr>
            <w:r w:rsidDel="00000000" w:rsidR="00000000" w:rsidRPr="00000000">
              <w:rPr>
                <w:color w:val="222222"/>
                <w:sz w:val="20"/>
                <w:szCs w:val="20"/>
                <w:highlight w:val="white"/>
                <w:rtl w:val="0"/>
              </w:rPr>
              <w:t xml:space="preserve">Registre validés (combo)</w:t>
            </w:r>
          </w:p>
        </w:tc>
      </w:tr>
      <w:tr>
        <w:tc>
          <w:tcPr>
            <w:tcBorders>
              <w:left w:color="000000" w:space="0" w:sz="6" w:val="single"/>
              <w:bottom w:color="000000" w:space="0" w:sz="6" w:val="single"/>
              <w:right w:color="000000" w:space="0" w:sz="6" w:val="single"/>
            </w:tcBorders>
            <w:shd w:fill="ffffff"/>
            <w:tcMar>
              <w:left w:w="40.0" w:type="dxa"/>
              <w:right w:w="40.0" w:type="dxa"/>
            </w:tcMar>
            <w:vAlign w:val="bottom"/>
          </w:tcPr>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tc>
        <w:tc>
          <w:tcPr>
            <w:tcBorders>
              <w:bottom w:color="000000" w:space="0" w:sz="6" w:val="single"/>
              <w:right w:color="000000" w:space="0" w:sz="6" w:val="single"/>
            </w:tcBorders>
            <w:shd w:fill="ffffff"/>
            <w:tcMar>
              <w:left w:w="40.0" w:type="dxa"/>
              <w:right w:w="40.0" w:type="dxa"/>
            </w:tcMar>
            <w:vAlign w:val="bottom"/>
          </w:tcPr>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tc>
        <w:tc>
          <w:tcPr>
            <w:tcBorders>
              <w:bottom w:color="ffffff" w:space="0" w:sz="6" w:val="single"/>
              <w:right w:color="000000" w:space="0" w:sz="6" w:val="single"/>
            </w:tcBorders>
            <w:shd w:fill="ffffff"/>
            <w:tcMar>
              <w:left w:w="40.0" w:type="dxa"/>
              <w:right w:w="40.0" w:type="dxa"/>
            </w:tcMar>
            <w:vAlign w:val="bottom"/>
          </w:tcPr>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tc>
        <w:tc>
          <w:tcPr>
            <w:tcBorders>
              <w:bottom w:color="000000" w:space="0" w:sz="6" w:val="single"/>
              <w:right w:color="000000" w:space="0" w:sz="6" w:val="single"/>
            </w:tcBorders>
            <w:shd w:fill="ffffff"/>
            <w:tcMar>
              <w:left w:w="40.0" w:type="dxa"/>
              <w:right w:w="40.0" w:type="dxa"/>
            </w:tcMar>
            <w:vAlign w:val="bottom"/>
          </w:tcPr>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tc>
      </w:tr>
    </w:tbl>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p w:rsidR="00000000" w:rsidDel="00000000" w:rsidP="00000000" w:rsidRDefault="00000000" w:rsidRPr="00000000">
      <w:pPr>
        <w:pBdr/>
        <w:contextualSpacing w:val="0"/>
        <w:rPr>
          <w:color w:val="222222"/>
          <w:sz w:val="20"/>
          <w:szCs w:val="20"/>
          <w:highlight w:val="white"/>
        </w:rPr>
      </w:pPr>
      <w:r w:rsidDel="00000000" w:rsidR="00000000" w:rsidRPr="00000000">
        <w:rPr>
          <w:color w:val="222222"/>
          <w:sz w:val="20"/>
          <w:szCs w:val="20"/>
          <w:highlight w:val="white"/>
          <w:rtl w:val="0"/>
        </w:rPr>
        <w:t xml:space="preserve">L'utilisateur saisit l'instrument financier, le système déduit le registre relatif à cet instrument.</w:t>
      </w:r>
    </w:p>
    <w:p w:rsidR="00000000" w:rsidDel="00000000" w:rsidP="00000000" w:rsidRDefault="00000000" w:rsidRPr="00000000">
      <w:pPr>
        <w:pBdr/>
        <w:contextualSpacing w:val="0"/>
        <w:rPr>
          <w:color w:val="222222"/>
          <w:sz w:val="20"/>
          <w:szCs w:val="20"/>
          <w:highlight w:val="white"/>
        </w:rPr>
      </w:pPr>
      <w:r w:rsidDel="00000000" w:rsidR="00000000" w:rsidRPr="00000000">
        <w:rPr>
          <w:color w:val="222222"/>
          <w:sz w:val="20"/>
          <w:szCs w:val="20"/>
          <w:highlight w:val="white"/>
          <w:rtl w:val="0"/>
        </w:rPr>
        <w:t xml:space="preserve">L'utilisateur saisit la date de début de la période des mouvements, le système ramène la liste des registres validés à cette date.</w:t>
      </w:r>
    </w:p>
    <w:p w:rsidR="00000000" w:rsidDel="00000000" w:rsidP="00000000" w:rsidRDefault="00000000" w:rsidRPr="00000000">
      <w:pPr>
        <w:pBdr/>
        <w:contextualSpacing w:val="0"/>
        <w:rPr>
          <w:color w:val="222222"/>
          <w:sz w:val="20"/>
          <w:szCs w:val="20"/>
          <w:highlight w:val="white"/>
        </w:rPr>
      </w:pPr>
      <w:r w:rsidDel="00000000" w:rsidR="00000000" w:rsidRPr="00000000">
        <w:rPr>
          <w:color w:val="222222"/>
          <w:sz w:val="20"/>
          <w:szCs w:val="20"/>
          <w:highlight w:val="white"/>
          <w:rtl w:val="0"/>
        </w:rPr>
        <w:t xml:space="preserve">L'utilisateur saisit la date de fin de la période des mouvements, le système ramène la liste des registres validés à cette date.</w:t>
      </w:r>
    </w:p>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p w:rsidR="00000000" w:rsidDel="00000000" w:rsidP="00000000" w:rsidRDefault="00000000" w:rsidRPr="00000000">
      <w:pPr>
        <w:pBdr/>
        <w:contextualSpacing w:val="0"/>
        <w:rPr>
          <w:color w:val="222222"/>
          <w:sz w:val="20"/>
          <w:szCs w:val="20"/>
          <w:highlight w:val="white"/>
        </w:rPr>
      </w:pPr>
      <w:r w:rsidDel="00000000" w:rsidR="00000000" w:rsidRPr="00000000">
        <w:rPr>
          <w:color w:val="222222"/>
          <w:sz w:val="20"/>
          <w:szCs w:val="20"/>
          <w:highlight w:val="white"/>
          <w:rtl w:val="0"/>
        </w:rPr>
        <w:t xml:space="preserve">Le solde initial de chaque actionnaire sera déduit du premier registre, et le solde final sera déduit du dernier registre.</w:t>
      </w:r>
    </w:p>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b w:val="1"/>
          <w:color w:val="0b5394"/>
          <w:sz w:val="34"/>
          <w:szCs w:val="34"/>
          <w:highlight w:val="white"/>
        </w:rPr>
      </w:pPr>
      <w:r w:rsidDel="00000000" w:rsidR="00000000" w:rsidRPr="00000000">
        <w:rPr>
          <w:b w:val="1"/>
          <w:color w:val="0b5394"/>
          <w:sz w:val="34"/>
          <w:szCs w:val="34"/>
          <w:highlight w:val="white"/>
          <w:rtl w:val="0"/>
        </w:rPr>
        <w:t xml:space="preserve">Question en Suspens - Centralisation</w:t>
      </w:r>
    </w:p>
    <w:p w:rsidR="00000000" w:rsidDel="00000000" w:rsidP="00000000" w:rsidRDefault="00000000" w:rsidRPr="00000000">
      <w:pPr>
        <w:pBdr/>
        <w:contextualSpacing w:val="0"/>
        <w:rPr>
          <w:b w:val="1"/>
          <w:color w:val="0b5394"/>
          <w:sz w:val="34"/>
          <w:szCs w:val="34"/>
          <w:highlight w:val="white"/>
        </w:rPr>
      </w:pPr>
      <w:r w:rsidDel="00000000" w:rsidR="00000000" w:rsidRPr="00000000">
        <w:rPr>
          <w:rtl w:val="0"/>
        </w:rPr>
      </w:r>
    </w:p>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p w:rsidR="00000000" w:rsidDel="00000000" w:rsidP="00000000" w:rsidRDefault="00000000" w:rsidRPr="00000000">
      <w:pPr>
        <w:pBdr/>
        <w:contextualSpacing w:val="0"/>
        <w:rPr>
          <w:color w:val="222222"/>
          <w:sz w:val="20"/>
          <w:szCs w:val="20"/>
          <w:highlight w:val="white"/>
        </w:rPr>
      </w:pPr>
      <w:r w:rsidDel="00000000" w:rsidR="00000000" w:rsidRPr="00000000">
        <w:rPr>
          <w:color w:val="222222"/>
          <w:sz w:val="20"/>
          <w:szCs w:val="20"/>
          <w:highlight w:val="white"/>
          <w:rtl w:val="0"/>
        </w:rPr>
        <w:t xml:space="preserve">Pour les OST d'échange dans certains cas une fraction peut être calculée pour la quantité du titre à payer (résultant)</w:t>
      </w:r>
    </w:p>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p w:rsidR="00000000" w:rsidDel="00000000" w:rsidP="00000000" w:rsidRDefault="00000000" w:rsidRPr="00000000">
      <w:pPr>
        <w:pBdr/>
        <w:contextualSpacing w:val="0"/>
        <w:rPr>
          <w:color w:val="222222"/>
          <w:sz w:val="20"/>
          <w:szCs w:val="20"/>
          <w:highlight w:val="white"/>
        </w:rPr>
      </w:pPr>
      <w:r w:rsidDel="00000000" w:rsidR="00000000" w:rsidRPr="00000000">
        <w:rPr>
          <w:color w:val="222222"/>
          <w:sz w:val="20"/>
          <w:szCs w:val="20"/>
          <w:highlight w:val="white"/>
          <w:rtl w:val="0"/>
        </w:rPr>
        <w:t xml:space="preserve">Exemple:</w:t>
      </w:r>
    </w:p>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p w:rsidR="00000000" w:rsidDel="00000000" w:rsidP="00000000" w:rsidRDefault="00000000" w:rsidRPr="00000000">
      <w:pPr>
        <w:numPr>
          <w:ilvl w:val="0"/>
          <w:numId w:val="4"/>
        </w:numPr>
        <w:pBdr/>
        <w:ind w:left="720" w:hanging="360"/>
        <w:contextualSpacing w:val="1"/>
        <w:rPr>
          <w:color w:val="222222"/>
          <w:sz w:val="20"/>
          <w:szCs w:val="20"/>
          <w:highlight w:val="white"/>
          <w:u w:val="none"/>
        </w:rPr>
      </w:pPr>
      <w:r w:rsidDel="00000000" w:rsidR="00000000" w:rsidRPr="00000000">
        <w:rPr>
          <w:color w:val="222222"/>
          <w:sz w:val="20"/>
          <w:szCs w:val="20"/>
          <w:highlight w:val="white"/>
          <w:rtl w:val="0"/>
        </w:rPr>
        <w:t xml:space="preserve">La parité au niveau de l'annonce: 1/3.</w:t>
      </w:r>
    </w:p>
    <w:p w:rsidR="00000000" w:rsidDel="00000000" w:rsidP="00000000" w:rsidRDefault="00000000" w:rsidRPr="00000000">
      <w:pPr>
        <w:numPr>
          <w:ilvl w:val="0"/>
          <w:numId w:val="1"/>
        </w:numPr>
        <w:pBdr/>
        <w:ind w:left="720" w:hanging="360"/>
        <w:contextualSpacing w:val="1"/>
        <w:rPr>
          <w:color w:val="222222"/>
          <w:sz w:val="20"/>
          <w:szCs w:val="20"/>
          <w:highlight w:val="white"/>
          <w:u w:val="none"/>
        </w:rPr>
      </w:pPr>
      <w:r w:rsidDel="00000000" w:rsidR="00000000" w:rsidRPr="00000000">
        <w:rPr>
          <w:color w:val="222222"/>
          <w:sz w:val="20"/>
          <w:szCs w:val="20"/>
          <w:highlight w:val="white"/>
          <w:rtl w:val="0"/>
        </w:rPr>
        <w:t xml:space="preserve">La position dépositaire: 100.</w:t>
      </w:r>
    </w:p>
    <w:p w:rsidR="00000000" w:rsidDel="00000000" w:rsidP="00000000" w:rsidRDefault="00000000" w:rsidRPr="00000000">
      <w:pPr>
        <w:numPr>
          <w:ilvl w:val="0"/>
          <w:numId w:val="2"/>
        </w:numPr>
        <w:pBdr/>
        <w:ind w:left="720" w:hanging="360"/>
        <w:contextualSpacing w:val="1"/>
        <w:rPr>
          <w:color w:val="222222"/>
          <w:sz w:val="20"/>
          <w:szCs w:val="20"/>
          <w:highlight w:val="white"/>
          <w:u w:val="none"/>
        </w:rPr>
      </w:pPr>
      <w:r w:rsidDel="00000000" w:rsidR="00000000" w:rsidRPr="00000000">
        <w:rPr>
          <w:color w:val="222222"/>
          <w:sz w:val="20"/>
          <w:szCs w:val="20"/>
          <w:highlight w:val="white"/>
          <w:rtl w:val="0"/>
        </w:rPr>
        <w:t xml:space="preserve">La quantité résultante du nouveau titre = 100/3 = 3,33.</w:t>
      </w:r>
    </w:p>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p w:rsidR="00000000" w:rsidDel="00000000" w:rsidP="00000000" w:rsidRDefault="00000000" w:rsidRPr="00000000">
      <w:pPr>
        <w:pBdr/>
        <w:contextualSpacing w:val="0"/>
        <w:rPr>
          <w:color w:val="222222"/>
          <w:sz w:val="20"/>
          <w:szCs w:val="20"/>
          <w:highlight w:val="white"/>
        </w:rPr>
      </w:pPr>
      <w:r w:rsidDel="00000000" w:rsidR="00000000" w:rsidRPr="00000000">
        <w:rPr>
          <w:color w:val="222222"/>
          <w:sz w:val="20"/>
          <w:szCs w:val="20"/>
          <w:highlight w:val="white"/>
          <w:rtl w:val="0"/>
        </w:rPr>
        <w:t xml:space="preserve">Quelle quantité doit être payée pour les confrères et pour AWB?</w:t>
      </w:r>
    </w:p>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p w:rsidR="00000000" w:rsidDel="00000000" w:rsidP="00000000" w:rsidRDefault="00000000" w:rsidRPr="00000000">
      <w:pPr>
        <w:pBdr/>
        <w:contextualSpacing w:val="0"/>
        <w:rPr>
          <w:color w:val="222222"/>
          <w:sz w:val="20"/>
          <w:szCs w:val="20"/>
          <w:highlight w:val="white"/>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sectPr>
      <w:pgSz w:h="16834" w:w="11909"/>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bullet"/>
      <w:lvlText w:val="●"/>
      <w:lvlJc w:val="left"/>
      <w:pPr>
        <w:ind w:left="720" w:firstLine="360"/>
      </w:pPr>
      <w:rPr>
        <w:rFonts w:ascii="Arial" w:cs="Arial" w:eastAsia="Arial" w:hAnsi="Arial"/>
        <w:color w:val="222222"/>
        <w:sz w:val="20"/>
        <w:szCs w:val="20"/>
        <w:highlight w:val="white"/>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pBd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0" w:before="200" w:lineRule="auto"/>
      <w:contextualSpacing w:val="1"/>
    </w:pPr>
    <w:rPr>
      <w:rFonts w:ascii="Trebuchet MS" w:cs="Trebuchet MS" w:eastAsia="Trebuchet MS" w:hAnsi="Trebuchet MS"/>
      <w:sz w:val="32"/>
      <w:szCs w:val="32"/>
    </w:rPr>
  </w:style>
  <w:style w:type="paragraph" w:styleId="Heading2">
    <w:name w:val="heading 2"/>
    <w:basedOn w:val="Normal"/>
    <w:next w:val="Normal"/>
    <w:pPr>
      <w:keepNext w:val="1"/>
      <w:keepLines w:val="1"/>
      <w:pBdr/>
      <w:spacing w:after="0" w:before="200" w:lineRule="auto"/>
      <w:contextualSpacing w:val="1"/>
    </w:pPr>
    <w:rPr>
      <w:rFonts w:ascii="Trebuchet MS" w:cs="Trebuchet MS" w:eastAsia="Trebuchet MS" w:hAnsi="Trebuchet MS"/>
      <w:b w:val="1"/>
      <w:sz w:val="26"/>
      <w:szCs w:val="26"/>
    </w:rPr>
  </w:style>
  <w:style w:type="paragraph" w:styleId="Heading3">
    <w:name w:val="heading 3"/>
    <w:basedOn w:val="Normal"/>
    <w:next w:val="Normal"/>
    <w:pPr>
      <w:keepNext w:val="1"/>
      <w:keepLines w:val="1"/>
      <w:pBdr/>
      <w:spacing w:after="0" w:before="160" w:lineRule="auto"/>
      <w:contextualSpacing w:val="1"/>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Bdr/>
      <w:spacing w:after="0" w:before="160" w:lineRule="auto"/>
      <w:contextualSpacing w:val="1"/>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Bdr/>
      <w:spacing w:after="0" w:before="160" w:lineRule="auto"/>
      <w:contextualSpacing w:val="1"/>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Bdr/>
      <w:spacing w:after="0" w:before="160" w:lineRule="auto"/>
      <w:contextualSpacing w:val="1"/>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Bdr/>
      <w:spacing w:after="0" w:before="0" w:lineRule="auto"/>
      <w:contextualSpacing w:val="1"/>
    </w:pPr>
    <w:rPr>
      <w:rFonts w:ascii="Trebuchet MS" w:cs="Trebuchet MS" w:eastAsia="Trebuchet MS" w:hAnsi="Trebuchet MS"/>
      <w:sz w:val="42"/>
      <w:szCs w:val="42"/>
    </w:rPr>
  </w:style>
  <w:style w:type="paragraph" w:styleId="Subtitle">
    <w:name w:val="Subtitle"/>
    <w:basedOn w:val="Normal"/>
    <w:next w:val="Normal"/>
    <w:pPr>
      <w:keepNext w:val="1"/>
      <w:keepLines w:val="1"/>
      <w:pBdr/>
      <w:spacing w:after="200" w:before="0" w:lineRule="auto"/>
      <w:contextualSpacing w:val="1"/>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7" Type="http://schemas.openxmlformats.org/officeDocument/2006/relationships/customXml" Target="../customXml/item3.xml"/><Relationship Id="rId2" Type="http://schemas.openxmlformats.org/officeDocument/2006/relationships/fontTable" Target="fontTable.xml"/><Relationship Id="rId1" Type="http://schemas.openxmlformats.org/officeDocument/2006/relationships/settings" Target="setting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tyles" Target="styles.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CBC18B9834514896B0DC08ACBDCB98" ma:contentTypeVersion="10" ma:contentTypeDescription="Crée un document." ma:contentTypeScope="" ma:versionID="306f8845623b08b8daf2a610338180e6">
  <xsd:schema xmlns:xsd="http://www.w3.org/2001/XMLSchema" xmlns:xs="http://www.w3.org/2001/XMLSchema" xmlns:p="http://schemas.microsoft.com/office/2006/metadata/properties" xmlns:ns2="ee8d298f-9f7f-41d5-854b-6eab0fb66755" xmlns:ns3="dd7fd161-dd49-4069-9f4a-8422fa1e76c7" targetNamespace="http://schemas.microsoft.com/office/2006/metadata/properties" ma:root="true" ma:fieldsID="2273248abea2a61447330e2039f9a60b" ns2:_="" ns3:_="">
    <xsd:import namespace="ee8d298f-9f7f-41d5-854b-6eab0fb66755"/>
    <xsd:import namespace="dd7fd161-dd49-4069-9f4a-8422fa1e76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d298f-9f7f-41d5-854b-6eab0fb667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697633db-1662-44e2-9be0-9673860e25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7fd161-dd49-4069-9f4a-8422fa1e76c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10e4847-a223-46b4-a9fa-c284d9ccadb7}" ma:internalName="TaxCatchAll" ma:showField="CatchAllData" ma:web="dd7fd161-dd49-4069-9f4a-8422fa1e76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d7fd161-dd49-4069-9f4a-8422fa1e76c7" xsi:nil="true"/>
    <lcf76f155ced4ddcb4097134ff3c332f xmlns="ee8d298f-9f7f-41d5-854b-6eab0fb6675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1A782F6-FF06-44EC-B26F-04240015C920}"/>
</file>

<file path=customXml/itemProps2.xml><?xml version="1.0" encoding="utf-8"?>
<ds:datastoreItem xmlns:ds="http://schemas.openxmlformats.org/officeDocument/2006/customXml" ds:itemID="{7DCFD77B-DF5A-44F5-AF78-1D9951154B39}"/>
</file>

<file path=customXml/itemProps3.xml><?xml version="1.0" encoding="utf-8"?>
<ds:datastoreItem xmlns:ds="http://schemas.openxmlformats.org/officeDocument/2006/customXml" ds:itemID="{C1D70E11-D2B4-44D7-BB5C-DA9A2127F102}"/>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0x010100D9CBC18B9834514896B0DC08ACBDCB98</vt:lpwstr>
  </property>
</Properties>
</file>