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pPr>
    </w:p>
    <w:p>
      <w:pPr>
        <w:jc w:val="center"/>
      </w:pPr>
      <w:r>
        <w:drawing>
          <wp:inline distT="0" distB="0" distL="0" distR="0">
            <wp:extent cx="28575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733425"/>
                    </a:xfrm>
                    <a:prstGeom prst="rect">
                      <a:avLst/>
                    </a:prstGeom>
                  </pic:spPr>
                </pic:pic>
              </a:graphicData>
            </a:graphic>
          </wp:inline>
        </w:drawing>
      </w:r>
    </w:p>
    <w:p>
      <w:pPr>
        <w:spacing w:after="420"/>
      </w:pPr>
    </w:p>
    <w:p>
      <w:pPr>
        <w:jc w:val="center"/>
      </w:pPr>
      <w:r>
        <w:rPr>
          <w:rFonts w:ascii="Arial" w:cs="Arial" w:eastAsia="Arial" w:hAnsi="Arial"/>
          <w:color w:val="5A6575"/>
          <w:sz w:val="21"/>
          <w:szCs w:val="21"/>
        </w:rPr>
        <w:t xml:space="preserve">AMI/CEBEVIRHA/FLUVIAC/PPB/2026</w:t>
      </w:r>
    </w:p>
    <w:p>
      <w:pPr>
        <w:spacing w:after="180"/>
      </w:pPr>
    </w:p>
    <w:p>
      <w:pPr>
        <w:spacing w:after="80"/>
        <w:jc w:val="center"/>
      </w:pPr>
      <w:r>
        <w:rPr>
          <w:rFonts w:ascii="Arial" w:cs="Arial" w:eastAsia="Arial" w:hAnsi="Arial"/>
          <w:b/>
          <w:bCs/>
          <w:color w:val="0B6B3A"/>
          <w:sz w:val="38"/>
          <w:szCs w:val="38"/>
        </w:rPr>
        <w:t xml:space="preserve">DOCUMENT D'ARCHITECTURE</w:t>
      </w:r>
    </w:p>
    <w:p>
      <w:pPr>
        <w:spacing w:after="220"/>
        <w:jc w:val="center"/>
      </w:pPr>
      <w:r>
        <w:rPr>
          <w:rFonts w:ascii="Arial" w:cs="Arial" w:eastAsia="Arial" w:hAnsi="Arial"/>
          <w:b/>
          <w:bCs/>
          <w:color w:val="1E3A6E"/>
          <w:sz w:val="30"/>
          <w:szCs w:val="30"/>
        </w:rPr>
        <w:t xml:space="preserve">TECHNIQUE</w:t>
      </w:r>
    </w:p>
    <w:p>
      <w:pPr>
        <w:spacing w:after="40"/>
        <w:jc w:val="center"/>
      </w:pPr>
      <w:r>
        <w:rPr>
          <w:rFonts w:ascii="Arial" w:cs="Arial" w:eastAsia="Arial" w:hAnsi="Arial"/>
          <w:i/>
          <w:iCs/>
          <w:color w:val="5A6575"/>
          <w:sz w:val="19"/>
          <w:szCs w:val="19"/>
        </w:rPr>
        <w:t xml:space="preserve">Plateforme numérique du Passeport Pour Bétail (PPB)</w:t>
      </w:r>
    </w:p>
    <w:p>
      <w:pPr>
        <w:pBdr>
          <w:bottom w:val="single" w:color="F5C518" w:sz="18"/>
        </w:pBdr>
        <w:spacing w:after="40" w:before="200"/>
        <w:jc w:val="center"/>
      </w:pPr>
    </w:p>
    <w:p>
      <w:pPr>
        <w:spacing w:after="36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306"/>
      </w:tblGrid>
      <w:tr>
        <w:tc>
          <w:tcPr>
            <w:tcW w:type="dxa" w:w="2600"/>
            <w:tcBorders>
              <w:top w:val="single" w:color="E8E4DA" w:sz="4"/>
              <w:left w:val="single" w:color="E8E4DA" w:sz="4"/>
              <w:bottom w:val="single" w:color="E8E4DA" w:sz="4"/>
              <w:right w:val="single" w:color="E8E4DA" w:sz="4"/>
            </w:tcBorders>
            <w:shd w:fill="E6F6EC" w:val="clear"/>
            <w:tcMar>
              <w:top w:type="dxa" w:w="110"/>
              <w:left w:type="dxa" w:w="160"/>
              <w:bottom w:type="dxa" w:w="110"/>
              <w:right w:type="dxa" w:w="100"/>
            </w:tcMar>
          </w:tcPr>
          <w:p>
            <w:r>
              <w:rPr>
                <w:rFonts w:ascii="Arial" w:cs="Arial" w:eastAsia="Arial" w:hAnsi="Arial"/>
                <w:b/>
                <w:bCs/>
                <w:color w:val="0B6B3A"/>
                <w:sz w:val="19"/>
                <w:szCs w:val="19"/>
              </w:rPr>
              <w:t xml:space="preserve">Référence</w:t>
            </w:r>
          </w:p>
        </w:tc>
        <w:tc>
          <w:tcPr>
            <w:tcW w:type="dxa" w:w="7306"/>
            <w:tcBorders>
              <w:top w:val="single" w:color="E8E4DA" w:sz="4"/>
              <w:left w:val="single" w:color="E8E4DA" w:sz="4"/>
              <w:bottom w:val="single" w:color="E8E4DA" w:sz="4"/>
              <w:right w:val="single" w:color="E8E4DA" w:sz="4"/>
            </w:tcBorders>
            <w:tcMar>
              <w:top w:type="dxa" w:w="110"/>
              <w:left w:type="dxa" w:w="160"/>
              <w:bottom w:type="dxa" w:w="110"/>
              <w:right w:type="dxa" w:w="100"/>
            </w:tcMar>
          </w:tcPr>
          <w:p>
            <w:r>
              <w:rPr>
                <w:rFonts w:ascii="Arial" w:cs="Arial" w:eastAsia="Arial" w:hAnsi="Arial"/>
                <w:color w:val="15202B"/>
                <w:sz w:val="19"/>
                <w:szCs w:val="19"/>
              </w:rPr>
              <w:t xml:space="preserve">AMI/CEBEVIRHA/FLUVIAC/PPB/2026</w:t>
            </w:r>
          </w:p>
        </w:tc>
      </w:tr>
      <w:tr>
        <w:tc>
          <w:tcPr>
            <w:tcW w:type="dxa" w:w="2600"/>
            <w:tcBorders>
              <w:top w:val="single" w:color="E8E4DA" w:sz="4"/>
              <w:left w:val="single" w:color="E8E4DA" w:sz="4"/>
              <w:bottom w:val="single" w:color="E8E4DA" w:sz="4"/>
              <w:right w:val="single" w:color="E8E4DA" w:sz="4"/>
            </w:tcBorders>
            <w:shd w:fill="E6F6EC" w:val="clear"/>
            <w:tcMar>
              <w:top w:type="dxa" w:w="110"/>
              <w:left w:type="dxa" w:w="160"/>
              <w:bottom w:type="dxa" w:w="110"/>
              <w:right w:type="dxa" w:w="100"/>
            </w:tcMar>
          </w:tcPr>
          <w:p>
            <w:r>
              <w:rPr>
                <w:rFonts w:ascii="Arial" w:cs="Arial" w:eastAsia="Arial" w:hAnsi="Arial"/>
                <w:b/>
                <w:bCs/>
                <w:color w:val="0B6B3A"/>
                <w:sz w:val="19"/>
                <w:szCs w:val="19"/>
              </w:rPr>
              <w:t xml:space="preserve">Destinataires</w:t>
            </w:r>
          </w:p>
        </w:tc>
        <w:tc>
          <w:tcPr>
            <w:tcW w:type="dxa" w:w="7306"/>
            <w:tcBorders>
              <w:top w:val="single" w:color="E8E4DA" w:sz="4"/>
              <w:left w:val="single" w:color="E8E4DA" w:sz="4"/>
              <w:bottom w:val="single" w:color="E8E4DA" w:sz="4"/>
              <w:right w:val="single" w:color="E8E4DA" w:sz="4"/>
            </w:tcBorders>
            <w:tcMar>
              <w:top w:type="dxa" w:w="110"/>
              <w:left w:type="dxa" w:w="160"/>
              <w:bottom w:type="dxa" w:w="110"/>
              <w:right w:type="dxa" w:w="100"/>
            </w:tcMar>
          </w:tcPr>
          <w:p>
            <w:r>
              <w:rPr>
                <w:rFonts w:ascii="Arial" w:cs="Arial" w:eastAsia="Arial" w:hAnsi="Arial"/>
                <w:color w:val="15202B"/>
                <w:sz w:val="19"/>
                <w:szCs w:val="19"/>
              </w:rPr>
              <w:t xml:space="preserve">Équipe de développement, CEBEVIRHA, comité technique</w:t>
            </w:r>
          </w:p>
        </w:tc>
      </w:tr>
      <w:tr>
        <w:tc>
          <w:tcPr>
            <w:tcW w:type="dxa" w:w="2600"/>
            <w:tcBorders>
              <w:top w:val="single" w:color="E8E4DA" w:sz="4"/>
              <w:left w:val="single" w:color="E8E4DA" w:sz="4"/>
              <w:bottom w:val="single" w:color="E8E4DA" w:sz="4"/>
              <w:right w:val="single" w:color="E8E4DA" w:sz="4"/>
            </w:tcBorders>
            <w:shd w:fill="E6F6EC" w:val="clear"/>
            <w:tcMar>
              <w:top w:type="dxa" w:w="110"/>
              <w:left w:type="dxa" w:w="160"/>
              <w:bottom w:type="dxa" w:w="110"/>
              <w:right w:type="dxa" w:w="100"/>
            </w:tcMar>
          </w:tcPr>
          <w:p>
            <w:r>
              <w:rPr>
                <w:rFonts w:ascii="Arial" w:cs="Arial" w:eastAsia="Arial" w:hAnsi="Arial"/>
                <w:b/>
                <w:bCs/>
                <w:color w:val="0B6B3A"/>
                <w:sz w:val="19"/>
                <w:szCs w:val="19"/>
              </w:rPr>
              <w:t xml:space="preserve">Portée</w:t>
            </w:r>
          </w:p>
        </w:tc>
        <w:tc>
          <w:tcPr>
            <w:tcW w:type="dxa" w:w="7306"/>
            <w:tcBorders>
              <w:top w:val="single" w:color="E8E4DA" w:sz="4"/>
              <w:left w:val="single" w:color="E8E4DA" w:sz="4"/>
              <w:bottom w:val="single" w:color="E8E4DA" w:sz="4"/>
              <w:right w:val="single" w:color="E8E4DA" w:sz="4"/>
            </w:tcBorders>
            <w:tcMar>
              <w:top w:type="dxa" w:w="110"/>
              <w:left w:type="dxa" w:w="160"/>
              <w:bottom w:type="dxa" w:w="110"/>
              <w:right w:type="dxa" w:w="100"/>
            </w:tcMar>
          </w:tcPr>
          <w:p>
            <w:r>
              <w:rPr>
                <w:rFonts w:ascii="Arial" w:cs="Arial" w:eastAsia="Arial" w:hAnsi="Arial"/>
                <w:color w:val="15202B"/>
                <w:sz w:val="19"/>
                <w:szCs w:val="19"/>
              </w:rPr>
              <w:t xml:space="preserve">Vue d’ensemble architecturale, décisions structurantes, attributs de qualité</w:t>
            </w:r>
          </w:p>
        </w:tc>
      </w:tr>
      <w:tr>
        <w:tc>
          <w:tcPr>
            <w:tcW w:type="dxa" w:w="2600"/>
            <w:tcBorders>
              <w:top w:val="single" w:color="E8E4DA" w:sz="4"/>
              <w:left w:val="single" w:color="E8E4DA" w:sz="4"/>
              <w:bottom w:val="single" w:color="E8E4DA" w:sz="4"/>
              <w:right w:val="single" w:color="E8E4DA" w:sz="4"/>
            </w:tcBorders>
            <w:shd w:fill="E6F6EC" w:val="clear"/>
            <w:tcMar>
              <w:top w:type="dxa" w:w="110"/>
              <w:left w:type="dxa" w:w="160"/>
              <w:bottom w:type="dxa" w:w="110"/>
              <w:right w:type="dxa" w:w="100"/>
            </w:tcMar>
          </w:tcPr>
          <w:p>
            <w:r>
              <w:rPr>
                <w:rFonts w:ascii="Arial" w:cs="Arial" w:eastAsia="Arial" w:hAnsi="Arial"/>
                <w:b/>
                <w:bCs/>
                <w:color w:val="0B6B3A"/>
                <w:sz w:val="19"/>
                <w:szCs w:val="19"/>
              </w:rPr>
              <w:t xml:space="preserve">Documents liés</w:t>
            </w:r>
          </w:p>
        </w:tc>
        <w:tc>
          <w:tcPr>
            <w:tcW w:type="dxa" w:w="7306"/>
            <w:tcBorders>
              <w:top w:val="single" w:color="E8E4DA" w:sz="4"/>
              <w:left w:val="single" w:color="E8E4DA" w:sz="4"/>
              <w:bottom w:val="single" w:color="E8E4DA" w:sz="4"/>
              <w:right w:val="single" w:color="E8E4DA" w:sz="4"/>
            </w:tcBorders>
            <w:tcMar>
              <w:top w:type="dxa" w:w="110"/>
              <w:left w:type="dxa" w:w="160"/>
              <w:bottom w:type="dxa" w:w="110"/>
              <w:right w:type="dxa" w:w="100"/>
            </w:tcMar>
          </w:tcPr>
          <w:p>
            <w:r>
              <w:rPr>
                <w:rFonts w:ascii="Arial" w:cs="Arial" w:eastAsia="Arial" w:hAnsi="Arial"/>
                <w:color w:val="15202B"/>
                <w:sz w:val="19"/>
                <w:szCs w:val="19"/>
              </w:rPr>
              <w:t xml:space="preserve">Document technique par module, document de conception (UML), schéma de délivrance</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0B6B3A" w:sz="4"/>
              <w:left w:val="single" w:color="0B6B3A" w:sz="4"/>
              <w:bottom w:val="single" w:color="0B6B3A" w:sz="4"/>
              <w:right w:val="single" w:color="0B6B3A" w:sz="4"/>
            </w:tcBorders>
            <w:shd w:fill="0B6B3A" w:val="clear"/>
            <w:tcMar>
              <w:top w:type="dxa" w:w="160"/>
              <w:left w:type="dxa" w:w="220"/>
              <w:bottom w:type="dxa" w:w="160"/>
              <w:right w:type="dxa" w:w="220"/>
            </w:tcMar>
          </w:tcPr>
          <w:p>
            <w:r>
              <w:rPr>
                <w:rFonts w:ascii="Arial" w:cs="Arial" w:eastAsia="Arial" w:hAnsi="Arial"/>
                <w:b/>
                <w:bCs/>
                <w:color w:val="F5C518"/>
                <w:sz w:val="30"/>
                <w:szCs w:val="30"/>
              </w:rPr>
              <w:t xml:space="preserve">1.  </w:t>
            </w:r>
            <w:r>
              <w:rPr>
                <w:rFonts w:ascii="Arial" w:cs="Arial" w:eastAsia="Arial" w:hAnsi="Arial"/>
                <w:b/>
                <w:bCs/>
                <w:color w:val="FFFFFF"/>
                <w:sz w:val="30"/>
                <w:szCs w:val="30"/>
              </w:rPr>
              <w:t xml:space="preserve">Introduction</w:t>
            </w:r>
          </w:p>
        </w:tc>
      </w:tr>
    </w:tbl>
    <w:p>
      <w:pPr>
        <w:spacing w:after="140"/>
      </w:pPr>
    </w:p>
    <w:p>
      <w:pPr>
        <w:pBdr>
          <w:bottom w:val="single" w:color="F5C518" w:sz="8"/>
        </w:pBdr>
        <w:spacing w:after="120" w:before="220"/>
      </w:pPr>
      <w:r>
        <w:rPr>
          <w:rFonts w:ascii="Arial" w:cs="Arial" w:eastAsia="Arial" w:hAnsi="Arial"/>
          <w:b/>
          <w:bCs/>
          <w:color w:val="15202B"/>
          <w:sz w:val="22"/>
          <w:szCs w:val="22"/>
        </w:rPr>
        <w:t xml:space="preserve">Objet du document</w:t>
      </w:r>
    </w:p>
    <w:p>
      <w:pPr>
        <w:spacing w:after="130"/>
      </w:pPr>
      <w:r>
        <w:rPr>
          <w:rFonts w:ascii="Arial" w:cs="Arial" w:eastAsia="Arial" w:hAnsi="Arial"/>
          <w:b w:val="false"/>
          <w:bCs w:val="false"/>
          <w:i w:val="false"/>
          <w:iCs w:val="false"/>
          <w:color w:val="15202B"/>
          <w:sz w:val="20"/>
          <w:szCs w:val="20"/>
        </w:rPr>
        <w:t xml:space="preserve">Ce document présente l'architecture technique de la plateforme numérique du Passeport Pour Bétail (PPB) : ses principes directeurs, son organisation en couches et en modules, ses choix technologiques structurants, son modèle de sécurité, sa stratégie de synchronisation hors-ligne, et les attributs de qualité qu'elle doit garantir. Il complète, sans les dupliquer, le document technique d'implémentation par module (spécifications fonctionnelles détaillées) et le document de conception (diagrammes UML).</w:t>
      </w:r>
    </w:p>
    <w:p>
      <w:pPr>
        <w:pBdr>
          <w:bottom w:val="single" w:color="F5C518" w:sz="8"/>
        </w:pBdr>
        <w:spacing w:after="120" w:before="220"/>
      </w:pPr>
      <w:r>
        <w:rPr>
          <w:rFonts w:ascii="Arial" w:cs="Arial" w:eastAsia="Arial" w:hAnsi="Arial"/>
          <w:b/>
          <w:bCs/>
          <w:color w:val="15202B"/>
          <w:sz w:val="22"/>
          <w:szCs w:val="22"/>
        </w:rPr>
        <w:t xml:space="preserve">Contexte</w:t>
      </w:r>
    </w:p>
    <w:p>
      <w:pPr>
        <w:spacing w:after="130"/>
      </w:pPr>
      <w:r>
        <w:rPr>
          <w:rFonts w:ascii="Arial" w:cs="Arial" w:eastAsia="Arial" w:hAnsi="Arial"/>
          <w:b w:val="false"/>
          <w:bCs w:val="false"/>
          <w:i w:val="false"/>
          <w:iCs w:val="false"/>
          <w:color w:val="15202B"/>
          <w:sz w:val="20"/>
          <w:szCs w:val="20"/>
        </w:rPr>
        <w:t xml:space="preserve">La plateforme couvre l'ensemble du cycle de vie du PPB : commande par les Ministères de l'Élevage, paiement, attribution et impression (centralisée ou décentralisée), émission sur le terrain, et contrôle aux postes frontière — dans les six États membres de la CEMAC. Deux contraintes structurent l'ensemble de l'architecture : une connectivité réseau intermittente sur le terrain, et un besoin de configuration évolutive (champs de formulaires, paramètres système) sans cycle de développement.</w:t>
      </w:r>
    </w:p>
    <w:p>
      <w:pPr>
        <w:pBdr>
          <w:bottom w:val="single" w:color="F5C518" w:sz="8"/>
        </w:pBdr>
        <w:spacing w:after="120" w:before="220"/>
      </w:pPr>
      <w:r>
        <w:rPr>
          <w:rFonts w:ascii="Arial" w:cs="Arial" w:eastAsia="Arial" w:hAnsi="Arial"/>
          <w:b/>
          <w:bCs/>
          <w:color w:val="15202B"/>
          <w:sz w:val="22"/>
          <w:szCs w:val="22"/>
        </w:rPr>
        <w:t xml:space="preserve">Principes directeurs</w:t>
      </w:r>
    </w:p>
    <w:p>
      <w:pPr>
        <w:pStyle w:val="ListParagraph"/>
        <w:numPr>
          <w:ilvl w:val="0"/>
          <w:numId w:val="2"/>
        </w:numPr>
        <w:spacing w:after="70"/>
      </w:pPr>
      <w:r>
        <w:rPr>
          <w:rFonts w:ascii="Arial" w:cs="Arial" w:eastAsia="Arial" w:hAnsi="Arial"/>
          <w:b/>
          <w:bCs/>
          <w:color w:val="15202B"/>
          <w:sz w:val="20"/>
          <w:szCs w:val="20"/>
        </w:rPr>
        <w:t xml:space="preserve">Hors-ligne par conception — </w:t>
      </w:r>
      <w:r>
        <w:rPr>
          <w:rFonts w:ascii="Arial" w:cs="Arial" w:eastAsia="Arial" w:hAnsi="Arial"/>
          <w:color w:val="15202B"/>
          <w:sz w:val="20"/>
          <w:szCs w:val="20"/>
        </w:rPr>
        <w:t xml:space="preserve">Chaque poste terrain (émission, contrôle) doit rester pleinement opérationnel sans réseau, avec synchronisation automatique différée.</w:t>
      </w:r>
    </w:p>
    <w:p>
      <w:pPr>
        <w:pStyle w:val="ListParagraph"/>
        <w:numPr>
          <w:ilvl w:val="0"/>
          <w:numId w:val="2"/>
        </w:numPr>
        <w:spacing w:after="70"/>
      </w:pPr>
      <w:r>
        <w:rPr>
          <w:rFonts w:ascii="Arial" w:cs="Arial" w:eastAsia="Arial" w:hAnsi="Arial"/>
          <w:b/>
          <w:bCs/>
          <w:color w:val="15202B"/>
          <w:sz w:val="20"/>
          <w:szCs w:val="20"/>
        </w:rPr>
        <w:t xml:space="preserve">Configurable sans code — </w:t>
      </w:r>
      <w:r>
        <w:rPr>
          <w:rFonts w:ascii="Arial" w:cs="Arial" w:eastAsia="Arial" w:hAnsi="Arial"/>
          <w:color w:val="15202B"/>
          <w:sz w:val="20"/>
          <w:szCs w:val="20"/>
        </w:rPr>
        <w:t xml:space="preserve">Les champs des formulaires métier et les paramètres système (prix, plafonds) sont pilotés par des données de configuration, jamais codés en dur.</w:t>
      </w:r>
    </w:p>
    <w:p>
      <w:pPr>
        <w:pStyle w:val="ListParagraph"/>
        <w:numPr>
          <w:ilvl w:val="0"/>
          <w:numId w:val="2"/>
        </w:numPr>
        <w:spacing w:after="70"/>
      </w:pPr>
      <w:r>
        <w:rPr>
          <w:rFonts w:ascii="Arial" w:cs="Arial" w:eastAsia="Arial" w:hAnsi="Arial"/>
          <w:b/>
          <w:bCs/>
          <w:color w:val="15202B"/>
          <w:sz w:val="20"/>
          <w:szCs w:val="20"/>
        </w:rPr>
        <w:t xml:space="preserve">Sécurité par conception — </w:t>
      </w:r>
      <w:r>
        <w:rPr>
          <w:rFonts w:ascii="Arial" w:cs="Arial" w:eastAsia="Arial" w:hAnsi="Arial"/>
          <w:color w:val="15202B"/>
          <w:sz w:val="20"/>
          <w:szCs w:val="20"/>
        </w:rPr>
        <w:t xml:space="preserve">Authentification, autorisation, signature et audit sont intégrés dès la conception de chaque module, non ajoutés après coup.</w:t>
      </w:r>
    </w:p>
    <w:p>
      <w:pPr>
        <w:pStyle w:val="ListParagraph"/>
        <w:numPr>
          <w:ilvl w:val="0"/>
          <w:numId w:val="2"/>
        </w:numPr>
        <w:spacing w:after="70"/>
      </w:pPr>
      <w:r>
        <w:rPr>
          <w:rFonts w:ascii="Arial" w:cs="Arial" w:eastAsia="Arial" w:hAnsi="Arial"/>
          <w:b/>
          <w:bCs/>
          <w:color w:val="15202B"/>
          <w:sz w:val="20"/>
          <w:szCs w:val="20"/>
        </w:rPr>
        <w:t xml:space="preserve">Modularité — </w:t>
      </w:r>
      <w:r>
        <w:rPr>
          <w:rFonts w:ascii="Arial" w:cs="Arial" w:eastAsia="Arial" w:hAnsi="Arial"/>
          <w:color w:val="15202B"/>
          <w:sz w:val="20"/>
          <w:szCs w:val="20"/>
        </w:rPr>
        <w:t xml:space="preserve">Six modules faiblement couplés, chacun exposant une API REST versionnée, pouvant évoluer et être testés indépendamment.</w:t>
      </w:r>
    </w:p>
    <w:p>
      <w:pPr>
        <w:pStyle w:val="ListParagraph"/>
        <w:numPr>
          <w:ilvl w:val="0"/>
          <w:numId w:val="2"/>
        </w:numPr>
        <w:spacing w:after="70"/>
      </w:pPr>
      <w:r>
        <w:rPr>
          <w:rFonts w:ascii="Arial" w:cs="Arial" w:eastAsia="Arial" w:hAnsi="Arial"/>
          <w:b/>
          <w:bCs/>
          <w:color w:val="15202B"/>
          <w:sz w:val="20"/>
          <w:szCs w:val="20"/>
        </w:rPr>
        <w:t xml:space="preserve">Traçabilité — </w:t>
      </w:r>
      <w:r>
        <w:rPr>
          <w:rFonts w:ascii="Arial" w:cs="Arial" w:eastAsia="Arial" w:hAnsi="Arial"/>
          <w:color w:val="15202B"/>
          <w:sz w:val="20"/>
          <w:szCs w:val="20"/>
        </w:rPr>
        <w:t xml:space="preserve">Toute donnée ou automatisation critique (numérotation, synchronisation, validation de paiement en ligne) reste vérifiable et journalisée.</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0B6B3A" w:sz="4"/>
              <w:left w:val="single" w:color="0B6B3A" w:sz="4"/>
              <w:bottom w:val="single" w:color="0B6B3A" w:sz="4"/>
              <w:right w:val="single" w:color="0B6B3A" w:sz="4"/>
            </w:tcBorders>
            <w:shd w:fill="0B6B3A" w:val="clear"/>
            <w:tcMar>
              <w:top w:type="dxa" w:w="160"/>
              <w:left w:type="dxa" w:w="220"/>
              <w:bottom w:type="dxa" w:w="160"/>
              <w:right w:type="dxa" w:w="220"/>
            </w:tcMar>
          </w:tcPr>
          <w:p>
            <w:r>
              <w:rPr>
                <w:rFonts w:ascii="Arial" w:cs="Arial" w:eastAsia="Arial" w:hAnsi="Arial"/>
                <w:b/>
                <w:bCs/>
                <w:color w:val="F5C518"/>
                <w:sz w:val="30"/>
                <w:szCs w:val="30"/>
              </w:rPr>
              <w:t xml:space="preserve">2.  </w:t>
            </w:r>
            <w:r>
              <w:rPr>
                <w:rFonts w:ascii="Arial" w:cs="Arial" w:eastAsia="Arial" w:hAnsi="Arial"/>
                <w:b/>
                <w:bCs/>
                <w:color w:val="FFFFFF"/>
                <w:sz w:val="30"/>
                <w:szCs w:val="30"/>
              </w:rPr>
              <w:t xml:space="preserve">Vue d'ensemble de l'architecture</w:t>
            </w:r>
          </w:p>
        </w:tc>
      </w:tr>
    </w:tbl>
    <w:p>
      <w:pPr>
        <w:spacing w:after="140"/>
      </w:pPr>
    </w:p>
    <w:p>
      <w:pPr>
        <w:spacing w:after="130"/>
      </w:pPr>
      <w:r>
        <w:rPr>
          <w:rFonts w:ascii="Arial" w:cs="Arial" w:eastAsia="Arial" w:hAnsi="Arial"/>
          <w:b w:val="false"/>
          <w:bCs w:val="false"/>
          <w:i w:val="false"/>
          <w:iCs w:val="false"/>
          <w:color w:val="15202B"/>
          <w:sz w:val="20"/>
          <w:szCs w:val="20"/>
        </w:rPr>
        <w:t xml:space="preserve">La plateforme suit une architecture en couches classique — présentation, API, services métier, données — organisée autour de six modules fonctionnels et d'un module transversal de configuration dynamique.</w:t>
      </w:r>
    </w:p>
    <w:p>
      <w:pPr>
        <w:pBdr>
          <w:bottom w:val="single" w:color="F5C518" w:sz="8"/>
        </w:pBdr>
        <w:spacing w:after="120" w:before="220"/>
      </w:pPr>
      <w:r>
        <w:rPr>
          <w:rFonts w:ascii="Arial" w:cs="Arial" w:eastAsia="Arial" w:hAnsi="Arial"/>
          <w:b/>
          <w:bCs/>
          <w:color w:val="15202B"/>
          <w:sz w:val="22"/>
          <w:szCs w:val="22"/>
        </w:rPr>
        <w:t xml:space="preserve">Vue logique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200"/>
        <w:gridCol w:w="3106"/>
      </w:tblGrid>
      <w:tr>
        <w:tc>
          <w:tcPr>
            <w:tcW w:type="dxa" w:w="2600"/>
            <w:tcBorders>
              <w:top w:val="single" w:color="0B6B3A" w:sz="4"/>
              <w:left w:val="single" w:color="0B6B3A" w:sz="4"/>
              <w:bottom w:val="single" w:color="0B6B3A" w:sz="4"/>
              <w:right w:val="single" w:color="0B6B3A" w:sz="4"/>
            </w:tcBorders>
            <w:shd w:fill="0B6B3A" w:val="clear"/>
            <w:tcMar>
              <w:top w:type="dxa" w:w="80"/>
              <w:left w:type="dxa" w:w="110"/>
              <w:bottom w:type="dxa" w:w="80"/>
              <w:right w:type="dxa" w:w="110"/>
            </w:tcMar>
          </w:tcPr>
          <w:p>
            <w:r>
              <w:rPr>
                <w:rFonts w:ascii="Arial" w:cs="Arial" w:eastAsia="Arial" w:hAnsi="Arial"/>
                <w:b/>
                <w:bCs/>
                <w:color w:val="FFFFFF"/>
                <w:sz w:val="17"/>
                <w:szCs w:val="17"/>
              </w:rPr>
              <w:t xml:space="preserve">Couche</w:t>
            </w:r>
          </w:p>
        </w:tc>
        <w:tc>
          <w:tcPr>
            <w:tcW w:type="dxa" w:w="4200"/>
            <w:tcBorders>
              <w:top w:val="single" w:color="0B6B3A" w:sz="4"/>
              <w:left w:val="single" w:color="0B6B3A" w:sz="4"/>
              <w:bottom w:val="single" w:color="0B6B3A" w:sz="4"/>
              <w:right w:val="single" w:color="0B6B3A" w:sz="4"/>
            </w:tcBorders>
            <w:shd w:fill="0B6B3A" w:val="clear"/>
            <w:tcMar>
              <w:top w:type="dxa" w:w="80"/>
              <w:left w:type="dxa" w:w="110"/>
              <w:bottom w:type="dxa" w:w="80"/>
              <w:right w:type="dxa" w:w="110"/>
            </w:tcMar>
          </w:tcPr>
          <w:p>
            <w:r>
              <w:rPr>
                <w:rFonts w:ascii="Arial" w:cs="Arial" w:eastAsia="Arial" w:hAnsi="Arial"/>
                <w:b/>
                <w:bCs/>
                <w:color w:val="FFFFFF"/>
                <w:sz w:val="17"/>
                <w:szCs w:val="17"/>
              </w:rPr>
              <w:t xml:space="preserve">Composants</w:t>
            </w:r>
          </w:p>
        </w:tc>
        <w:tc>
          <w:tcPr>
            <w:tcW w:type="dxa" w:w="3106"/>
            <w:tcBorders>
              <w:top w:val="single" w:color="0B6B3A" w:sz="4"/>
              <w:left w:val="single" w:color="0B6B3A" w:sz="4"/>
              <w:bottom w:val="single" w:color="0B6B3A" w:sz="4"/>
              <w:right w:val="single" w:color="0B6B3A" w:sz="4"/>
            </w:tcBorders>
            <w:shd w:fill="0B6B3A" w:val="clear"/>
            <w:tcMar>
              <w:top w:type="dxa" w:w="80"/>
              <w:left w:type="dxa" w:w="110"/>
              <w:bottom w:type="dxa" w:w="80"/>
              <w:right w:type="dxa" w:w="110"/>
            </w:tcMar>
          </w:tcPr>
          <w:p>
            <w:r>
              <w:rPr>
                <w:rFonts w:ascii="Arial" w:cs="Arial" w:eastAsia="Arial" w:hAnsi="Arial"/>
                <w:b/>
                <w:bCs/>
                <w:color w:val="FFFFFF"/>
                <w:sz w:val="17"/>
                <w:szCs w:val="17"/>
              </w:rPr>
              <w:t xml:space="preserve">Rôle</w:t>
            </w:r>
          </w:p>
        </w:tc>
      </w:tr>
      <w:tr>
        <w:tc>
          <w:tcPr>
            <w:tcW w:type="dxa" w:w="26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Présentation</w:t>
            </w:r>
          </w:p>
        </w:tc>
        <w:tc>
          <w:tcPr>
            <w:tcW w:type="dxa" w:w="42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Web Admin (React), App Émission (PWA), App Contrôle (PWA), Portail public</w:t>
            </w:r>
          </w:p>
        </w:tc>
        <w:tc>
          <w:tcPr>
            <w:tcW w:type="dxa" w:w="31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Interfaces utilisateur, fonctionnement hors-ligne pour les apps terrain</w:t>
            </w:r>
          </w:p>
        </w:tc>
      </w:tr>
      <w:tr>
        <w:tc>
          <w:tcPr>
            <w:tcW w:type="dxa" w:w="26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API</w:t>
            </w:r>
          </w:p>
        </w:tc>
        <w:tc>
          <w:tcPr>
            <w:tcW w:type="dxa" w:w="42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API Gateway REST (FastAPI)</w:t>
            </w:r>
          </w:p>
        </w:tc>
        <w:tc>
          <w:tcPr>
            <w:tcW w:type="dxa" w:w="31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Point d’entrée unique, authentification, routage vers les services</w:t>
            </w:r>
          </w:p>
        </w:tc>
      </w:tr>
      <w:tr>
        <w:tc>
          <w:tcPr>
            <w:tcW w:type="dxa" w:w="26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Services métier</w:t>
            </w:r>
          </w:p>
        </w:tc>
        <w:tc>
          <w:tcPr>
            <w:tcW w:type="dxa" w:w="42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Commande, Paiement, Impression, Contrôle, Statistiques, Administration</w:t>
            </w:r>
          </w:p>
        </w:tc>
        <w:tc>
          <w:tcPr>
            <w:tcW w:type="dxa" w:w="31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Logique métier de chaque module, indépendants les uns des autres</w:t>
            </w:r>
          </w:p>
        </w:tc>
      </w:tr>
      <w:tr>
        <w:tc>
          <w:tcPr>
            <w:tcW w:type="dxa" w:w="26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Données</w:t>
            </w:r>
          </w:p>
        </w:tc>
        <w:tc>
          <w:tcPr>
            <w:tcW w:type="dxa" w:w="42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PostgreSQL + PostGIS, Object Storage S3</w:t>
            </w:r>
          </w:p>
        </w:tc>
        <w:tc>
          <w:tcPr>
            <w:tcW w:type="dxa" w:w="31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Persistance relationnelle et géospatiale, fichiers (reçus, exports)</w:t>
            </w:r>
          </w:p>
        </w:tc>
      </w:tr>
    </w:tbl>
    <w:p>
      <w:pPr>
        <w:spacing w:after="140"/>
      </w:pPr>
    </w:p>
    <w:p>
      <w:pPr>
        <w:pBdr>
          <w:bottom w:val="single" w:color="F5C518" w:sz="8"/>
        </w:pBdr>
        <w:spacing w:after="120" w:before="220"/>
      </w:pPr>
      <w:r>
        <w:rPr>
          <w:rFonts w:ascii="Arial" w:cs="Arial" w:eastAsia="Arial" w:hAnsi="Arial"/>
          <w:b/>
          <w:bCs/>
          <w:color w:val="15202B"/>
          <w:sz w:val="22"/>
          <w:szCs w:val="22"/>
        </w:rPr>
        <w:t xml:space="preserve">Diagramme de composants</w:t>
      </w:r>
    </w:p>
    <w:p>
      <w:pPr>
        <w:spacing w:after="80"/>
        <w:jc w:val="center"/>
      </w:pPr>
      <w:r>
        <w:drawing>
          <wp:inline distT="0" distB="0" distL="0" distR="0">
            <wp:extent cx="6286500" cy="501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5010150"/>
                    </a:xfrm>
                    <a:prstGeom prst="rect">
                      <a:avLst/>
                    </a:prstGeom>
                  </pic:spPr>
                </pic:pic>
              </a:graphicData>
            </a:graphic>
          </wp:inline>
        </w:drawing>
      </w:r>
    </w:p>
    <w:p>
      <w:pPr>
        <w:spacing w:after="160"/>
        <w:jc w:val="center"/>
      </w:pPr>
      <w:r>
        <w:rPr>
          <w:rFonts w:ascii="Arial" w:cs="Arial" w:eastAsia="Arial" w:hAnsi="Arial"/>
          <w:i/>
          <w:iCs/>
          <w:color w:val="5A6575"/>
          <w:sz w:val="16"/>
          <w:szCs w:val="16"/>
        </w:rPr>
        <w:t xml:space="preserve">Organisation logicielle de la plateforme — clients, API Gateway, services métier, données, PSP externe</w:t>
      </w:r>
    </w:p>
    <w:p>
      <w:pPr>
        <w:pBdr>
          <w:bottom w:val="single" w:color="F5C518" w:sz="8"/>
        </w:pBdr>
        <w:spacing w:after="120" w:before="220"/>
      </w:pPr>
      <w:r>
        <w:rPr>
          <w:rFonts w:ascii="Arial" w:cs="Arial" w:eastAsia="Arial" w:hAnsi="Arial"/>
          <w:b/>
          <w:bCs/>
          <w:color w:val="15202B"/>
          <w:sz w:val="22"/>
          <w:szCs w:val="22"/>
        </w:rPr>
        <w:t xml:space="preserve">Stack technique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706"/>
      </w:tblGrid>
      <w:tr>
        <w:tc>
          <w:tcPr>
            <w:tcW w:type="dxa" w:w="3200"/>
            <w:tcBorders>
              <w:top w:val="single" w:color="0B6B3A" w:sz="4"/>
              <w:left w:val="single" w:color="0B6B3A" w:sz="4"/>
              <w:bottom w:val="single" w:color="0B6B3A" w:sz="4"/>
              <w:right w:val="single" w:color="0B6B3A" w:sz="4"/>
            </w:tcBorders>
            <w:shd w:fill="0B6B3A" w:val="clear"/>
            <w:tcMar>
              <w:top w:type="dxa" w:w="80"/>
              <w:left w:type="dxa" w:w="110"/>
              <w:bottom w:type="dxa" w:w="80"/>
              <w:right w:type="dxa" w:w="110"/>
            </w:tcMar>
          </w:tcPr>
          <w:p>
            <w:r>
              <w:rPr>
                <w:rFonts w:ascii="Arial" w:cs="Arial" w:eastAsia="Arial" w:hAnsi="Arial"/>
                <w:b/>
                <w:bCs/>
                <w:color w:val="FFFFFF"/>
                <w:sz w:val="17"/>
                <w:szCs w:val="17"/>
              </w:rPr>
              <w:t xml:space="preserve">Composant</w:t>
            </w:r>
          </w:p>
        </w:tc>
        <w:tc>
          <w:tcPr>
            <w:tcW w:type="dxa" w:w="6706"/>
            <w:tcBorders>
              <w:top w:val="single" w:color="0B6B3A" w:sz="4"/>
              <w:left w:val="single" w:color="0B6B3A" w:sz="4"/>
              <w:bottom w:val="single" w:color="0B6B3A" w:sz="4"/>
              <w:right w:val="single" w:color="0B6B3A" w:sz="4"/>
            </w:tcBorders>
            <w:shd w:fill="0B6B3A" w:val="clear"/>
            <w:tcMar>
              <w:top w:type="dxa" w:w="80"/>
              <w:left w:type="dxa" w:w="110"/>
              <w:bottom w:type="dxa" w:w="80"/>
              <w:right w:type="dxa" w:w="110"/>
            </w:tcMar>
          </w:tcPr>
          <w:p>
            <w:r>
              <w:rPr>
                <w:rFonts w:ascii="Arial" w:cs="Arial" w:eastAsia="Arial" w:hAnsi="Arial"/>
                <w:b/>
                <w:bCs/>
                <w:color w:val="FFFFFF"/>
                <w:sz w:val="17"/>
                <w:szCs w:val="17"/>
              </w:rPr>
              <w:t xml:space="preserve">Choix retenu</w:t>
            </w:r>
          </w:p>
        </w:tc>
      </w:tr>
      <w:tr>
        <w:tc>
          <w:tcPr>
            <w:tcW w:type="dxa" w:w="32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Frontend Web</w:t>
            </w:r>
          </w:p>
        </w:tc>
        <w:tc>
          <w:tcPr>
            <w:tcW w:type="dxa" w:w="67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React.js + TypeScript + Tailwind + shadcn/ui</w:t>
            </w:r>
          </w:p>
        </w:tc>
      </w:tr>
      <w:tr>
        <w:tc>
          <w:tcPr>
            <w:tcW w:type="dxa" w:w="32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Backend API</w:t>
            </w:r>
          </w:p>
        </w:tc>
        <w:tc>
          <w:tcPr>
            <w:tcW w:type="dxa" w:w="67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Python (FastAPI), API REST versionnée</w:t>
            </w:r>
          </w:p>
        </w:tc>
      </w:tr>
      <w:tr>
        <w:tc>
          <w:tcPr>
            <w:tcW w:type="dxa" w:w="32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Base de données</w:t>
            </w:r>
          </w:p>
        </w:tc>
        <w:tc>
          <w:tcPr>
            <w:tcW w:type="dxa" w:w="67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PostgreSQL + extension PostGIS</w:t>
            </w:r>
          </w:p>
        </w:tc>
      </w:tr>
      <w:tr>
        <w:tc>
          <w:tcPr>
            <w:tcW w:type="dxa" w:w="32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Stockage fichiers</w:t>
            </w:r>
          </w:p>
        </w:tc>
        <w:tc>
          <w:tcPr>
            <w:tcW w:type="dxa" w:w="67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Object Storage compatible S3</w:t>
            </w:r>
          </w:p>
        </w:tc>
      </w:tr>
      <w:tr>
        <w:tc>
          <w:tcPr>
            <w:tcW w:type="dxa" w:w="32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Authentification</w:t>
            </w:r>
          </w:p>
        </w:tc>
        <w:tc>
          <w:tcPr>
            <w:tcW w:type="dxa" w:w="67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JWT + bcrypt + RBAC (6 rôles)</w:t>
            </w:r>
          </w:p>
        </w:tc>
      </w:tr>
      <w:tr>
        <w:tc>
          <w:tcPr>
            <w:tcW w:type="dxa" w:w="32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Application terrain</w:t>
            </w:r>
          </w:p>
        </w:tc>
        <w:tc>
          <w:tcPr>
            <w:tcW w:type="dxa" w:w="67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PWA (Progressive Web App), IndexedDB, Service Worker</w:t>
            </w:r>
          </w:p>
        </w:tc>
      </w:tr>
      <w:tr>
        <w:tc>
          <w:tcPr>
            <w:tcW w:type="dxa" w:w="32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Signature numérique</w:t>
            </w:r>
          </w:p>
        </w:tc>
        <w:tc>
          <w:tcPr>
            <w:tcW w:type="dxa" w:w="67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RSA-2048 ou ECDSA P-256</w:t>
            </w:r>
          </w:p>
        </w:tc>
      </w:tr>
      <w:tr>
        <w:tc>
          <w:tcPr>
            <w:tcW w:type="dxa" w:w="32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Paiement en ligne</w:t>
            </w:r>
          </w:p>
        </w:tc>
        <w:tc>
          <w:tcPr>
            <w:tcW w:type="dxa" w:w="67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CinetPay (agrégateur CEMAC)</w:t>
            </w:r>
          </w:p>
        </w:tc>
      </w:tr>
      <w:tr>
        <w:tc>
          <w:tcPr>
            <w:tcW w:type="dxa" w:w="32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Cartographie</w:t>
            </w:r>
          </w:p>
        </w:tc>
        <w:tc>
          <w:tcPr>
            <w:tcW w:type="dxa" w:w="67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Leaflet.js + OpenStreetMap</w:t>
            </w:r>
          </w:p>
        </w:tc>
      </w:tr>
      <w:tr>
        <w:tc>
          <w:tcPr>
            <w:tcW w:type="dxa" w:w="32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Hébergement</w:t>
            </w:r>
          </w:p>
        </w:tc>
        <w:tc>
          <w:tcPr>
            <w:tcW w:type="dxa" w:w="67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OVHcloud (cloud souverain francophone)</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0B6B3A" w:sz="4"/>
              <w:left w:val="single" w:color="0B6B3A" w:sz="4"/>
              <w:bottom w:val="single" w:color="0B6B3A" w:sz="4"/>
              <w:right w:val="single" w:color="0B6B3A" w:sz="4"/>
            </w:tcBorders>
            <w:shd w:fill="0B6B3A" w:val="clear"/>
            <w:tcMar>
              <w:top w:type="dxa" w:w="160"/>
              <w:left w:type="dxa" w:w="220"/>
              <w:bottom w:type="dxa" w:w="160"/>
              <w:right w:type="dxa" w:w="220"/>
            </w:tcMar>
          </w:tcPr>
          <w:p>
            <w:r>
              <w:rPr>
                <w:rFonts w:ascii="Arial" w:cs="Arial" w:eastAsia="Arial" w:hAnsi="Arial"/>
                <w:b/>
                <w:bCs/>
                <w:color w:val="F5C518"/>
                <w:sz w:val="30"/>
                <w:szCs w:val="30"/>
              </w:rPr>
              <w:t xml:space="preserve">3.  </w:t>
            </w:r>
            <w:r>
              <w:rPr>
                <w:rFonts w:ascii="Arial" w:cs="Arial" w:eastAsia="Arial" w:hAnsi="Arial"/>
                <w:b/>
                <w:bCs/>
                <w:color w:val="FFFFFF"/>
                <w:sz w:val="30"/>
                <w:szCs w:val="30"/>
              </w:rPr>
              <w:t xml:space="preserve">Architecture des données</w:t>
            </w:r>
          </w:p>
        </w:tc>
      </w:tr>
    </w:tbl>
    <w:p>
      <w:pPr>
        <w:spacing w:after="140"/>
      </w:pPr>
    </w:p>
    <w:p>
      <w:pPr>
        <w:spacing w:after="130"/>
      </w:pPr>
      <w:r>
        <w:rPr>
          <w:rFonts w:ascii="Arial" w:cs="Arial" w:eastAsia="Arial" w:hAnsi="Arial"/>
          <w:b w:val="false"/>
          <w:bCs w:val="false"/>
          <w:i w:val="false"/>
          <w:iCs w:val="false"/>
          <w:color w:val="15202B"/>
          <w:sz w:val="20"/>
          <w:szCs w:val="20"/>
        </w:rPr>
        <w:t xml:space="preserve">Le modèle de données combine des entités relationnelles classiques (Pays, Commande, Paiement, Passeport, Contrôle) et un mécanisme de configuration dynamique, pour répondre au besoin d'évolutivité sans redéploiement.</w:t>
      </w:r>
    </w:p>
    <w:p>
      <w:pPr>
        <w:pBdr>
          <w:bottom w:val="single" w:color="F5C518" w:sz="8"/>
        </w:pBdr>
        <w:spacing w:after="120" w:before="220"/>
      </w:pPr>
      <w:r>
        <w:rPr>
          <w:rFonts w:ascii="Arial" w:cs="Arial" w:eastAsia="Arial" w:hAnsi="Arial"/>
          <w:b/>
          <w:bCs/>
          <w:color w:val="15202B"/>
          <w:sz w:val="22"/>
          <w:szCs w:val="22"/>
        </w:rPr>
        <w:t xml:space="preserve">Deux familles de champs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200"/>
        <w:gridCol w:w="3106"/>
      </w:tblGrid>
      <w:tr>
        <w:tc>
          <w:tcPr>
            <w:tcW w:type="dxa" w:w="2600"/>
            <w:tcBorders>
              <w:top w:val="single" w:color="0B6B3A" w:sz="4"/>
              <w:left w:val="single" w:color="0B6B3A" w:sz="4"/>
              <w:bottom w:val="single" w:color="0B6B3A" w:sz="4"/>
              <w:right w:val="single" w:color="0B6B3A" w:sz="4"/>
            </w:tcBorders>
            <w:shd w:fill="0B6B3A" w:val="clear"/>
            <w:tcMar>
              <w:top w:type="dxa" w:w="80"/>
              <w:left w:type="dxa" w:w="110"/>
              <w:bottom w:type="dxa" w:w="80"/>
              <w:right w:type="dxa" w:w="110"/>
            </w:tcMar>
          </w:tcPr>
          <w:p>
            <w:r>
              <w:rPr>
                <w:rFonts w:ascii="Arial" w:cs="Arial" w:eastAsia="Arial" w:hAnsi="Arial"/>
                <w:b/>
                <w:bCs/>
                <w:color w:val="FFFFFF"/>
                <w:sz w:val="17"/>
                <w:szCs w:val="17"/>
              </w:rPr>
              <w:t xml:space="preserve">Famille</w:t>
            </w:r>
          </w:p>
        </w:tc>
        <w:tc>
          <w:tcPr>
            <w:tcW w:type="dxa" w:w="4200"/>
            <w:tcBorders>
              <w:top w:val="single" w:color="0B6B3A" w:sz="4"/>
              <w:left w:val="single" w:color="0B6B3A" w:sz="4"/>
              <w:bottom w:val="single" w:color="0B6B3A" w:sz="4"/>
              <w:right w:val="single" w:color="0B6B3A" w:sz="4"/>
            </w:tcBorders>
            <w:shd w:fill="0B6B3A" w:val="clear"/>
            <w:tcMar>
              <w:top w:type="dxa" w:w="80"/>
              <w:left w:type="dxa" w:w="110"/>
              <w:bottom w:type="dxa" w:w="80"/>
              <w:right w:type="dxa" w:w="110"/>
            </w:tcMar>
          </w:tcPr>
          <w:p>
            <w:r>
              <w:rPr>
                <w:rFonts w:ascii="Arial" w:cs="Arial" w:eastAsia="Arial" w:hAnsi="Arial"/>
                <w:b/>
                <w:bCs/>
                <w:color w:val="FFFFFF"/>
                <w:sz w:val="17"/>
                <w:szCs w:val="17"/>
              </w:rPr>
              <w:t xml:space="preserve">Exemples</w:t>
            </w:r>
          </w:p>
        </w:tc>
        <w:tc>
          <w:tcPr>
            <w:tcW w:type="dxa" w:w="3106"/>
            <w:tcBorders>
              <w:top w:val="single" w:color="0B6B3A" w:sz="4"/>
              <w:left w:val="single" w:color="0B6B3A" w:sz="4"/>
              <w:bottom w:val="single" w:color="0B6B3A" w:sz="4"/>
              <w:right w:val="single" w:color="0B6B3A" w:sz="4"/>
            </w:tcBorders>
            <w:shd w:fill="0B6B3A" w:val="clear"/>
            <w:tcMar>
              <w:top w:type="dxa" w:w="80"/>
              <w:left w:type="dxa" w:w="110"/>
              <w:bottom w:type="dxa" w:w="80"/>
              <w:right w:type="dxa" w:w="110"/>
            </w:tcMar>
          </w:tcPr>
          <w:p>
            <w:r>
              <w:rPr>
                <w:rFonts w:ascii="Arial" w:cs="Arial" w:eastAsia="Arial" w:hAnsi="Arial"/>
                <w:b/>
                <w:bCs/>
                <w:color w:val="FFFFFF"/>
                <w:sz w:val="17"/>
                <w:szCs w:val="17"/>
              </w:rPr>
              <w:t xml:space="preserve">Stockage</w:t>
            </w:r>
          </w:p>
        </w:tc>
      </w:tr>
      <w:tr>
        <w:tc>
          <w:tcPr>
            <w:tcW w:type="dxa" w:w="26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Champs structurels</w:t>
            </w:r>
          </w:p>
        </w:tc>
        <w:tc>
          <w:tcPr>
            <w:tcW w:type="dxa" w:w="42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Identifiants, statuts, numéro de passeport, signature, montants</w:t>
            </w:r>
          </w:p>
        </w:tc>
        <w:tc>
          <w:tcPr>
            <w:tcW w:type="dxa" w:w="31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Colonnes relationnelles classiques, figées</w:t>
            </w:r>
          </w:p>
        </w:tc>
      </w:tr>
      <w:tr>
        <w:tc>
          <w:tcPr>
            <w:tcW w:type="dxa" w:w="26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Champs métier configurables</w:t>
            </w:r>
          </w:p>
        </w:tc>
        <w:tc>
          <w:tcPr>
            <w:tcW w:type="dxa" w:w="42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Informations éleveur, convoyeur, composition du troupeau</w:t>
            </w:r>
          </w:p>
        </w:tc>
        <w:tc>
          <w:tcPr>
            <w:tcW w:type="dxa" w:w="31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Colonne JSONB (donnees_dynamiques), structure pilotée par DefinitionChamp</w:t>
            </w:r>
          </w:p>
        </w:tc>
      </w:tr>
    </w:tbl>
    <w:p>
      <w:pPr>
        <w:spacing w:after="14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F5C518" w:sz="4"/>
              <w:left w:val="single" w:color="F5C518" w:sz="24"/>
              <w:bottom w:val="single" w:color="F5C518" w:sz="4"/>
              <w:right w:val="single" w:color="F5C518" w:sz="4"/>
            </w:tcBorders>
            <w:shd w:fill="FDF6DC" w:val="clear"/>
            <w:tcMar>
              <w:top w:type="dxa" w:w="140"/>
              <w:left w:type="dxa" w:w="200"/>
              <w:bottom w:type="dxa" w:w="140"/>
              <w:right w:type="dxa" w:w="200"/>
            </w:tcMar>
          </w:tcPr>
          <w:p>
            <w:pPr>
              <w:spacing w:after="50"/>
            </w:pPr>
            <w:r>
              <w:rPr>
                <w:rFonts w:ascii="Arial" w:cs="Arial" w:eastAsia="Arial" w:hAnsi="Arial"/>
                <w:b/>
                <w:bCs/>
                <w:color w:val="8A6D00"/>
                <w:spacing w:val="8"/>
                <w:sz w:val="17"/>
                <w:szCs w:val="17"/>
              </w:rPr>
              <w:t xml:space="preserve">POURQUOI POSTGRESQL + JSONB PLUTÔT QU’UN MODÈLE EAV CLASSIQUE</w:t>
            </w:r>
          </w:p>
          <w:p>
            <w:r>
              <w:rPr>
                <w:rFonts w:ascii="Arial" w:cs="Arial" w:eastAsia="Arial" w:hAnsi="Arial"/>
                <w:color w:val="15202B"/>
                <w:sz w:val="19"/>
                <w:szCs w:val="19"/>
              </w:rPr>
              <w:t xml:space="preserve">Un modèle Entité-Attribut-Valeur (EAV) traditionnel complique fortement les requêtes et l'indexation. PostgreSQL permet d'indexer et d'interroger nativement des colonnes JSONB (index GIN), offrant la flexibilité d'un schéma dynamique sans sacrifier les performances de requêtage ni la simplicité du modèle relationnel pour les champs structurels.</w:t>
            </w:r>
          </w:p>
        </w:tc>
      </w:tr>
    </w:tbl>
    <w:p>
      <w:pPr>
        <w:spacing w:after="140"/>
      </w:pPr>
    </w:p>
    <w:p>
      <w:pPr>
        <w:pBdr>
          <w:bottom w:val="single" w:color="F5C518" w:sz="8"/>
        </w:pBdr>
        <w:spacing w:after="120" w:before="220"/>
      </w:pPr>
      <w:r>
        <w:rPr>
          <w:rFonts w:ascii="Arial" w:cs="Arial" w:eastAsia="Arial" w:hAnsi="Arial"/>
          <w:b/>
          <w:bCs/>
          <w:color w:val="15202B"/>
          <w:sz w:val="22"/>
          <w:szCs w:val="22"/>
        </w:rPr>
        <w:t xml:space="preserve">Entités centrales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6506"/>
      </w:tblGrid>
      <w:tr>
        <w:tc>
          <w:tcPr>
            <w:tcW w:type="dxa" w:w="3400"/>
            <w:tcBorders>
              <w:top w:val="single" w:color="0B6B3A" w:sz="4"/>
              <w:left w:val="single" w:color="0B6B3A" w:sz="4"/>
              <w:bottom w:val="single" w:color="0B6B3A" w:sz="4"/>
              <w:right w:val="single" w:color="0B6B3A" w:sz="4"/>
            </w:tcBorders>
            <w:shd w:fill="0B6B3A" w:val="clear"/>
            <w:tcMar>
              <w:top w:type="dxa" w:w="80"/>
              <w:left w:type="dxa" w:w="110"/>
              <w:bottom w:type="dxa" w:w="80"/>
              <w:right w:type="dxa" w:w="110"/>
            </w:tcMar>
          </w:tcPr>
          <w:p>
            <w:r>
              <w:rPr>
                <w:rFonts w:ascii="Arial" w:cs="Arial" w:eastAsia="Arial" w:hAnsi="Arial"/>
                <w:b/>
                <w:bCs/>
                <w:color w:val="FFFFFF"/>
                <w:sz w:val="17"/>
                <w:szCs w:val="17"/>
              </w:rPr>
              <w:t xml:space="preserve">Entité</w:t>
            </w:r>
          </w:p>
        </w:tc>
        <w:tc>
          <w:tcPr>
            <w:tcW w:type="dxa" w:w="6506"/>
            <w:tcBorders>
              <w:top w:val="single" w:color="0B6B3A" w:sz="4"/>
              <w:left w:val="single" w:color="0B6B3A" w:sz="4"/>
              <w:bottom w:val="single" w:color="0B6B3A" w:sz="4"/>
              <w:right w:val="single" w:color="0B6B3A" w:sz="4"/>
            </w:tcBorders>
            <w:shd w:fill="0B6B3A" w:val="clear"/>
            <w:tcMar>
              <w:top w:type="dxa" w:w="80"/>
              <w:left w:type="dxa" w:w="110"/>
              <w:bottom w:type="dxa" w:w="80"/>
              <w:right w:type="dxa" w:w="110"/>
            </w:tcMar>
          </w:tcPr>
          <w:p>
            <w:r>
              <w:rPr>
                <w:rFonts w:ascii="Arial" w:cs="Arial" w:eastAsia="Arial" w:hAnsi="Arial"/>
                <w:b/>
                <w:bCs/>
                <w:color w:val="FFFFFF"/>
                <w:sz w:val="17"/>
                <w:szCs w:val="17"/>
              </w:rPr>
              <w:t xml:space="preserve">Rôle</w:t>
            </w:r>
          </w:p>
        </w:tc>
      </w:tr>
      <w:tr>
        <w:tc>
          <w:tcPr>
            <w:tcW w:type="dxa" w:w="34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Pays, Commande, Paiement</w:t>
            </w:r>
          </w:p>
        </w:tc>
        <w:tc>
          <w:tcPr>
            <w:tcW w:type="dxa" w:w="65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Cycle de commande et de règlement</w:t>
            </w:r>
          </w:p>
        </w:tc>
      </w:tr>
      <w:tr>
        <w:tc>
          <w:tcPr>
            <w:tcW w:type="dxa" w:w="34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Passeport, AutorisationImpression</w:t>
            </w:r>
          </w:p>
        </w:tc>
        <w:tc>
          <w:tcPr>
            <w:tcW w:type="dxa" w:w="65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Identité du document et cadre de l’impression décentralisée</w:t>
            </w:r>
          </w:p>
        </w:tc>
      </w:tr>
      <w:tr>
        <w:tc>
          <w:tcPr>
            <w:tcW w:type="dxa" w:w="34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Eleveur, Convoyeur, Troupeau, TroupeauEspece, Vaccination, Itineraire</w:t>
            </w:r>
          </w:p>
        </w:tc>
        <w:tc>
          <w:tcPr>
            <w:tcW w:type="dxa" w:w="65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Données saisies sur le terrain, créées après validation de l’émission</w:t>
            </w:r>
          </w:p>
        </w:tc>
      </w:tr>
      <w:tr>
        <w:tc>
          <w:tcPr>
            <w:tcW w:type="dxa" w:w="34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Controle</w:t>
            </w:r>
          </w:p>
        </w:tc>
        <w:tc>
          <w:tcPr>
            <w:tcW w:type="dxa" w:w="65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Historique des vérifications aux postes frontière</w:t>
            </w:r>
          </w:p>
        </w:tc>
      </w:tr>
      <w:tr>
        <w:tc>
          <w:tcPr>
            <w:tcW w:type="dxa" w:w="34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DefinitionFormulaire, DefinitionChamp, Parametre</w:t>
            </w:r>
          </w:p>
        </w:tc>
        <w:tc>
          <w:tcPr>
            <w:tcW w:type="dxa" w:w="65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Moteur de configuration dynamique (Super Admin)</w:t>
            </w:r>
          </w:p>
        </w:tc>
      </w:tr>
      <w:tr>
        <w:tc>
          <w:tcPr>
            <w:tcW w:type="dxa" w:w="34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Utilisateur</w:t>
            </w:r>
          </w:p>
        </w:tc>
        <w:tc>
          <w:tcPr>
            <w:tcW w:type="dxa" w:w="65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Comptes applicatifs, 6 rôles RBAC</w:t>
            </w:r>
          </w:p>
        </w:tc>
      </w:tr>
    </w:tbl>
    <w:p>
      <w:pPr>
        <w:spacing w:after="60"/>
      </w:pPr>
      <w:r>
        <w:rPr>
          <w:rFonts w:ascii="Arial" w:cs="Arial" w:eastAsia="Arial" w:hAnsi="Arial"/>
          <w:b w:val="false"/>
          <w:bCs w:val="false"/>
          <w:i/>
          <w:iCs/>
          <w:color w:val="15202B"/>
          <w:sz w:val="20"/>
          <w:szCs w:val="20"/>
        </w:rPr>
        <w:t xml:space="preserve">Le détail complet des entités, attributs et relations figure dans le document de conception (diagramme de classes).</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0B6B3A" w:sz="4"/>
              <w:left w:val="single" w:color="0B6B3A" w:sz="4"/>
              <w:bottom w:val="single" w:color="0B6B3A" w:sz="4"/>
              <w:right w:val="single" w:color="0B6B3A" w:sz="4"/>
            </w:tcBorders>
            <w:shd w:fill="0B6B3A" w:val="clear"/>
            <w:tcMar>
              <w:top w:type="dxa" w:w="160"/>
              <w:left w:type="dxa" w:w="220"/>
              <w:bottom w:type="dxa" w:w="160"/>
              <w:right w:type="dxa" w:w="220"/>
            </w:tcMar>
          </w:tcPr>
          <w:p>
            <w:r>
              <w:rPr>
                <w:rFonts w:ascii="Arial" w:cs="Arial" w:eastAsia="Arial" w:hAnsi="Arial"/>
                <w:b/>
                <w:bCs/>
                <w:color w:val="F5C518"/>
                <w:sz w:val="30"/>
                <w:szCs w:val="30"/>
              </w:rPr>
              <w:t xml:space="preserve">4.  </w:t>
            </w:r>
            <w:r>
              <w:rPr>
                <w:rFonts w:ascii="Arial" w:cs="Arial" w:eastAsia="Arial" w:hAnsi="Arial"/>
                <w:b/>
                <w:bCs/>
                <w:color w:val="FFFFFF"/>
                <w:sz w:val="30"/>
                <w:szCs w:val="30"/>
              </w:rPr>
              <w:t xml:space="preserve">Architecture de sécurité</w:t>
            </w:r>
          </w:p>
        </w:tc>
      </w:tr>
    </w:tbl>
    <w:p>
      <w:pPr>
        <w:spacing w:after="14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306"/>
      </w:tblGrid>
      <w:tr>
        <w:tc>
          <w:tcPr>
            <w:tcW w:type="dxa" w:w="2600"/>
            <w:tcBorders>
              <w:top w:val="single" w:color="0B6B3A" w:sz="4"/>
              <w:left w:val="single" w:color="0B6B3A" w:sz="4"/>
              <w:bottom w:val="single" w:color="0B6B3A" w:sz="4"/>
              <w:right w:val="single" w:color="0B6B3A" w:sz="4"/>
            </w:tcBorders>
            <w:shd w:fill="0B6B3A" w:val="clear"/>
            <w:tcMar>
              <w:top w:type="dxa" w:w="80"/>
              <w:left w:type="dxa" w:w="110"/>
              <w:bottom w:type="dxa" w:w="80"/>
              <w:right w:type="dxa" w:w="110"/>
            </w:tcMar>
          </w:tcPr>
          <w:p>
            <w:r>
              <w:rPr>
                <w:rFonts w:ascii="Arial" w:cs="Arial" w:eastAsia="Arial" w:hAnsi="Arial"/>
                <w:b/>
                <w:bCs/>
                <w:color w:val="FFFFFF"/>
                <w:sz w:val="17"/>
                <w:szCs w:val="17"/>
              </w:rPr>
              <w:t xml:space="preserve">Aspect</w:t>
            </w:r>
          </w:p>
        </w:tc>
        <w:tc>
          <w:tcPr>
            <w:tcW w:type="dxa" w:w="7306"/>
            <w:tcBorders>
              <w:top w:val="single" w:color="0B6B3A" w:sz="4"/>
              <w:left w:val="single" w:color="0B6B3A" w:sz="4"/>
              <w:bottom w:val="single" w:color="0B6B3A" w:sz="4"/>
              <w:right w:val="single" w:color="0B6B3A" w:sz="4"/>
            </w:tcBorders>
            <w:shd w:fill="0B6B3A" w:val="clear"/>
            <w:tcMar>
              <w:top w:type="dxa" w:w="80"/>
              <w:left w:type="dxa" w:w="110"/>
              <w:bottom w:type="dxa" w:w="80"/>
              <w:right w:type="dxa" w:w="110"/>
            </w:tcMar>
          </w:tcPr>
          <w:p>
            <w:r>
              <w:rPr>
                <w:rFonts w:ascii="Arial" w:cs="Arial" w:eastAsia="Arial" w:hAnsi="Arial"/>
                <w:b/>
                <w:bCs/>
                <w:color w:val="FFFFFF"/>
                <w:sz w:val="17"/>
                <w:szCs w:val="17"/>
              </w:rPr>
              <w:t xml:space="preserve">Mécanisme</w:t>
            </w:r>
          </w:p>
        </w:tc>
      </w:tr>
      <w:tr>
        <w:tc>
          <w:tcPr>
            <w:tcW w:type="dxa" w:w="26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Authentification</w:t>
            </w:r>
          </w:p>
        </w:tc>
        <w:tc>
          <w:tcPr>
            <w:tcW w:type="dxa" w:w="73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JWT — access token 15 min, refresh token 7 jours</w:t>
            </w:r>
          </w:p>
        </w:tc>
      </w:tr>
      <w:tr>
        <w:tc>
          <w:tcPr>
            <w:tcW w:type="dxa" w:w="26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Autorisation</w:t>
            </w:r>
          </w:p>
        </w:tc>
        <w:tc>
          <w:tcPr>
            <w:tcW w:type="dxa" w:w="73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RBAC à 6 rôles : Super Admin, Admin National, Agent émission, Agent contrôle, Vétérinaire, Consultation</w:t>
            </w:r>
          </w:p>
        </w:tc>
      </w:tr>
      <w:tr>
        <w:tc>
          <w:tcPr>
            <w:tcW w:type="dxa" w:w="26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Mots de passe</w:t>
            </w:r>
          </w:p>
        </w:tc>
        <w:tc>
          <w:tcPr>
            <w:tcW w:type="dxa" w:w="73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bcrypt (coût 12), politique de complexité</w:t>
            </w:r>
          </w:p>
        </w:tc>
      </w:tr>
      <w:tr>
        <w:tc>
          <w:tcPr>
            <w:tcW w:type="dxa" w:w="26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Transport</w:t>
            </w:r>
          </w:p>
        </w:tc>
        <w:tc>
          <w:tcPr>
            <w:tcW w:type="dxa" w:w="73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TLS 1.2+ obligatoire sur toutes les API</w:t>
            </w:r>
          </w:p>
        </w:tc>
      </w:tr>
      <w:tr>
        <w:tc>
          <w:tcPr>
            <w:tcW w:type="dxa" w:w="26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Signature des PPB</w:t>
            </w:r>
          </w:p>
        </w:tc>
        <w:tc>
          <w:tcPr>
            <w:tcW w:type="dxa" w:w="73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RSA-2048 ou ECDSA P-256 ; clé privée détenue exclusivement par la CEBEVIRHA</w:t>
            </w:r>
          </w:p>
        </w:tc>
      </w:tr>
      <w:tr>
        <w:tc>
          <w:tcPr>
            <w:tcW w:type="dxa" w:w="26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Paiement</w:t>
            </w:r>
          </w:p>
        </w:tc>
        <w:tc>
          <w:tcPr>
            <w:tcW w:type="dxa" w:w="73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Aucune donnée bancaire stockée ; page de paiement hébergée par le PSP (hors périmètre PCI-DSS)</w:t>
            </w:r>
          </w:p>
        </w:tc>
      </w:tr>
      <w:tr>
        <w:tc>
          <w:tcPr>
            <w:tcW w:type="dxa" w:w="26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Audit</w:t>
            </w:r>
          </w:p>
        </w:tc>
        <w:tc>
          <w:tcPr>
            <w:tcW w:type="dxa" w:w="73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Journalisation immuable de toute opération sensible : attribution, impression, contrôle, remboursement, configuration</w:t>
            </w:r>
          </w:p>
        </w:tc>
      </w:tr>
      <w:tr>
        <w:tc>
          <w:tcPr>
            <w:tcW w:type="dxa" w:w="26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Impression décentralisée</w:t>
            </w:r>
          </w:p>
        </w:tc>
        <w:tc>
          <w:tcPr>
            <w:tcW w:type="dxa" w:w="73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Plage de numéros fermée, matériel validé par la CEBEVIRHA, déclaration obligatoire, droit de suspension</w:t>
            </w:r>
          </w:p>
        </w:tc>
      </w:tr>
    </w:tbl>
    <w:p>
      <w:pPr>
        <w:spacing w:after="140"/>
      </w:pPr>
    </w:p>
    <w:p>
      <w:pPr>
        <w:pBdr>
          <w:bottom w:val="single" w:color="F5C518" w:sz="8"/>
        </w:pBdr>
        <w:spacing w:after="120" w:before="220"/>
      </w:pPr>
      <w:r>
        <w:rPr>
          <w:rFonts w:ascii="Arial" w:cs="Arial" w:eastAsia="Arial" w:hAnsi="Arial"/>
          <w:b/>
          <w:bCs/>
          <w:color w:val="15202B"/>
          <w:sz w:val="22"/>
          <w:szCs w:val="22"/>
        </w:rPr>
        <w:t xml:space="preserve">Principe de moindre confiance sur le terrain</w:t>
      </w:r>
    </w:p>
    <w:p>
      <w:pPr>
        <w:spacing w:after="130"/>
      </w:pPr>
      <w:r>
        <w:rPr>
          <w:rFonts w:ascii="Arial" w:cs="Arial" w:eastAsia="Arial" w:hAnsi="Arial"/>
          <w:b w:val="false"/>
          <w:bCs w:val="false"/>
          <w:i w:val="false"/>
          <w:iCs w:val="false"/>
          <w:color w:val="15202B"/>
          <w:sz w:val="20"/>
          <w:szCs w:val="20"/>
        </w:rPr>
        <w:t xml:space="preserve">Les applications de contrôle ne détiennent jamais la clé privée de signature — seule la clé publique est déployée localement, permettant la vérification hors-ligne sans exposer le secret de signature. Toute révocation de passeport se propage automatiquement à la synchronisation suivante.</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0B6B3A" w:sz="4"/>
              <w:left w:val="single" w:color="0B6B3A" w:sz="4"/>
              <w:bottom w:val="single" w:color="0B6B3A" w:sz="4"/>
              <w:right w:val="single" w:color="0B6B3A" w:sz="4"/>
            </w:tcBorders>
            <w:shd w:fill="0B6B3A" w:val="clear"/>
            <w:tcMar>
              <w:top w:type="dxa" w:w="160"/>
              <w:left w:type="dxa" w:w="220"/>
              <w:bottom w:type="dxa" w:w="160"/>
              <w:right w:type="dxa" w:w="220"/>
            </w:tcMar>
          </w:tcPr>
          <w:p>
            <w:r>
              <w:rPr>
                <w:rFonts w:ascii="Arial" w:cs="Arial" w:eastAsia="Arial" w:hAnsi="Arial"/>
                <w:b/>
                <w:bCs/>
                <w:color w:val="F5C518"/>
                <w:sz w:val="30"/>
                <w:szCs w:val="30"/>
              </w:rPr>
              <w:t xml:space="preserve">5.  </w:t>
            </w:r>
            <w:r>
              <w:rPr>
                <w:rFonts w:ascii="Arial" w:cs="Arial" w:eastAsia="Arial" w:hAnsi="Arial"/>
                <w:b/>
                <w:bCs/>
                <w:color w:val="FFFFFF"/>
                <w:sz w:val="30"/>
                <w:szCs w:val="30"/>
              </w:rPr>
              <w:t xml:space="preserve">Synchronisation et fonctionnement hors-ligne</w:t>
            </w:r>
          </w:p>
        </w:tc>
      </w:tr>
    </w:tbl>
    <w:p>
      <w:pPr>
        <w:spacing w:after="140"/>
      </w:pPr>
    </w:p>
    <w:p>
      <w:pPr>
        <w:spacing w:after="130"/>
      </w:pPr>
      <w:r>
        <w:rPr>
          <w:rFonts w:ascii="Arial" w:cs="Arial" w:eastAsia="Arial" w:hAnsi="Arial"/>
          <w:b w:val="false"/>
          <w:bCs w:val="false"/>
          <w:i w:val="false"/>
          <w:iCs w:val="false"/>
          <w:color w:val="15202B"/>
          <w:sz w:val="20"/>
          <w:szCs w:val="20"/>
        </w:rPr>
        <w:t xml:space="preserve">La connectivité intermittente aux postes frontaliers est une contrainte structurante, traitée comme un principe d'architecture — non comme un cas d'exception.</w:t>
      </w:r>
    </w:p>
    <w:p>
      <w:pPr>
        <w:pBdr>
          <w:bottom w:val="single" w:color="F5C518" w:sz="8"/>
        </w:pBdr>
        <w:spacing w:after="120" w:before="220"/>
      </w:pPr>
      <w:r>
        <w:rPr>
          <w:rFonts w:ascii="Arial" w:cs="Arial" w:eastAsia="Arial" w:hAnsi="Arial"/>
          <w:b/>
          <w:bCs/>
          <w:color w:val="15202B"/>
          <w:sz w:val="22"/>
          <w:szCs w:val="22"/>
        </w:rPr>
        <w:t xml:space="preserve">Mécanisme push + pull automatique</w:t>
      </w:r>
    </w:p>
    <w:p>
      <w:pPr>
        <w:pStyle w:val="ListParagraph"/>
        <w:numPr>
          <w:ilvl w:val="0"/>
          <w:numId w:val="2"/>
        </w:numPr>
        <w:spacing w:after="70"/>
      </w:pPr>
      <w:r>
        <w:rPr>
          <w:rFonts w:ascii="Arial" w:cs="Arial" w:eastAsia="Arial" w:hAnsi="Arial"/>
          <w:b/>
          <w:bCs/>
          <w:color w:val="15202B"/>
          <w:sz w:val="20"/>
          <w:szCs w:val="20"/>
        </w:rPr>
        <w:t xml:space="preserve">Publication (push) — </w:t>
      </w:r>
      <w:r>
        <w:rPr>
          <w:rFonts w:ascii="Arial" w:cs="Arial" w:eastAsia="Arial" w:hAnsi="Arial"/>
          <w:color w:val="15202B"/>
          <w:sz w:val="20"/>
          <w:szCs w:val="20"/>
        </w:rPr>
        <w:t xml:space="preserve">Dès attribution d’un passeport (paiement confirmé), ses identifiants sont publiés immédiatement vers l’index central de vérification — sans attendre la connexion d’un poste de contrôle.</w:t>
      </w:r>
    </w:p>
    <w:p>
      <w:pPr>
        <w:pStyle w:val="ListParagraph"/>
        <w:numPr>
          <w:ilvl w:val="0"/>
          <w:numId w:val="2"/>
        </w:numPr>
        <w:spacing w:after="70"/>
      </w:pPr>
      <w:r>
        <w:rPr>
          <w:rFonts w:ascii="Arial" w:cs="Arial" w:eastAsia="Arial" w:hAnsi="Arial"/>
          <w:b/>
          <w:bCs/>
          <w:color w:val="15202B"/>
          <w:sz w:val="20"/>
          <w:szCs w:val="20"/>
        </w:rPr>
        <w:t xml:space="preserve">Détection automatique — </w:t>
      </w:r>
      <w:r>
        <w:rPr>
          <w:rFonts w:ascii="Arial" w:cs="Arial" w:eastAsia="Arial" w:hAnsi="Arial"/>
          <w:color w:val="15202B"/>
          <w:sz w:val="20"/>
          <w:szCs w:val="20"/>
        </w:rPr>
        <w:t xml:space="preserve">Chaque application terrain détecte automatiquement le retour réseau et déclenche sa propre synchronisation, sans action de l’agent.</w:t>
      </w:r>
    </w:p>
    <w:p>
      <w:pPr>
        <w:pStyle w:val="ListParagraph"/>
        <w:numPr>
          <w:ilvl w:val="0"/>
          <w:numId w:val="2"/>
        </w:numPr>
        <w:spacing w:after="70"/>
      </w:pPr>
      <w:r>
        <w:rPr>
          <w:rFonts w:ascii="Arial" w:cs="Arial" w:eastAsia="Arial" w:hAnsi="Arial"/>
          <w:b/>
          <w:bCs/>
          <w:color w:val="15202B"/>
          <w:sz w:val="20"/>
          <w:szCs w:val="20"/>
        </w:rPr>
        <w:t xml:space="preserve">Synchronisation différentielle — </w:t>
      </w:r>
      <w:r>
        <w:rPr>
          <w:rFonts w:ascii="Arial" w:cs="Arial" w:eastAsia="Arial" w:hAnsi="Arial"/>
          <w:color w:val="15202B"/>
          <w:sz w:val="20"/>
          <w:szCs w:val="20"/>
        </w:rPr>
        <w:t xml:space="preserve">Seules les nouveautés depuis la dernière synchronisation de ce poste sont transmises, pour limiter la consommation de données.</w:t>
      </w:r>
    </w:p>
    <w:p>
      <w:pPr>
        <w:pStyle w:val="ListParagraph"/>
        <w:numPr>
          <w:ilvl w:val="0"/>
          <w:numId w:val="2"/>
        </w:numPr>
        <w:spacing w:after="70"/>
      </w:pPr>
      <w:r>
        <w:rPr>
          <w:rFonts w:ascii="Arial" w:cs="Arial" w:eastAsia="Arial" w:hAnsi="Arial"/>
          <w:b/>
          <w:bCs/>
          <w:color w:val="15202B"/>
          <w:sz w:val="20"/>
          <w:szCs w:val="20"/>
        </w:rPr>
        <w:t xml:space="preserve">Autonomie prolongée — </w:t>
      </w:r>
      <w:r>
        <w:rPr>
          <w:rFonts w:ascii="Arial" w:cs="Arial" w:eastAsia="Arial" w:hAnsi="Arial"/>
          <w:color w:val="15202B"/>
          <w:sz w:val="20"/>
          <w:szCs w:val="20"/>
        </w:rPr>
        <w:t xml:space="preserve">La signature numérique reste vérifiable localement jusqu’à 60 jours sans reconnexion.</w:t>
      </w:r>
    </w:p>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F5C518" w:sz="4"/>
              <w:left w:val="single" w:color="F5C518" w:sz="24"/>
              <w:bottom w:val="single" w:color="F5C518" w:sz="4"/>
              <w:right w:val="single" w:color="F5C518" w:sz="4"/>
            </w:tcBorders>
            <w:shd w:fill="FDF6DC" w:val="clear"/>
            <w:tcMar>
              <w:top w:type="dxa" w:w="140"/>
              <w:left w:type="dxa" w:w="200"/>
              <w:bottom w:type="dxa" w:w="140"/>
              <w:right w:type="dxa" w:w="200"/>
            </w:tcMar>
          </w:tcPr>
          <w:p>
            <w:pPr>
              <w:spacing w:after="50"/>
            </w:pPr>
            <w:r>
              <w:rPr>
                <w:rFonts w:ascii="Arial" w:cs="Arial" w:eastAsia="Arial" w:hAnsi="Arial"/>
                <w:b/>
                <w:bCs/>
                <w:color w:val="8A6D00"/>
                <w:spacing w:val="8"/>
                <w:sz w:val="17"/>
                <w:szCs w:val="17"/>
              </w:rPr>
              <w:t xml:space="preserve">LE DÉCALAGE ENTRE ÉMISSION ET CONTRÔLE</w:t>
            </w:r>
          </w:p>
          <w:p>
            <w:r>
              <w:rPr>
                <w:rFonts w:ascii="Arial" w:cs="Arial" w:eastAsia="Arial" w:hAnsi="Arial"/>
                <w:color w:val="15202B"/>
                <w:sz w:val="19"/>
                <w:szCs w:val="19"/>
              </w:rPr>
              <w:t xml:space="preserve">L'itinéraire (origine/destination) n'est connu qu'à l'émission, sur le terrain — pas à l'attribution. Sa vérification par un poste de contrôle dépend donc d'une double synchronisation (émission → serveur → contrôle), potentiellement différée. Tant qu'elle n'a pas atteint le poste, l'application ne bloque ni ne valide par défaut : elle indique explicitement l'indisponibilité et l'agent se reporte au document papier — le numérique complète le papier, il ne le remplace pas dans les cas limites.</w:t>
            </w:r>
          </w:p>
        </w:tc>
      </w:tr>
    </w:tbl>
    <w:p>
      <w:pPr>
        <w:spacing w:after="120"/>
      </w:pPr>
    </w:p>
    <w:p>
      <w:pPr>
        <w:pBdr>
          <w:bottom w:val="single" w:color="F5C518" w:sz="8"/>
        </w:pBdr>
        <w:spacing w:after="120" w:before="220"/>
      </w:pPr>
      <w:r>
        <w:rPr>
          <w:rFonts w:ascii="Arial" w:cs="Arial" w:eastAsia="Arial" w:hAnsi="Arial"/>
          <w:b/>
          <w:bCs/>
          <w:color w:val="15202B"/>
          <w:sz w:val="22"/>
          <w:szCs w:val="22"/>
        </w:rPr>
        <w:t xml:space="preserve">Ce qui ne transite jamais en dehors du terminal</w:t>
      </w:r>
    </w:p>
    <w:p>
      <w:pPr>
        <w:spacing w:after="130"/>
      </w:pPr>
      <w:r>
        <w:rPr>
          <w:rFonts w:ascii="Arial" w:cs="Arial" w:eastAsia="Arial" w:hAnsi="Arial"/>
          <w:b w:val="false"/>
          <w:bCs w:val="false"/>
          <w:i w:val="false"/>
          <w:iCs w:val="false"/>
          <w:color w:val="15202B"/>
          <w:sz w:val="20"/>
          <w:szCs w:val="20"/>
        </w:rPr>
        <w:t xml:space="preserve">Le Module Scan applique le même principe hors-ligne à la capture de données : chaque page scannée est traitée localement par OCR, transformée en formulaire structuré validé par l'agent, puis l'image source est supprimée avant toute synchronisation — seules les données structurées quittent le terminal.</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0B6B3A" w:sz="4"/>
              <w:left w:val="single" w:color="0B6B3A" w:sz="4"/>
              <w:bottom w:val="single" w:color="0B6B3A" w:sz="4"/>
              <w:right w:val="single" w:color="0B6B3A" w:sz="4"/>
            </w:tcBorders>
            <w:shd w:fill="0B6B3A" w:val="clear"/>
            <w:tcMar>
              <w:top w:type="dxa" w:w="160"/>
              <w:left w:type="dxa" w:w="220"/>
              <w:bottom w:type="dxa" w:w="160"/>
              <w:right w:type="dxa" w:w="220"/>
            </w:tcMar>
          </w:tcPr>
          <w:p>
            <w:r>
              <w:rPr>
                <w:rFonts w:ascii="Arial" w:cs="Arial" w:eastAsia="Arial" w:hAnsi="Arial"/>
                <w:b/>
                <w:bCs/>
                <w:color w:val="F5C518"/>
                <w:sz w:val="30"/>
                <w:szCs w:val="30"/>
              </w:rPr>
              <w:t xml:space="preserve">6.  </w:t>
            </w:r>
            <w:r>
              <w:rPr>
                <w:rFonts w:ascii="Arial" w:cs="Arial" w:eastAsia="Arial" w:hAnsi="Arial"/>
                <w:b/>
                <w:bCs/>
                <w:color w:val="FFFFFF"/>
                <w:sz w:val="30"/>
                <w:szCs w:val="30"/>
              </w:rPr>
              <w:t xml:space="preserve">Intégration du paiement</w:t>
            </w:r>
          </w:p>
        </w:tc>
      </w:tr>
    </w:tbl>
    <w:p>
      <w:pPr>
        <w:spacing w:after="140"/>
      </w:pPr>
    </w:p>
    <w:p>
      <w:pPr>
        <w:spacing w:after="130"/>
      </w:pPr>
      <w:r>
        <w:rPr>
          <w:rFonts w:ascii="Arial" w:cs="Arial" w:eastAsia="Arial" w:hAnsi="Arial"/>
          <w:b w:val="false"/>
          <w:bCs w:val="false"/>
          <w:i w:val="false"/>
          <w:iCs w:val="false"/>
          <w:color w:val="15202B"/>
          <w:sz w:val="20"/>
          <w:szCs w:val="20"/>
        </w:rPr>
        <w:t xml:space="preserve">Le paiement combine une voie automatisée (PSP) et une voie supervisée (agent), toutes deux aboutissant au même déclenchement d'attribution.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906"/>
      </w:tblGrid>
      <w:tr>
        <w:tc>
          <w:tcPr>
            <w:tcW w:type="dxa" w:w="2600"/>
            <w:tcBorders>
              <w:top w:val="single" w:color="0B6B3A" w:sz="4"/>
              <w:left w:val="single" w:color="0B6B3A" w:sz="4"/>
              <w:bottom w:val="single" w:color="0B6B3A" w:sz="4"/>
              <w:right w:val="single" w:color="0B6B3A" w:sz="4"/>
            </w:tcBorders>
            <w:shd w:fill="0B6B3A" w:val="clear"/>
            <w:tcMar>
              <w:top w:type="dxa" w:w="80"/>
              <w:left w:type="dxa" w:w="110"/>
              <w:bottom w:type="dxa" w:w="80"/>
              <w:right w:type="dxa" w:w="110"/>
            </w:tcMar>
          </w:tcPr>
          <w:p>
            <w:r>
              <w:rPr>
                <w:rFonts w:ascii="Arial" w:cs="Arial" w:eastAsia="Arial" w:hAnsi="Arial"/>
                <w:b/>
                <w:bCs/>
                <w:color w:val="FFFFFF"/>
                <w:sz w:val="17"/>
                <w:szCs w:val="17"/>
              </w:rPr>
              <w:t xml:space="preserve">Voie</w:t>
            </w:r>
          </w:p>
        </w:tc>
        <w:tc>
          <w:tcPr>
            <w:tcW w:type="dxa" w:w="3400"/>
            <w:tcBorders>
              <w:top w:val="single" w:color="0B6B3A" w:sz="4"/>
              <w:left w:val="single" w:color="0B6B3A" w:sz="4"/>
              <w:bottom w:val="single" w:color="0B6B3A" w:sz="4"/>
              <w:right w:val="single" w:color="0B6B3A" w:sz="4"/>
            </w:tcBorders>
            <w:shd w:fill="0B6B3A" w:val="clear"/>
            <w:tcMar>
              <w:top w:type="dxa" w:w="80"/>
              <w:left w:type="dxa" w:w="110"/>
              <w:bottom w:type="dxa" w:w="80"/>
              <w:right w:type="dxa" w:w="110"/>
            </w:tcMar>
          </w:tcPr>
          <w:p>
            <w:r>
              <w:rPr>
                <w:rFonts w:ascii="Arial" w:cs="Arial" w:eastAsia="Arial" w:hAnsi="Arial"/>
                <w:b/>
                <w:bCs/>
                <w:color w:val="FFFFFF"/>
                <w:sz w:val="17"/>
                <w:szCs w:val="17"/>
              </w:rPr>
              <w:t xml:space="preserve">Déclencheur</w:t>
            </w:r>
          </w:p>
        </w:tc>
        <w:tc>
          <w:tcPr>
            <w:tcW w:type="dxa" w:w="3906"/>
            <w:tcBorders>
              <w:top w:val="single" w:color="0B6B3A" w:sz="4"/>
              <w:left w:val="single" w:color="0B6B3A" w:sz="4"/>
              <w:bottom w:val="single" w:color="0B6B3A" w:sz="4"/>
              <w:right w:val="single" w:color="0B6B3A" w:sz="4"/>
            </w:tcBorders>
            <w:shd w:fill="0B6B3A" w:val="clear"/>
            <w:tcMar>
              <w:top w:type="dxa" w:w="80"/>
              <w:left w:type="dxa" w:w="110"/>
              <w:bottom w:type="dxa" w:w="80"/>
              <w:right w:type="dxa" w:w="110"/>
            </w:tcMar>
          </w:tcPr>
          <w:p>
            <w:r>
              <w:rPr>
                <w:rFonts w:ascii="Arial" w:cs="Arial" w:eastAsia="Arial" w:hAnsi="Arial"/>
                <w:b/>
                <w:bCs/>
                <w:color w:val="FFFFFF"/>
                <w:sz w:val="17"/>
                <w:szCs w:val="17"/>
              </w:rPr>
              <w:t xml:space="preserve">Validation</w:t>
            </w:r>
          </w:p>
        </w:tc>
      </w:tr>
      <w:tr>
        <w:tc>
          <w:tcPr>
            <w:tcW w:type="dxa" w:w="26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En ligne (CinetPay)</w:t>
            </w:r>
          </w:p>
        </w:tc>
        <w:tc>
          <w:tcPr>
            <w:tcW w:type="dxa" w:w="34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Webhook signé du PSP</w:t>
            </w:r>
          </w:p>
        </w:tc>
        <w:tc>
          <w:tcPr>
            <w:tcW w:type="dxa" w:w="39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Automatique — aucune intervention humaine</w:t>
            </w:r>
          </w:p>
        </w:tc>
      </w:tr>
      <w:tr>
        <w:tc>
          <w:tcPr>
            <w:tcW w:type="dxa" w:w="26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Présentiel / virement</w:t>
            </w:r>
          </w:p>
        </w:tc>
        <w:tc>
          <w:tcPr>
            <w:tcW w:type="dxa" w:w="34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Saisie par un agent CEBEVIRHA</w:t>
            </w:r>
          </w:p>
        </w:tc>
        <w:tc>
          <w:tcPr>
            <w:tcW w:type="dxa" w:w="39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Agent CEBEVIRHA — seul déclencheur possible</w:t>
            </w:r>
          </w:p>
        </w:tc>
      </w:tr>
    </w:tbl>
    <w:p>
      <w:pPr>
        <w:spacing w:after="120"/>
      </w:pPr>
    </w:p>
    <w:p>
      <w:pPr>
        <w:pBdr>
          <w:bottom w:val="single" w:color="F5C518" w:sz="8"/>
        </w:pBdr>
        <w:spacing w:after="120" w:before="220"/>
      </w:pPr>
      <w:r>
        <w:rPr>
          <w:rFonts w:ascii="Arial" w:cs="Arial" w:eastAsia="Arial" w:hAnsi="Arial"/>
          <w:b/>
          <w:bCs/>
          <w:color w:val="15202B"/>
          <w:sz w:val="22"/>
          <w:szCs w:val="22"/>
        </w:rPr>
        <w:t xml:space="preserve">Plafond de paiement en ligne</w:t>
      </w:r>
    </w:p>
    <w:p>
      <w:pPr>
        <w:spacing w:after="130"/>
      </w:pPr>
      <w:r>
        <w:rPr>
          <w:rFonts w:ascii="Arial" w:cs="Arial" w:eastAsia="Arial" w:hAnsi="Arial"/>
          <w:b w:val="false"/>
          <w:bCs w:val="false"/>
          <w:i w:val="false"/>
          <w:iCs w:val="false"/>
          <w:color w:val="15202B"/>
          <w:sz w:val="20"/>
          <w:szCs w:val="20"/>
        </w:rPr>
        <w:t xml:space="preserve">Le Mobile Money et la carte bancaire sont soumis à des plafonds par transaction, indépendants de la plateforme. Un paramètre système (plafond_paiement_en_ligne) retire automatiquement l'option de paiement en ligne au-delà du seuil configuré ; le virement bancaire ou le présentiel prennent le relais, selon le même circuit de validation par agent.</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0B6B3A" w:sz="4"/>
              <w:left w:val="single" w:color="0B6B3A" w:sz="4"/>
              <w:bottom w:val="single" w:color="0B6B3A" w:sz="4"/>
              <w:right w:val="single" w:color="0B6B3A" w:sz="4"/>
            </w:tcBorders>
            <w:shd w:fill="0B6B3A" w:val="clear"/>
            <w:tcMar>
              <w:top w:type="dxa" w:w="160"/>
              <w:left w:type="dxa" w:w="220"/>
              <w:bottom w:type="dxa" w:w="160"/>
              <w:right w:type="dxa" w:w="220"/>
            </w:tcMar>
          </w:tcPr>
          <w:p>
            <w:r>
              <w:rPr>
                <w:rFonts w:ascii="Arial" w:cs="Arial" w:eastAsia="Arial" w:hAnsi="Arial"/>
                <w:b/>
                <w:bCs/>
                <w:color w:val="F5C518"/>
                <w:sz w:val="30"/>
                <w:szCs w:val="30"/>
              </w:rPr>
              <w:t xml:space="preserve">7.  </w:t>
            </w:r>
            <w:r>
              <w:rPr>
                <w:rFonts w:ascii="Arial" w:cs="Arial" w:eastAsia="Arial" w:hAnsi="Arial"/>
                <w:b/>
                <w:bCs/>
                <w:color w:val="FFFFFF"/>
                <w:sz w:val="30"/>
                <w:szCs w:val="30"/>
              </w:rPr>
              <w:t xml:space="preserve">Architecture de déploiement</w:t>
            </w:r>
          </w:p>
        </w:tc>
      </w:tr>
    </w:tbl>
    <w:p>
      <w:pPr>
        <w:spacing w:after="140"/>
      </w:pPr>
    </w:p>
    <w:p>
      <w:pPr>
        <w:spacing w:after="80"/>
        <w:jc w:val="center"/>
      </w:pPr>
      <w:r>
        <w:drawing>
          <wp:inline distT="0" distB="0" distL="0" distR="0">
            <wp:extent cx="6286500" cy="468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86500" cy="4686300"/>
                    </a:xfrm>
                    <a:prstGeom prst="rect">
                      <a:avLst/>
                    </a:prstGeom>
                  </pic:spPr>
                </pic:pic>
              </a:graphicData>
            </a:graphic>
          </wp:inline>
        </w:drawing>
      </w:r>
    </w:p>
    <w:p>
      <w:pPr>
        <w:spacing w:after="160"/>
        <w:jc w:val="center"/>
      </w:pPr>
      <w:r>
        <w:rPr>
          <w:rFonts w:ascii="Arial" w:cs="Arial" w:eastAsia="Arial" w:hAnsi="Arial"/>
          <w:i/>
          <w:iCs/>
          <w:color w:val="5A6575"/>
          <w:sz w:val="16"/>
          <w:szCs w:val="16"/>
        </w:rPr>
        <w:t xml:space="preserve">Infrastructure physique et réseau — postes terrain, cloud CEBEVIRHA, PSP externe</w:t>
      </w:r>
    </w:p>
    <w:p>
      <w:pPr>
        <w:pBdr>
          <w:bottom w:val="single" w:color="F5C518" w:sz="8"/>
        </w:pBdr>
        <w:spacing w:after="120" w:before="220"/>
      </w:pPr>
      <w:r>
        <w:rPr>
          <w:rFonts w:ascii="Arial" w:cs="Arial" w:eastAsia="Arial" w:hAnsi="Arial"/>
          <w:b/>
          <w:bCs/>
          <w:color w:val="15202B"/>
          <w:sz w:val="22"/>
          <w:szCs w:val="22"/>
        </w:rPr>
        <w:t xml:space="preserve">Environnements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306"/>
      </w:tblGrid>
      <w:tr>
        <w:tc>
          <w:tcPr>
            <w:tcW w:type="dxa" w:w="2600"/>
            <w:tcBorders>
              <w:top w:val="single" w:color="0B6B3A" w:sz="4"/>
              <w:left w:val="single" w:color="0B6B3A" w:sz="4"/>
              <w:bottom w:val="single" w:color="0B6B3A" w:sz="4"/>
              <w:right w:val="single" w:color="0B6B3A" w:sz="4"/>
            </w:tcBorders>
            <w:shd w:fill="0B6B3A" w:val="clear"/>
            <w:tcMar>
              <w:top w:type="dxa" w:w="80"/>
              <w:left w:type="dxa" w:w="110"/>
              <w:bottom w:type="dxa" w:w="80"/>
              <w:right w:type="dxa" w:w="110"/>
            </w:tcMar>
          </w:tcPr>
          <w:p>
            <w:r>
              <w:rPr>
                <w:rFonts w:ascii="Arial" w:cs="Arial" w:eastAsia="Arial" w:hAnsi="Arial"/>
                <w:b/>
                <w:bCs/>
                <w:color w:val="FFFFFF"/>
                <w:sz w:val="17"/>
                <w:szCs w:val="17"/>
              </w:rPr>
              <w:t xml:space="preserve">Environnement</w:t>
            </w:r>
          </w:p>
        </w:tc>
        <w:tc>
          <w:tcPr>
            <w:tcW w:type="dxa" w:w="7306"/>
            <w:tcBorders>
              <w:top w:val="single" w:color="0B6B3A" w:sz="4"/>
              <w:left w:val="single" w:color="0B6B3A" w:sz="4"/>
              <w:bottom w:val="single" w:color="0B6B3A" w:sz="4"/>
              <w:right w:val="single" w:color="0B6B3A" w:sz="4"/>
            </w:tcBorders>
            <w:shd w:fill="0B6B3A" w:val="clear"/>
            <w:tcMar>
              <w:top w:type="dxa" w:w="80"/>
              <w:left w:type="dxa" w:w="110"/>
              <w:bottom w:type="dxa" w:w="80"/>
              <w:right w:type="dxa" w:w="110"/>
            </w:tcMar>
          </w:tcPr>
          <w:p>
            <w:r>
              <w:rPr>
                <w:rFonts w:ascii="Arial" w:cs="Arial" w:eastAsia="Arial" w:hAnsi="Arial"/>
                <w:b/>
                <w:bCs/>
                <w:color w:val="FFFFFF"/>
                <w:sz w:val="17"/>
                <w:szCs w:val="17"/>
              </w:rPr>
              <w:t xml:space="preserve">Usage</w:t>
            </w:r>
          </w:p>
        </w:tc>
      </w:tr>
      <w:tr>
        <w:tc>
          <w:tcPr>
            <w:tcW w:type="dxa" w:w="26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Développement</w:t>
            </w:r>
          </w:p>
        </w:tc>
        <w:tc>
          <w:tcPr>
            <w:tcW w:type="dxa" w:w="73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Développement local, données factices</w:t>
            </w:r>
          </w:p>
        </w:tc>
      </w:tr>
      <w:tr>
        <w:tc>
          <w:tcPr>
            <w:tcW w:type="dxa" w:w="26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Sandbox / Recette</w:t>
            </w:r>
          </w:p>
        </w:tc>
        <w:tc>
          <w:tcPr>
            <w:tcW w:type="dxa" w:w="73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Tests d’intégration, sandbox CinetPay, validation CEBEVIRHA</w:t>
            </w:r>
          </w:p>
        </w:tc>
      </w:tr>
      <w:tr>
        <w:tc>
          <w:tcPr>
            <w:tcW w:type="dxa" w:w="26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Production</w:t>
            </w:r>
          </w:p>
        </w:tc>
        <w:tc>
          <w:tcPr>
            <w:tcW w:type="dxa" w:w="73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Environnement final, sauvegardes quotidiennes</w:t>
            </w:r>
          </w:p>
        </w:tc>
      </w:tr>
    </w:tbl>
    <w:p>
      <w:pPr>
        <w:spacing w:after="140"/>
      </w:pPr>
    </w:p>
    <w:p>
      <w:pPr>
        <w:pBdr>
          <w:bottom w:val="single" w:color="F5C518" w:sz="8"/>
        </w:pBdr>
        <w:spacing w:after="120" w:before="220"/>
      </w:pPr>
      <w:r>
        <w:rPr>
          <w:rFonts w:ascii="Arial" w:cs="Arial" w:eastAsia="Arial" w:hAnsi="Arial"/>
          <w:b/>
          <w:bCs/>
          <w:color w:val="15202B"/>
          <w:sz w:val="22"/>
          <w:szCs w:val="22"/>
        </w:rPr>
        <w:t xml:space="preserve">Disponibilité et continuité</w:t>
      </w:r>
    </w:p>
    <w:p>
      <w:pPr>
        <w:pStyle w:val="ListParagraph"/>
        <w:numPr>
          <w:ilvl w:val="0"/>
          <w:numId w:val="2"/>
        </w:numPr>
        <w:spacing w:after="70"/>
      </w:pPr>
      <w:r>
        <w:rPr>
          <w:sz w:val="1"/>
          <w:szCs w:val="1"/>
        </w:rPr>
        <w:t xml:space="preserve"/>
      </w:r>
      <w:r>
        <w:rPr>
          <w:rFonts w:ascii="Arial" w:cs="Arial" w:eastAsia="Arial" w:hAnsi="Arial"/>
          <w:color w:val="15202B"/>
          <w:sz w:val="20"/>
          <w:szCs w:val="20"/>
        </w:rPr>
        <w:t xml:space="preserve">Deux serveurs API redondants derrière un load balancer TLS.</w:t>
      </w:r>
    </w:p>
    <w:p>
      <w:pPr>
        <w:pStyle w:val="ListParagraph"/>
        <w:numPr>
          <w:ilvl w:val="0"/>
          <w:numId w:val="2"/>
        </w:numPr>
        <w:spacing w:after="70"/>
      </w:pPr>
      <w:r>
        <w:rPr>
          <w:sz w:val="1"/>
          <w:szCs w:val="1"/>
        </w:rPr>
        <w:t xml:space="preserve"/>
      </w:r>
      <w:r>
        <w:rPr>
          <w:rFonts w:ascii="Arial" w:cs="Arial" w:eastAsia="Arial" w:hAnsi="Arial"/>
          <w:color w:val="15202B"/>
          <w:sz w:val="20"/>
          <w:szCs w:val="20"/>
        </w:rPr>
        <w:t xml:space="preserve">Sauvegardes automatiques de la base de données, testées régulièrement — pas seulement configurées.</w:t>
      </w:r>
    </w:p>
    <w:p>
      <w:pPr>
        <w:pStyle w:val="ListParagraph"/>
        <w:numPr>
          <w:ilvl w:val="0"/>
          <w:numId w:val="2"/>
        </w:numPr>
        <w:spacing w:after="70"/>
      </w:pPr>
      <w:r>
        <w:rPr>
          <w:sz w:val="1"/>
          <w:szCs w:val="1"/>
        </w:rPr>
        <w:t xml:space="preserve"/>
      </w:r>
      <w:r>
        <w:rPr>
          <w:rFonts w:ascii="Arial" w:cs="Arial" w:eastAsia="Arial" w:hAnsi="Arial"/>
          <w:color w:val="15202B"/>
          <w:sz w:val="20"/>
          <w:szCs w:val="20"/>
        </w:rPr>
        <w:t xml:space="preserve">Réplication vers l’Object Storage pour la continuité des fichiers (reçus, exports).</w:t>
      </w:r>
    </w:p>
    <w:p>
      <w:pPr>
        <w:pStyle w:val="ListParagraph"/>
        <w:numPr>
          <w:ilvl w:val="0"/>
          <w:numId w:val="2"/>
        </w:numPr>
        <w:spacing w:after="70"/>
      </w:pPr>
      <w:r>
        <w:rPr>
          <w:sz w:val="1"/>
          <w:szCs w:val="1"/>
        </w:rPr>
        <w:t xml:space="preserve"/>
      </w:r>
      <w:r>
        <w:rPr>
          <w:rFonts w:ascii="Arial" w:cs="Arial" w:eastAsia="Arial" w:hAnsi="Arial"/>
          <w:color w:val="15202B"/>
          <w:sz w:val="20"/>
          <w:szCs w:val="20"/>
        </w:rPr>
        <w:t xml:space="preserve">La conception hors-ligne des applications terrain constitue elle-même un filet de continuité : une panne côté siège n’interrompt pas l’émission ni le contrôle en cours.</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0B6B3A" w:sz="4"/>
              <w:left w:val="single" w:color="0B6B3A" w:sz="4"/>
              <w:bottom w:val="single" w:color="0B6B3A" w:sz="4"/>
              <w:right w:val="single" w:color="0B6B3A" w:sz="4"/>
            </w:tcBorders>
            <w:shd w:fill="0B6B3A" w:val="clear"/>
            <w:tcMar>
              <w:top w:type="dxa" w:w="160"/>
              <w:left w:type="dxa" w:w="220"/>
              <w:bottom w:type="dxa" w:w="160"/>
              <w:right w:type="dxa" w:w="220"/>
            </w:tcMar>
          </w:tcPr>
          <w:p>
            <w:r>
              <w:rPr>
                <w:rFonts w:ascii="Arial" w:cs="Arial" w:eastAsia="Arial" w:hAnsi="Arial"/>
                <w:b/>
                <w:bCs/>
                <w:color w:val="F5C518"/>
                <w:sz w:val="30"/>
                <w:szCs w:val="30"/>
              </w:rPr>
              <w:t xml:space="preserve">8.  </w:t>
            </w:r>
            <w:r>
              <w:rPr>
                <w:rFonts w:ascii="Arial" w:cs="Arial" w:eastAsia="Arial" w:hAnsi="Arial"/>
                <w:b/>
                <w:bCs/>
                <w:color w:val="FFFFFF"/>
                <w:sz w:val="30"/>
                <w:szCs w:val="30"/>
              </w:rPr>
              <w:t xml:space="preserve">Attributs de qualité</w:t>
            </w:r>
          </w:p>
        </w:tc>
      </w:tr>
    </w:tbl>
    <w:p>
      <w:pPr>
        <w:spacing w:after="14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3500"/>
        <w:gridCol w:w="3606"/>
      </w:tblGrid>
      <w:tr>
        <w:tc>
          <w:tcPr>
            <w:tcW w:type="dxa" w:w="2800"/>
            <w:tcBorders>
              <w:top w:val="single" w:color="0B6B3A" w:sz="4"/>
              <w:left w:val="single" w:color="0B6B3A" w:sz="4"/>
              <w:bottom w:val="single" w:color="0B6B3A" w:sz="4"/>
              <w:right w:val="single" w:color="0B6B3A" w:sz="4"/>
            </w:tcBorders>
            <w:shd w:fill="0B6B3A" w:val="clear"/>
            <w:tcMar>
              <w:top w:type="dxa" w:w="80"/>
              <w:left w:type="dxa" w:w="110"/>
              <w:bottom w:type="dxa" w:w="80"/>
              <w:right w:type="dxa" w:w="110"/>
            </w:tcMar>
          </w:tcPr>
          <w:p>
            <w:r>
              <w:rPr>
                <w:rFonts w:ascii="Arial" w:cs="Arial" w:eastAsia="Arial" w:hAnsi="Arial"/>
                <w:b/>
                <w:bCs/>
                <w:color w:val="FFFFFF"/>
                <w:sz w:val="17"/>
                <w:szCs w:val="17"/>
              </w:rPr>
              <w:t xml:space="preserve">Attribut</w:t>
            </w:r>
          </w:p>
        </w:tc>
        <w:tc>
          <w:tcPr>
            <w:tcW w:type="dxa" w:w="3500"/>
            <w:tcBorders>
              <w:top w:val="single" w:color="0B6B3A" w:sz="4"/>
              <w:left w:val="single" w:color="0B6B3A" w:sz="4"/>
              <w:bottom w:val="single" w:color="0B6B3A" w:sz="4"/>
              <w:right w:val="single" w:color="0B6B3A" w:sz="4"/>
            </w:tcBorders>
            <w:shd w:fill="0B6B3A" w:val="clear"/>
            <w:tcMar>
              <w:top w:type="dxa" w:w="80"/>
              <w:left w:type="dxa" w:w="110"/>
              <w:bottom w:type="dxa" w:w="80"/>
              <w:right w:type="dxa" w:w="110"/>
            </w:tcMar>
          </w:tcPr>
          <w:p>
            <w:r>
              <w:rPr>
                <w:rFonts w:ascii="Arial" w:cs="Arial" w:eastAsia="Arial" w:hAnsi="Arial"/>
                <w:b/>
                <w:bCs/>
                <w:color w:val="FFFFFF"/>
                <w:sz w:val="17"/>
                <w:szCs w:val="17"/>
              </w:rPr>
              <w:t xml:space="preserve">Exigence</w:t>
            </w:r>
          </w:p>
        </w:tc>
        <w:tc>
          <w:tcPr>
            <w:tcW w:type="dxa" w:w="3606"/>
            <w:tcBorders>
              <w:top w:val="single" w:color="0B6B3A" w:sz="4"/>
              <w:left w:val="single" w:color="0B6B3A" w:sz="4"/>
              <w:bottom w:val="single" w:color="0B6B3A" w:sz="4"/>
              <w:right w:val="single" w:color="0B6B3A" w:sz="4"/>
            </w:tcBorders>
            <w:shd w:fill="0B6B3A" w:val="clear"/>
            <w:tcMar>
              <w:top w:type="dxa" w:w="80"/>
              <w:left w:type="dxa" w:w="110"/>
              <w:bottom w:type="dxa" w:w="80"/>
              <w:right w:type="dxa" w:w="110"/>
            </w:tcMar>
          </w:tcPr>
          <w:p>
            <w:r>
              <w:rPr>
                <w:rFonts w:ascii="Arial" w:cs="Arial" w:eastAsia="Arial" w:hAnsi="Arial"/>
                <w:b/>
                <w:bCs/>
                <w:color w:val="FFFFFF"/>
                <w:sz w:val="17"/>
                <w:szCs w:val="17"/>
              </w:rPr>
              <w:t xml:space="preserve">Mécanisme</w:t>
            </w:r>
          </w:p>
        </w:tc>
      </w:tr>
      <w:tr>
        <w:tc>
          <w:tcPr>
            <w:tcW w:type="dxa" w:w="28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Disponibilité</w:t>
            </w:r>
          </w:p>
        </w:tc>
        <w:tc>
          <w:tcPr>
            <w:tcW w:type="dxa" w:w="35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Postes terrain opérationnels sans réseau</w:t>
            </w:r>
          </w:p>
        </w:tc>
        <w:tc>
          <w:tcPr>
            <w:tcW w:type="dxa" w:w="36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PWA hors-ligne, IndexedDB, synchronisation différée</w:t>
            </w:r>
          </w:p>
        </w:tc>
      </w:tr>
      <w:tr>
        <w:tc>
          <w:tcPr>
            <w:tcW w:type="dxa" w:w="28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Résilience</w:t>
            </w:r>
          </w:p>
        </w:tc>
        <w:tc>
          <w:tcPr>
            <w:tcW w:type="dxa" w:w="35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Aucune perte de service en cas de panne serveur ponctuelle</w:t>
            </w:r>
          </w:p>
        </w:tc>
        <w:tc>
          <w:tcPr>
            <w:tcW w:type="dxa" w:w="36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Serveurs API redondants, files de synchronisation locales</w:t>
            </w:r>
          </w:p>
        </w:tc>
      </w:tr>
      <w:tr>
        <w:tc>
          <w:tcPr>
            <w:tcW w:type="dxa" w:w="28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Sécurité</w:t>
            </w:r>
          </w:p>
        </w:tc>
        <w:tc>
          <w:tcPr>
            <w:tcW w:type="dxa" w:w="35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Authenticité et intégrité des passeports garanties</w:t>
            </w:r>
          </w:p>
        </w:tc>
        <w:tc>
          <w:tcPr>
            <w:tcW w:type="dxa" w:w="36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Signature RSA/ECDSA, RBAC, TLS, audit</w:t>
            </w:r>
          </w:p>
        </w:tc>
      </w:tr>
      <w:tr>
        <w:tc>
          <w:tcPr>
            <w:tcW w:type="dxa" w:w="28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Évolutivité fonctionnelle</w:t>
            </w:r>
          </w:p>
        </w:tc>
        <w:tc>
          <w:tcPr>
            <w:tcW w:type="dxa" w:w="35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Ajout de champs et paramètres sans développement</w:t>
            </w:r>
          </w:p>
        </w:tc>
        <w:tc>
          <w:tcPr>
            <w:tcW w:type="dxa" w:w="36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Module Administration — configuration dynamique</w:t>
            </w:r>
          </w:p>
        </w:tc>
      </w:tr>
      <w:tr>
        <w:tc>
          <w:tcPr>
            <w:tcW w:type="dxa" w:w="28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Scalabilité</w:t>
            </w:r>
          </w:p>
        </w:tc>
        <w:tc>
          <w:tcPr>
            <w:tcW w:type="dxa" w:w="35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Montée en charge progressive par pays et par volume</w:t>
            </w:r>
          </w:p>
        </w:tc>
        <w:tc>
          <w:tcPr>
            <w:tcW w:type="dxa" w:w="36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Services indépendants, base PostgreSQL dimensionnable</w:t>
            </w:r>
          </w:p>
        </w:tc>
      </w:tr>
      <w:tr>
        <w:tc>
          <w:tcPr>
            <w:tcW w:type="dxa" w:w="28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Performance terrain</w:t>
            </w:r>
          </w:p>
        </w:tc>
        <w:tc>
          <w:tcPr>
            <w:tcW w:type="dxa" w:w="35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Traitement rapide malgré la faible connectivité</w:t>
            </w:r>
          </w:p>
        </w:tc>
        <w:tc>
          <w:tcPr>
            <w:tcW w:type="dxa" w:w="36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Traitement OCR local, synchronisation différentielle (delta)</w:t>
            </w:r>
          </w:p>
        </w:tc>
      </w:tr>
      <w:tr>
        <w:tc>
          <w:tcPr>
            <w:tcW w:type="dxa" w:w="28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Traçabilité</w:t>
            </w:r>
          </w:p>
        </w:tc>
        <w:tc>
          <w:tcPr>
            <w:tcW w:type="dxa" w:w="35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Toute opération sensible imputable et datée</w:t>
            </w:r>
          </w:p>
        </w:tc>
        <w:tc>
          <w:tcPr>
            <w:tcW w:type="dxa" w:w="36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Journalisation immuable, identité d’agent sur chaque action</w:t>
            </w:r>
          </w:p>
        </w:tc>
      </w:tr>
      <w:tr>
        <w:tc>
          <w:tcPr>
            <w:tcW w:type="dxa" w:w="28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Maintenabilité</w:t>
            </w:r>
          </w:p>
        </w:tc>
        <w:tc>
          <w:tcPr>
            <w:tcW w:type="dxa" w:w="35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Modules testables et déployables indépendamment</w:t>
            </w:r>
          </w:p>
        </w:tc>
        <w:tc>
          <w:tcPr>
            <w:tcW w:type="dxa" w:w="36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API REST versionnées, séparation stricte par module</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0B6B3A" w:sz="4"/>
              <w:left w:val="single" w:color="0B6B3A" w:sz="4"/>
              <w:bottom w:val="single" w:color="0B6B3A" w:sz="4"/>
              <w:right w:val="single" w:color="0B6B3A" w:sz="4"/>
            </w:tcBorders>
            <w:shd w:fill="0B6B3A" w:val="clear"/>
            <w:tcMar>
              <w:top w:type="dxa" w:w="160"/>
              <w:left w:type="dxa" w:w="220"/>
              <w:bottom w:type="dxa" w:w="160"/>
              <w:right w:type="dxa" w:w="220"/>
            </w:tcMar>
          </w:tcPr>
          <w:p>
            <w:r>
              <w:rPr>
                <w:rFonts w:ascii="Arial" w:cs="Arial" w:eastAsia="Arial" w:hAnsi="Arial"/>
                <w:b/>
                <w:bCs/>
                <w:color w:val="F5C518"/>
                <w:sz w:val="30"/>
                <w:szCs w:val="30"/>
              </w:rPr>
              <w:t xml:space="preserve">9.  </w:t>
            </w:r>
            <w:r>
              <w:rPr>
                <w:rFonts w:ascii="Arial" w:cs="Arial" w:eastAsia="Arial" w:hAnsi="Arial"/>
                <w:b/>
                <w:bCs/>
                <w:color w:val="FFFFFF"/>
                <w:sz w:val="30"/>
                <w:szCs w:val="30"/>
              </w:rPr>
              <w:t xml:space="preserve">Décisions d'architecture clés</w:t>
            </w:r>
          </w:p>
        </w:tc>
      </w:tr>
    </w:tbl>
    <w:p>
      <w:pPr>
        <w:spacing w:after="14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2800"/>
        <w:gridCol w:w="3706"/>
      </w:tblGrid>
      <w:tr>
        <w:tc>
          <w:tcPr>
            <w:tcW w:type="dxa" w:w="3400"/>
            <w:tcBorders>
              <w:top w:val="single" w:color="0B6B3A" w:sz="4"/>
              <w:left w:val="single" w:color="0B6B3A" w:sz="4"/>
              <w:bottom w:val="single" w:color="0B6B3A" w:sz="4"/>
              <w:right w:val="single" w:color="0B6B3A" w:sz="4"/>
            </w:tcBorders>
            <w:shd w:fill="0B6B3A" w:val="clear"/>
            <w:tcMar>
              <w:top w:type="dxa" w:w="80"/>
              <w:left w:type="dxa" w:w="110"/>
              <w:bottom w:type="dxa" w:w="80"/>
              <w:right w:type="dxa" w:w="110"/>
            </w:tcMar>
          </w:tcPr>
          <w:p>
            <w:r>
              <w:rPr>
                <w:rFonts w:ascii="Arial" w:cs="Arial" w:eastAsia="Arial" w:hAnsi="Arial"/>
                <w:b/>
                <w:bCs/>
                <w:color w:val="FFFFFF"/>
                <w:sz w:val="17"/>
                <w:szCs w:val="17"/>
              </w:rPr>
              <w:t xml:space="preserve">Décision</w:t>
            </w:r>
          </w:p>
        </w:tc>
        <w:tc>
          <w:tcPr>
            <w:tcW w:type="dxa" w:w="2800"/>
            <w:tcBorders>
              <w:top w:val="single" w:color="0B6B3A" w:sz="4"/>
              <w:left w:val="single" w:color="0B6B3A" w:sz="4"/>
              <w:bottom w:val="single" w:color="0B6B3A" w:sz="4"/>
              <w:right w:val="single" w:color="0B6B3A" w:sz="4"/>
            </w:tcBorders>
            <w:shd w:fill="0B6B3A" w:val="clear"/>
            <w:tcMar>
              <w:top w:type="dxa" w:w="80"/>
              <w:left w:type="dxa" w:w="110"/>
              <w:bottom w:type="dxa" w:w="80"/>
              <w:right w:type="dxa" w:w="110"/>
            </w:tcMar>
          </w:tcPr>
          <w:p>
            <w:r>
              <w:rPr>
                <w:rFonts w:ascii="Arial" w:cs="Arial" w:eastAsia="Arial" w:hAnsi="Arial"/>
                <w:b/>
                <w:bCs/>
                <w:color w:val="FFFFFF"/>
                <w:sz w:val="17"/>
                <w:szCs w:val="17"/>
              </w:rPr>
              <w:t xml:space="preserve">Alternative écartée</w:t>
            </w:r>
          </w:p>
        </w:tc>
        <w:tc>
          <w:tcPr>
            <w:tcW w:type="dxa" w:w="3706"/>
            <w:tcBorders>
              <w:top w:val="single" w:color="0B6B3A" w:sz="4"/>
              <w:left w:val="single" w:color="0B6B3A" w:sz="4"/>
              <w:bottom w:val="single" w:color="0B6B3A" w:sz="4"/>
              <w:right w:val="single" w:color="0B6B3A" w:sz="4"/>
            </w:tcBorders>
            <w:shd w:fill="0B6B3A" w:val="clear"/>
            <w:tcMar>
              <w:top w:type="dxa" w:w="80"/>
              <w:left w:type="dxa" w:w="110"/>
              <w:bottom w:type="dxa" w:w="80"/>
              <w:right w:type="dxa" w:w="110"/>
            </w:tcMar>
          </w:tcPr>
          <w:p>
            <w:r>
              <w:rPr>
                <w:rFonts w:ascii="Arial" w:cs="Arial" w:eastAsia="Arial" w:hAnsi="Arial"/>
                <w:b/>
                <w:bCs/>
                <w:color w:val="FFFFFF"/>
                <w:sz w:val="17"/>
                <w:szCs w:val="17"/>
              </w:rPr>
              <w:t xml:space="preserve">Justification</w:t>
            </w:r>
          </w:p>
        </w:tc>
      </w:tr>
      <w:tr>
        <w:tc>
          <w:tcPr>
            <w:tcW w:type="dxa" w:w="34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PWA plutôt qu’application native</w:t>
            </w:r>
          </w:p>
        </w:tc>
        <w:tc>
          <w:tcPr>
            <w:tcW w:type="dxa" w:w="28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Applications natives iOS/Android séparées</w:t>
            </w:r>
          </w:p>
        </w:tc>
        <w:tc>
          <w:tcPr>
            <w:tcW w:type="dxa" w:w="37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Un seul code, mise à jour automatique, aucune dépendance à un magasin d’applications — critique en connectivité limitée</w:t>
            </w:r>
          </w:p>
        </w:tc>
      </w:tr>
      <w:tr>
        <w:tc>
          <w:tcPr>
            <w:tcW w:type="dxa" w:w="34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PostgreSQL + JSONB plutôt que EAV</w:t>
            </w:r>
          </w:p>
        </w:tc>
        <w:tc>
          <w:tcPr>
            <w:tcW w:type="dxa" w:w="28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Modèle Entité-Attribut-Valeur pur</w:t>
            </w:r>
          </w:p>
        </w:tc>
        <w:tc>
          <w:tcPr>
            <w:tcW w:type="dxa" w:w="37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Conserve la performance de requêtage du relationnel tout en permettant des champs dynamiques indexables</w:t>
            </w:r>
          </w:p>
        </w:tc>
      </w:tr>
      <w:tr>
        <w:tc>
          <w:tcPr>
            <w:tcW w:type="dxa" w:w="34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Synchronisation push + pull différentielle</w:t>
            </w:r>
          </w:p>
        </w:tc>
        <w:tc>
          <w:tcPr>
            <w:tcW w:type="dxa" w:w="28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Synchronisation complète périodique</w:t>
            </w:r>
          </w:p>
        </w:tc>
        <w:tc>
          <w:tcPr>
            <w:tcW w:type="dxa" w:w="37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Réduit la consommation de données et le temps de synchronisation sur réseaux lents</w:t>
            </w:r>
          </w:p>
        </w:tc>
      </w:tr>
      <w:tr>
        <w:tc>
          <w:tcPr>
            <w:tcW w:type="dxa" w:w="34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CinetPay comme PSP principal</w:t>
            </w:r>
          </w:p>
        </w:tc>
        <w:tc>
          <w:tcPr>
            <w:tcW w:type="dxa" w:w="28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Intégration directe par opérateur Mobile Money</w:t>
            </w:r>
          </w:p>
        </w:tc>
        <w:tc>
          <w:tcPr>
            <w:tcW w:type="dxa" w:w="37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Une seule intégration pour plusieurs moyens de paiement et plusieurs pays CEMAC</w:t>
            </w:r>
          </w:p>
        </w:tc>
      </w:tr>
      <w:tr>
        <w:tc>
          <w:tcPr>
            <w:tcW w:type="dxa" w:w="34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OVHcloud comme hébergeur</w:t>
            </w:r>
          </w:p>
        </w:tc>
        <w:tc>
          <w:tcPr>
            <w:tcW w:type="dxa" w:w="28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AWS / GCP</w:t>
            </w:r>
          </w:p>
        </w:tc>
        <w:tc>
          <w:tcPr>
            <w:tcW w:type="dxa" w:w="37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PostGIS natif, Object Storage sans frais de sortie, cloud souverain francophone, coût prévisible</w:t>
            </w:r>
          </w:p>
        </w:tc>
      </w:tr>
      <w:tr>
        <w:tc>
          <w:tcPr>
            <w:tcW w:type="dxa" w:w="34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Impression décentralisée en option</w:t>
            </w:r>
          </w:p>
        </w:tc>
        <w:tc>
          <w:tcPr>
            <w:tcW w:type="dxa" w:w="28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Impression exclusivement centralisée</w:t>
            </w:r>
          </w:p>
        </w:tc>
        <w:tc>
          <w:tcPr>
            <w:tcW w:type="dxa" w:w="37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Réduit les délais de mise à disposition, sous garde-fous stricts (plage fermée, audit, suspension)</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0B6B3A" w:sz="4"/>
              <w:left w:val="single" w:color="0B6B3A" w:sz="4"/>
              <w:bottom w:val="single" w:color="0B6B3A" w:sz="4"/>
              <w:right w:val="single" w:color="0B6B3A" w:sz="4"/>
            </w:tcBorders>
            <w:shd w:fill="0B6B3A" w:val="clear"/>
            <w:tcMar>
              <w:top w:type="dxa" w:w="160"/>
              <w:left w:type="dxa" w:w="220"/>
              <w:bottom w:type="dxa" w:w="160"/>
              <w:right w:type="dxa" w:w="220"/>
            </w:tcMar>
          </w:tcPr>
          <w:p>
            <w:r>
              <w:rPr>
                <w:rFonts w:ascii="Arial" w:cs="Arial" w:eastAsia="Arial" w:hAnsi="Arial"/>
                <w:b/>
                <w:bCs/>
                <w:color w:val="F5C518"/>
                <w:sz w:val="30"/>
                <w:szCs w:val="30"/>
              </w:rPr>
              <w:t xml:space="preserve">10.  </w:t>
            </w:r>
            <w:r>
              <w:rPr>
                <w:rFonts w:ascii="Arial" w:cs="Arial" w:eastAsia="Arial" w:hAnsi="Arial"/>
                <w:b/>
                <w:bCs/>
                <w:color w:val="FFFFFF"/>
                <w:sz w:val="30"/>
                <w:szCs w:val="30"/>
              </w:rPr>
              <w:t xml:space="preserve">Risques techniques et mitigations</w:t>
            </w:r>
          </w:p>
        </w:tc>
      </w:tr>
    </w:tbl>
    <w:p>
      <w:pPr>
        <w:spacing w:after="14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800"/>
        <w:gridCol w:w="4106"/>
      </w:tblGrid>
      <w:tr>
        <w:tc>
          <w:tcPr>
            <w:tcW w:type="dxa" w:w="3000"/>
            <w:tcBorders>
              <w:top w:val="single" w:color="0B6B3A" w:sz="4"/>
              <w:left w:val="single" w:color="0B6B3A" w:sz="4"/>
              <w:bottom w:val="single" w:color="0B6B3A" w:sz="4"/>
              <w:right w:val="single" w:color="0B6B3A" w:sz="4"/>
            </w:tcBorders>
            <w:shd w:fill="0B6B3A" w:val="clear"/>
            <w:tcMar>
              <w:top w:type="dxa" w:w="80"/>
              <w:left w:type="dxa" w:w="110"/>
              <w:bottom w:type="dxa" w:w="80"/>
              <w:right w:type="dxa" w:w="110"/>
            </w:tcMar>
          </w:tcPr>
          <w:p>
            <w:r>
              <w:rPr>
                <w:rFonts w:ascii="Arial" w:cs="Arial" w:eastAsia="Arial" w:hAnsi="Arial"/>
                <w:b/>
                <w:bCs/>
                <w:color w:val="FFFFFF"/>
                <w:sz w:val="17"/>
                <w:szCs w:val="17"/>
              </w:rPr>
              <w:t xml:space="preserve">Risque</w:t>
            </w:r>
          </w:p>
        </w:tc>
        <w:tc>
          <w:tcPr>
            <w:tcW w:type="dxa" w:w="2800"/>
            <w:tcBorders>
              <w:top w:val="single" w:color="0B6B3A" w:sz="4"/>
              <w:left w:val="single" w:color="0B6B3A" w:sz="4"/>
              <w:bottom w:val="single" w:color="0B6B3A" w:sz="4"/>
              <w:right w:val="single" w:color="0B6B3A" w:sz="4"/>
            </w:tcBorders>
            <w:shd w:fill="0B6B3A" w:val="clear"/>
            <w:tcMar>
              <w:top w:type="dxa" w:w="80"/>
              <w:left w:type="dxa" w:w="110"/>
              <w:bottom w:type="dxa" w:w="80"/>
              <w:right w:type="dxa" w:w="110"/>
            </w:tcMar>
          </w:tcPr>
          <w:p>
            <w:r>
              <w:rPr>
                <w:rFonts w:ascii="Arial" w:cs="Arial" w:eastAsia="Arial" w:hAnsi="Arial"/>
                <w:b/>
                <w:bCs/>
                <w:color w:val="FFFFFF"/>
                <w:sz w:val="17"/>
                <w:szCs w:val="17"/>
              </w:rPr>
              <w:t xml:space="preserve">Impact</w:t>
            </w:r>
          </w:p>
        </w:tc>
        <w:tc>
          <w:tcPr>
            <w:tcW w:type="dxa" w:w="4106"/>
            <w:tcBorders>
              <w:top w:val="single" w:color="0B6B3A" w:sz="4"/>
              <w:left w:val="single" w:color="0B6B3A" w:sz="4"/>
              <w:bottom w:val="single" w:color="0B6B3A" w:sz="4"/>
              <w:right w:val="single" w:color="0B6B3A" w:sz="4"/>
            </w:tcBorders>
            <w:shd w:fill="0B6B3A" w:val="clear"/>
            <w:tcMar>
              <w:top w:type="dxa" w:w="80"/>
              <w:left w:type="dxa" w:w="110"/>
              <w:bottom w:type="dxa" w:w="80"/>
              <w:right w:type="dxa" w:w="110"/>
            </w:tcMar>
          </w:tcPr>
          <w:p>
            <w:r>
              <w:rPr>
                <w:rFonts w:ascii="Arial" w:cs="Arial" w:eastAsia="Arial" w:hAnsi="Arial"/>
                <w:b/>
                <w:bCs/>
                <w:color w:val="FFFFFF"/>
                <w:sz w:val="17"/>
                <w:szCs w:val="17"/>
              </w:rPr>
              <w:t xml:space="preserve">Mitigation</w:t>
            </w:r>
          </w:p>
        </w:tc>
      </w:tr>
      <w:tr>
        <w:tc>
          <w:tcPr>
            <w:tcW w:type="dxa" w:w="30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Volume de données non synchronisées trop important</w:t>
            </w:r>
          </w:p>
        </w:tc>
        <w:tc>
          <w:tcPr>
            <w:tcW w:type="dxa" w:w="28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Perte de données ou terminal saturé</w:t>
            </w:r>
          </w:p>
        </w:tc>
        <w:tc>
          <w:tcPr>
            <w:tcW w:type="dxa" w:w="41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Limite de rétention hors-ligne (60 jours), synchronisation différentielle, alerte locale</w:t>
            </w:r>
          </w:p>
        </w:tc>
      </w:tr>
      <w:tr>
        <w:tc>
          <w:tcPr>
            <w:tcW w:type="dxa" w:w="30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Usage abusif de l’impression décentralisée</w:t>
            </w:r>
          </w:p>
        </w:tc>
        <w:tc>
          <w:tcPr>
            <w:tcW w:type="dxa" w:w="28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Numéros hors plage, contrefaçon</w:t>
            </w:r>
          </w:p>
        </w:tc>
        <w:tc>
          <w:tcPr>
            <w:tcW w:type="dxa" w:w="41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Plage fermée, rejet automatique (HTTP 422), audit a posteriori, droit de suspension</w:t>
            </w:r>
          </w:p>
        </w:tc>
      </w:tr>
      <w:tr>
        <w:tc>
          <w:tcPr>
            <w:tcW w:type="dxa" w:w="30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Indisponibilité du PSP en ligne</w:t>
            </w:r>
          </w:p>
        </w:tc>
        <w:tc>
          <w:tcPr>
            <w:tcW w:type="dxa" w:w="28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Blocage du paiement en ligne</w:t>
            </w:r>
          </w:p>
        </w:tc>
        <w:tc>
          <w:tcPr>
            <w:tcW w:type="dxa" w:w="41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Réconciliation active, bascule vers présentiel/virement</w:t>
            </w:r>
          </w:p>
        </w:tc>
      </w:tr>
      <w:tr>
        <w:tc>
          <w:tcPr>
            <w:tcW w:type="dxa" w:w="30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Contrôle d’un passeport avant propagation de l’itinéraire</w:t>
            </w:r>
          </w:p>
        </w:tc>
        <w:tc>
          <w:tcPr>
            <w:tcW w:type="dxa" w:w="28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Vérification de conformité impossible</w:t>
            </w:r>
          </w:p>
        </w:tc>
        <w:tc>
          <w:tcPr>
            <w:tcW w:type="dxa" w:w="41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Statut explicite « non synchronisé », repli sur le document papier, audit a posteriori</w:t>
            </w:r>
          </w:p>
        </w:tc>
      </w:tr>
      <w:tr>
        <w:tc>
          <w:tcPr>
            <w:tcW w:type="dxa" w:w="30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Montée en charge lors des pics de commande</w:t>
            </w:r>
          </w:p>
        </w:tc>
        <w:tc>
          <w:tcPr>
            <w:tcW w:type="dxa" w:w="28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Dégradation des temps de réponse</w:t>
            </w:r>
          </w:p>
        </w:tc>
        <w:tc>
          <w:tcPr>
            <w:tcW w:type="dxa" w:w="41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Serveurs API redondants, dimensionnement PostgreSQL, files asynchrones pour les tâches lourdes</w:t>
            </w:r>
          </w:p>
        </w:tc>
      </w:tr>
    </w:tbl>
    <w:p>
      <w:pPr>
        <w:spacing w:after="300"/>
      </w:pPr>
    </w:p>
    <w:p>
      <w:pPr>
        <w:jc w:val="center"/>
      </w:pPr>
      <w:r>
        <w:rPr>
          <w:rFonts w:ascii="Arial" w:cs="Arial" w:eastAsia="Arial" w:hAnsi="Arial"/>
          <w:color w:val="5A6575"/>
          <w:sz w:val="17"/>
          <w:szCs w:val="17"/>
        </w:rPr>
        <w:t xml:space="preserve">CEBEVIRHA — Commission Économique du Bétail, de la Viande et des Ressources Halieutiques</w:t>
      </w:r>
    </w:p>
    <w:sectPr>
      <w:footerReference w:type="default" r:id="rId7"/>
      <w:pgSz w:w="11906" w:h="16838" w:orient="portrait"/>
      <w:pgMar w:top="1000" w:right="1000" w:bottom="1000" w:left="100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4DA" w:sz="4"/>
      </w:pBdr>
      <w:tabs>
        <w:tab w:val="right" w:pos="9906"/>
      </w:tabs>
      <w:spacing w:before="120"/>
    </w:pPr>
    <w:r>
      <w:rPr>
        <w:rFonts w:ascii="Arial" w:cs="Arial" w:eastAsia="Arial" w:hAnsi="Arial"/>
        <w:color w:val="5A6575"/>
        <w:sz w:val="16"/>
        <w:szCs w:val="16"/>
      </w:rPr>
      <w:t xml:space="preserve">CEBEVIRHA — Document d’architecture technique PPB</w:t>
    </w:r>
    <w:r>
      <w:rPr>
        <w:rFonts w:ascii="Arial" w:cs="Arial" w:eastAsia="Arial" w:hAnsi="Arial"/>
        <w:sz w:val="16"/>
        <w:szCs w:val="16"/>
      </w:rPr>
      <w:t xml:space="preserve">	</w:t>
    </w:r>
    <w:r>
      <w:rPr>
        <w:rFonts w:ascii="Arial" w:cs="Arial" w:eastAsia="Arial" w:hAnsi="Arial"/>
        <w:color w:val="5A6575"/>
        <w:sz w:val="16"/>
        <w:szCs w:val="16"/>
      </w:rPr>
      <w:fldChar w:fldCharType="begin"/>
      <w:instrText xml:space="preserve">PAGE</w:instrText>
      <w:fldChar w:fldCharType="separate"/>
      <w:fldChar w:fldCharType="end"/>
    </w:r>
    <w:r>
      <w:rPr>
        <w:rFonts w:ascii="Arial" w:cs="Arial" w:eastAsia="Arial" w:hAnsi="Arial"/>
        <w:color w:val="5A6575"/>
        <w:sz w:val="16"/>
        <w:szCs w:val="16"/>
      </w:rPr>
      <w:t xml:space="preserve"> / </w:t>
    </w:r>
    <w:r>
      <w:rPr>
        <w:rFonts w:ascii="Arial" w:cs="Arial" w:eastAsia="Arial" w:hAnsi="Arial"/>
        <w:color w:val="5A657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08edaae70b8936216e0bd8f5719d78463d30d43.png"/><Relationship Id="rId9" Type="http://schemas.openxmlformats.org/officeDocument/2006/relationships/image" Target="media/6e6fcb6501e3130fa0dc0c9ce204e96c6da93989.png"/><Relationship Id="rId10" Type="http://schemas.openxmlformats.org/officeDocument/2006/relationships/image" Target="media/40f6854f386f58fb4c00fbbc405e394f1f9142f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2026-08-13T04:42:17.646Z</dcterms:created>
  <dcterms:modified xsi:type="dcterms:W3CDTF">2026-08-13T04:42:17.660Z</dcterms:modified>
</cp:coreProperties>
</file>

<file path=docProps/custom.xml><?xml version="1.0" encoding="utf-8"?>
<Properties xmlns="http://schemas.openxmlformats.org/officeDocument/2006/custom-properties" xmlns:vt="http://schemas.openxmlformats.org/officeDocument/2006/docPropsVTypes"/>
</file>