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pPr>
    </w:p>
    <w:p>
      <w:pPr>
        <w:jc w:val="center"/>
      </w:pPr>
      <w:r>
        <w:drawing>
          <wp:inline distT="0" distB="0" distL="0" distR="0">
            <wp:extent cx="28575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733425"/>
                    </a:xfrm>
                    <a:prstGeom prst="rect">
                      <a:avLst/>
                    </a:prstGeom>
                  </pic:spPr>
                </pic:pic>
              </a:graphicData>
            </a:graphic>
          </wp:inline>
        </w:drawing>
      </w:r>
    </w:p>
    <w:p>
      <w:pPr>
        <w:spacing w:after="420"/>
      </w:pPr>
    </w:p>
    <w:p>
      <w:pPr>
        <w:jc w:val="center"/>
      </w:pPr>
      <w:r>
        <w:rPr>
          <w:rFonts w:ascii="Arial" w:cs="Arial" w:eastAsia="Arial" w:hAnsi="Arial"/>
          <w:color w:val="5A6575"/>
          <w:sz w:val="21"/>
          <w:szCs w:val="21"/>
        </w:rPr>
        <w:t xml:space="preserve">AMI/CEBEVIRHA/FLUVIAC/PPB/2026</w:t>
      </w:r>
    </w:p>
    <w:p>
      <w:pPr>
        <w:spacing w:after="180"/>
      </w:pPr>
    </w:p>
    <w:p>
      <w:pPr>
        <w:spacing w:after="80"/>
        <w:jc w:val="center"/>
      </w:pPr>
      <w:r>
        <w:rPr>
          <w:rFonts w:ascii="Arial" w:cs="Arial" w:eastAsia="Arial" w:hAnsi="Arial"/>
          <w:b/>
          <w:bCs/>
          <w:color w:val="0B6B3A"/>
          <w:sz w:val="42"/>
          <w:szCs w:val="42"/>
        </w:rPr>
        <w:t xml:space="preserve">DOCUMENT TECHNIQUE</w:t>
      </w:r>
    </w:p>
    <w:p>
      <w:pPr>
        <w:spacing w:after="220"/>
        <w:jc w:val="center"/>
      </w:pPr>
      <w:r>
        <w:rPr>
          <w:rFonts w:ascii="Arial" w:cs="Arial" w:eastAsia="Arial" w:hAnsi="Arial"/>
          <w:b/>
          <w:bCs/>
          <w:color w:val="1E3A6E"/>
          <w:sz w:val="28"/>
          <w:szCs w:val="28"/>
        </w:rPr>
        <w:t xml:space="preserve">D'IMPLÉMENTATION PAR MODULE</w:t>
      </w:r>
    </w:p>
    <w:p>
      <w:pPr>
        <w:spacing w:after="40"/>
        <w:jc w:val="center"/>
      </w:pPr>
      <w:r>
        <w:rPr>
          <w:rFonts w:ascii="Arial" w:cs="Arial" w:eastAsia="Arial" w:hAnsi="Arial"/>
          <w:i/>
          <w:iCs/>
          <w:color w:val="5A6575"/>
          <w:sz w:val="19"/>
          <w:szCs w:val="19"/>
        </w:rPr>
        <w:t xml:space="preserve">Plateforme numérique du Passeport Pour Bétail (PPB) — Commande, Paiement, Impression, Scan, Contrôle</w:t>
      </w:r>
    </w:p>
    <w:p>
      <w:pPr>
        <w:pBdr>
          <w:bottom w:val="single" w:color="F5C518" w:sz="18"/>
        </w:pBdr>
        <w:spacing w:after="40" w:before="200"/>
        <w:jc w:val="center"/>
      </w:pPr>
    </w:p>
    <w:p>
      <w:pPr>
        <w:spacing w:after="36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306"/>
      </w:tblGrid>
      <w:tr>
        <w:tc>
          <w:tcPr>
            <w:tcW w:type="dxa" w:w="2600"/>
            <w:tcBorders>
              <w:top w:val="single" w:color="E8E4DA" w:sz="4"/>
              <w:left w:val="single" w:color="E8E4DA" w:sz="4"/>
              <w:bottom w:val="single" w:color="E8E4DA" w:sz="4"/>
              <w:right w:val="single" w:color="E8E4DA" w:sz="4"/>
            </w:tcBorders>
            <w:shd w:fill="E6F6EC" w:val="clear"/>
            <w:tcMar>
              <w:top w:type="dxa" w:w="110"/>
              <w:left w:type="dxa" w:w="160"/>
              <w:bottom w:type="dxa" w:w="110"/>
              <w:right w:type="dxa" w:w="100"/>
            </w:tcMar>
          </w:tcPr>
          <w:p>
            <w:r>
              <w:rPr>
                <w:rFonts w:ascii="Arial" w:cs="Arial" w:eastAsia="Arial" w:hAnsi="Arial"/>
                <w:b/>
                <w:bCs/>
                <w:color w:val="0B6B3A"/>
                <w:sz w:val="19"/>
                <w:szCs w:val="19"/>
              </w:rPr>
              <w:t xml:space="preserve">Référence</w:t>
            </w:r>
          </w:p>
        </w:tc>
        <w:tc>
          <w:tcPr>
            <w:tcW w:type="dxa" w:w="7306"/>
            <w:tcBorders>
              <w:top w:val="single" w:color="E8E4DA" w:sz="4"/>
              <w:left w:val="single" w:color="E8E4DA" w:sz="4"/>
              <w:bottom w:val="single" w:color="E8E4DA" w:sz="4"/>
              <w:right w:val="single" w:color="E8E4DA" w:sz="4"/>
            </w:tcBorders>
            <w:tcMar>
              <w:top w:type="dxa" w:w="110"/>
              <w:left w:type="dxa" w:w="160"/>
              <w:bottom w:type="dxa" w:w="110"/>
              <w:right w:type="dxa" w:w="100"/>
            </w:tcMar>
          </w:tcPr>
          <w:p>
            <w:r>
              <w:rPr>
                <w:rFonts w:ascii="Arial" w:cs="Arial" w:eastAsia="Arial" w:hAnsi="Arial"/>
                <w:color w:val="15202B"/>
                <w:sz w:val="19"/>
                <w:szCs w:val="19"/>
              </w:rPr>
              <w:t xml:space="preserve">AMI/CEBEVIRHA/FLUVIAC/PPB/2026</w:t>
            </w:r>
          </w:p>
        </w:tc>
      </w:tr>
      <w:tr>
        <w:tc>
          <w:tcPr>
            <w:tcW w:type="dxa" w:w="2600"/>
            <w:tcBorders>
              <w:top w:val="single" w:color="E8E4DA" w:sz="4"/>
              <w:left w:val="single" w:color="E8E4DA" w:sz="4"/>
              <w:bottom w:val="single" w:color="E8E4DA" w:sz="4"/>
              <w:right w:val="single" w:color="E8E4DA" w:sz="4"/>
            </w:tcBorders>
            <w:shd w:fill="E6F6EC" w:val="clear"/>
            <w:tcMar>
              <w:top w:type="dxa" w:w="110"/>
              <w:left w:type="dxa" w:w="160"/>
              <w:bottom w:type="dxa" w:w="110"/>
              <w:right w:type="dxa" w:w="100"/>
            </w:tcMar>
          </w:tcPr>
          <w:p>
            <w:r>
              <w:rPr>
                <w:rFonts w:ascii="Arial" w:cs="Arial" w:eastAsia="Arial" w:hAnsi="Arial"/>
                <w:b/>
                <w:bCs/>
                <w:color w:val="0B6B3A"/>
                <w:sz w:val="19"/>
                <w:szCs w:val="19"/>
              </w:rPr>
              <w:t xml:space="preserve">Destinataires</w:t>
            </w:r>
          </w:p>
        </w:tc>
        <w:tc>
          <w:tcPr>
            <w:tcW w:type="dxa" w:w="7306"/>
            <w:tcBorders>
              <w:top w:val="single" w:color="E8E4DA" w:sz="4"/>
              <w:left w:val="single" w:color="E8E4DA" w:sz="4"/>
              <w:bottom w:val="single" w:color="E8E4DA" w:sz="4"/>
              <w:right w:val="single" w:color="E8E4DA" w:sz="4"/>
            </w:tcBorders>
            <w:tcMar>
              <w:top w:type="dxa" w:w="110"/>
              <w:left w:type="dxa" w:w="160"/>
              <w:bottom w:type="dxa" w:w="110"/>
              <w:right w:type="dxa" w:w="100"/>
            </w:tcMar>
          </w:tcPr>
          <w:p>
            <w:r>
              <w:rPr>
                <w:rFonts w:ascii="Arial" w:cs="Arial" w:eastAsia="Arial" w:hAnsi="Arial"/>
                <w:color w:val="15202B"/>
                <w:sz w:val="19"/>
                <w:szCs w:val="19"/>
              </w:rPr>
              <w:t xml:space="preserve">Équipe de développement, CEBEVIRHA, prestataires techniques</w:t>
            </w:r>
          </w:p>
        </w:tc>
      </w:tr>
      <w:tr>
        <w:tc>
          <w:tcPr>
            <w:tcW w:type="dxa" w:w="2600"/>
            <w:tcBorders>
              <w:top w:val="single" w:color="E8E4DA" w:sz="4"/>
              <w:left w:val="single" w:color="E8E4DA" w:sz="4"/>
              <w:bottom w:val="single" w:color="E8E4DA" w:sz="4"/>
              <w:right w:val="single" w:color="E8E4DA" w:sz="4"/>
            </w:tcBorders>
            <w:shd w:fill="E6F6EC" w:val="clear"/>
            <w:tcMar>
              <w:top w:type="dxa" w:w="110"/>
              <w:left w:type="dxa" w:w="160"/>
              <w:bottom w:type="dxa" w:w="110"/>
              <w:right w:type="dxa" w:w="100"/>
            </w:tcMar>
          </w:tcPr>
          <w:p>
            <w:r>
              <w:rPr>
                <w:rFonts w:ascii="Arial" w:cs="Arial" w:eastAsia="Arial" w:hAnsi="Arial"/>
                <w:b/>
                <w:bCs/>
                <w:color w:val="0B6B3A"/>
                <w:sz w:val="19"/>
                <w:szCs w:val="19"/>
              </w:rPr>
              <w:t xml:space="preserve">Portée</w:t>
            </w:r>
          </w:p>
        </w:tc>
        <w:tc>
          <w:tcPr>
            <w:tcW w:type="dxa" w:w="7306"/>
            <w:tcBorders>
              <w:top w:val="single" w:color="E8E4DA" w:sz="4"/>
              <w:left w:val="single" w:color="E8E4DA" w:sz="4"/>
              <w:bottom w:val="single" w:color="E8E4DA" w:sz="4"/>
              <w:right w:val="single" w:color="E8E4DA" w:sz="4"/>
            </w:tcBorders>
            <w:tcMar>
              <w:top w:type="dxa" w:w="110"/>
              <w:left w:type="dxa" w:w="160"/>
              <w:bottom w:type="dxa" w:w="110"/>
              <w:right w:type="dxa" w:w="100"/>
            </w:tcMar>
          </w:tcPr>
          <w:p>
            <w:r>
              <w:rPr>
                <w:rFonts w:ascii="Arial" w:cs="Arial" w:eastAsia="Arial" w:hAnsi="Arial"/>
                <w:color w:val="15202B"/>
                <w:sz w:val="19"/>
                <w:szCs w:val="19"/>
              </w:rPr>
              <w:t xml:space="preserve">Spécifications fonctionnelles et techniques des 5 modules de la plateforme</w:t>
            </w:r>
          </w:p>
        </w:tc>
      </w:tr>
      <w:tr>
        <w:tc>
          <w:tcPr>
            <w:tcW w:type="dxa" w:w="2600"/>
            <w:tcBorders>
              <w:top w:val="single" w:color="E8E4DA" w:sz="4"/>
              <w:left w:val="single" w:color="E8E4DA" w:sz="4"/>
              <w:bottom w:val="single" w:color="E8E4DA" w:sz="4"/>
              <w:right w:val="single" w:color="E8E4DA" w:sz="4"/>
            </w:tcBorders>
            <w:shd w:fill="E6F6EC" w:val="clear"/>
            <w:tcMar>
              <w:top w:type="dxa" w:w="110"/>
              <w:left w:type="dxa" w:w="160"/>
              <w:bottom w:type="dxa" w:w="110"/>
              <w:right w:type="dxa" w:w="100"/>
            </w:tcMar>
          </w:tcPr>
          <w:p>
            <w:r>
              <w:rPr>
                <w:rFonts w:ascii="Arial" w:cs="Arial" w:eastAsia="Arial" w:hAnsi="Arial"/>
                <w:b/>
                <w:bCs/>
                <w:color w:val="0B6B3A"/>
                <w:sz w:val="19"/>
                <w:szCs w:val="19"/>
              </w:rPr>
              <w:t xml:space="preserve">Base documentaire</w:t>
            </w:r>
          </w:p>
        </w:tc>
        <w:tc>
          <w:tcPr>
            <w:tcW w:type="dxa" w:w="7306"/>
            <w:tcBorders>
              <w:top w:val="single" w:color="E8E4DA" w:sz="4"/>
              <w:left w:val="single" w:color="E8E4DA" w:sz="4"/>
              <w:bottom w:val="single" w:color="E8E4DA" w:sz="4"/>
              <w:right w:val="single" w:color="E8E4DA" w:sz="4"/>
            </w:tcBorders>
            <w:tcMar>
              <w:top w:type="dxa" w:w="110"/>
              <w:left w:type="dxa" w:w="160"/>
              <w:bottom w:type="dxa" w:w="110"/>
              <w:right w:type="dxa" w:w="100"/>
            </w:tcMar>
          </w:tcPr>
          <w:p>
            <w:r>
              <w:rPr>
                <w:rFonts w:ascii="Arial" w:cs="Arial" w:eastAsia="Arial" w:hAnsi="Arial"/>
                <w:color w:val="15202B"/>
                <w:sz w:val="19"/>
                <w:szCs w:val="19"/>
              </w:rPr>
              <w:t xml:space="preserve">Rapport de démarrage, schéma de délivrance, fiche parties prenantes</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0B6B3A" w:sz="4"/>
              <w:left w:val="single" w:color="0B6B3A" w:sz="4"/>
              <w:bottom w:val="single" w:color="0B6B3A" w:sz="4"/>
              <w:right w:val="single" w:color="0B6B3A" w:sz="4"/>
            </w:tcBorders>
            <w:shd w:fill="0B6B3A" w:val="clear"/>
            <w:tcMar>
              <w:top w:type="dxa" w:w="160"/>
              <w:left w:type="dxa" w:w="220"/>
              <w:bottom w:type="dxa" w:w="160"/>
              <w:right w:type="dxa" w:w="220"/>
            </w:tcMar>
          </w:tcPr>
          <w:p>
            <w:r>
              <w:rPr>
                <w:rFonts w:ascii="Arial" w:cs="Arial" w:eastAsia="Arial" w:hAnsi="Arial"/>
                <w:b/>
                <w:bCs/>
                <w:color w:val="F5C518"/>
                <w:sz w:val="30"/>
                <w:szCs w:val="30"/>
              </w:rPr>
              <w:t xml:space="preserve">1.  </w:t>
            </w:r>
            <w:r>
              <w:rPr>
                <w:rFonts w:ascii="Arial" w:cs="Arial" w:eastAsia="Arial" w:hAnsi="Arial"/>
                <w:b/>
                <w:bCs/>
                <w:color w:val="FFFFFF"/>
                <w:sz w:val="30"/>
                <w:szCs w:val="30"/>
              </w:rPr>
              <w:t xml:space="preserve">Introduction et principes généraux</w:t>
            </w:r>
          </w:p>
        </w:tc>
      </w:tr>
    </w:tbl>
    <w:p>
      <w:pPr>
        <w:spacing w:after="140"/>
      </w:pPr>
    </w:p>
    <w:p>
      <w:pPr>
        <w:spacing w:after="130"/>
      </w:pPr>
      <w:r>
        <w:rPr>
          <w:rFonts w:ascii="Arial" w:cs="Arial" w:eastAsia="Arial" w:hAnsi="Arial"/>
          <w:b w:val="false"/>
          <w:bCs w:val="false"/>
          <w:i w:val="false"/>
          <w:iCs w:val="false"/>
          <w:color w:val="15202B"/>
          <w:sz w:val="20"/>
          <w:szCs w:val="20"/>
        </w:rPr>
        <w:t xml:space="preserve">Ce document technique décrit l'implémentation de la plateforme numérique du Passeport Pour Bétail (PPB), module par module. Il s'adresse à l'équipe de développement et sert de référence pour la conception, le développement et la recette de chaque brique fonctionnelle.</w:t>
      </w:r>
    </w:p>
    <w:p>
      <w:pPr>
        <w:spacing w:after="130"/>
      </w:pPr>
      <w:r>
        <w:rPr>
          <w:rFonts w:ascii="Arial" w:cs="Arial" w:eastAsia="Arial" w:hAnsi="Arial"/>
          <w:b w:val="false"/>
          <w:bCs w:val="false"/>
          <w:i w:val="false"/>
          <w:iCs w:val="false"/>
          <w:color w:val="15202B"/>
          <w:sz w:val="20"/>
          <w:szCs w:val="20"/>
        </w:rPr>
        <w:t xml:space="preserve">La plateforme suit le schéma de délivrance en cinq étapes fonctionnelles : Commande → Paiement → Impression → Scan (numérisation terrain) → Contrôle, complétées par un module transversal d'exploitation statistique.</w:t>
      </w:r>
    </w:p>
    <w:p>
      <w:pPr>
        <w:pBdr>
          <w:bottom w:val="single" w:color="F5C518" w:sz="8"/>
        </w:pBdr>
        <w:spacing w:after="120" w:before="220"/>
      </w:pPr>
      <w:r>
        <w:rPr>
          <w:rFonts w:ascii="Arial" w:cs="Arial" w:eastAsia="Arial" w:hAnsi="Arial"/>
          <w:b/>
          <w:bCs/>
          <w:color w:val="15202B"/>
          <w:sz w:val="22"/>
          <w:szCs w:val="22"/>
        </w:rPr>
        <w:t xml:space="preserve">Architecture technique de référence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906"/>
      </w:tblGrid>
      <w:tr>
        <w:tc>
          <w:tcPr>
            <w:tcW w:type="dxa" w:w="3000"/>
            <w:tcBorders>
              <w:top w:val="single" w:color="0B6B3A" w:sz="4"/>
              <w:left w:val="single" w:color="0B6B3A" w:sz="4"/>
              <w:bottom w:val="single" w:color="0B6B3A" w:sz="4"/>
              <w:right w:val="single" w:color="0B6B3A" w:sz="4"/>
            </w:tcBorders>
            <w:shd w:fill="0B6B3A" w:val="clear"/>
            <w:tcMar>
              <w:top w:type="dxa" w:w="80"/>
              <w:left w:type="dxa" w:w="110"/>
              <w:bottom w:type="dxa" w:w="80"/>
              <w:right w:type="dxa" w:w="110"/>
            </w:tcMar>
          </w:tcPr>
          <w:p>
            <w:r>
              <w:rPr>
                <w:rFonts w:ascii="Arial" w:cs="Arial" w:eastAsia="Arial" w:hAnsi="Arial"/>
                <w:b/>
                <w:bCs/>
                <w:color w:val="FFFFFF"/>
                <w:sz w:val="17"/>
                <w:szCs w:val="17"/>
              </w:rPr>
              <w:t xml:space="preserve">Composant</w:t>
            </w:r>
          </w:p>
        </w:tc>
        <w:tc>
          <w:tcPr>
            <w:tcW w:type="dxa" w:w="6906"/>
            <w:tcBorders>
              <w:top w:val="single" w:color="0B6B3A" w:sz="4"/>
              <w:left w:val="single" w:color="0B6B3A" w:sz="4"/>
              <w:bottom w:val="single" w:color="0B6B3A" w:sz="4"/>
              <w:right w:val="single" w:color="0B6B3A" w:sz="4"/>
            </w:tcBorders>
            <w:shd w:fill="0B6B3A" w:val="clear"/>
            <w:tcMar>
              <w:top w:type="dxa" w:w="80"/>
              <w:left w:type="dxa" w:w="110"/>
              <w:bottom w:type="dxa" w:w="80"/>
              <w:right w:type="dxa" w:w="110"/>
            </w:tcMar>
          </w:tcPr>
          <w:p>
            <w:r>
              <w:rPr>
                <w:rFonts w:ascii="Arial" w:cs="Arial" w:eastAsia="Arial" w:hAnsi="Arial"/>
                <w:b/>
                <w:bCs/>
                <w:color w:val="FFFFFF"/>
                <w:sz w:val="17"/>
                <w:szCs w:val="17"/>
              </w:rPr>
              <w:t xml:space="preserve">Technologie</w:t>
            </w:r>
          </w:p>
        </w:tc>
      </w:tr>
      <w:tr>
        <w:tc>
          <w:tcPr>
            <w:tcW w:type="dxa" w:w="30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Frontend Web</w:t>
            </w:r>
          </w:p>
        </w:tc>
        <w:tc>
          <w:tcPr>
            <w:tcW w:type="dxa" w:w="69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Consolas" w:cs="Consolas" w:eastAsia="Consolas" w:hAnsi="Consolas"/>
                <w:b w:val="false"/>
                <w:bCs w:val="false"/>
                <w:color w:val="15202B"/>
                <w:sz w:val="16"/>
                <w:szCs w:val="16"/>
              </w:rPr>
              <w:t xml:space="preserve">React.js + TypeScript + Tailwind + shadcn/ui</w:t>
            </w:r>
          </w:p>
        </w:tc>
      </w:tr>
      <w:tr>
        <w:tc>
          <w:tcPr>
            <w:tcW w:type="dxa" w:w="30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Backend API</w:t>
            </w:r>
          </w:p>
        </w:tc>
        <w:tc>
          <w:tcPr>
            <w:tcW w:type="dxa" w:w="69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Python (FastAPI), API REST</w:t>
            </w:r>
          </w:p>
        </w:tc>
      </w:tr>
      <w:tr>
        <w:tc>
          <w:tcPr>
            <w:tcW w:type="dxa" w:w="30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Base de données</w:t>
            </w:r>
          </w:p>
        </w:tc>
        <w:tc>
          <w:tcPr>
            <w:tcW w:type="dxa" w:w="69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PostgreSQL + PostGIS</w:t>
            </w:r>
          </w:p>
        </w:tc>
      </w:tr>
      <w:tr>
        <w:tc>
          <w:tcPr>
            <w:tcW w:type="dxa" w:w="30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Stockage fichiers</w:t>
            </w:r>
          </w:p>
        </w:tc>
        <w:tc>
          <w:tcPr>
            <w:tcW w:type="dxa" w:w="69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Object Storage compatible S3</w:t>
            </w:r>
          </w:p>
        </w:tc>
      </w:tr>
      <w:tr>
        <w:tc>
          <w:tcPr>
            <w:tcW w:type="dxa" w:w="30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Authentification</w:t>
            </w:r>
          </w:p>
        </w:tc>
        <w:tc>
          <w:tcPr>
            <w:tcW w:type="dxa" w:w="69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JWT + bcrypt + RBAC (6 rôles)</w:t>
            </w:r>
          </w:p>
        </w:tc>
      </w:tr>
      <w:tr>
        <w:tc>
          <w:tcPr>
            <w:tcW w:type="dxa" w:w="30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Application terrain</w:t>
            </w:r>
          </w:p>
        </w:tc>
        <w:tc>
          <w:tcPr>
            <w:tcW w:type="dxa" w:w="69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PWA (Progressive Web App), IndexedDB, Service Worker</w:t>
            </w:r>
          </w:p>
        </w:tc>
      </w:tr>
      <w:tr>
        <w:tc>
          <w:tcPr>
            <w:tcW w:type="dxa" w:w="30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QR Code</w:t>
            </w:r>
          </w:p>
        </w:tc>
        <w:tc>
          <w:tcPr>
            <w:tcW w:type="dxa" w:w="69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qrcode.react (génération) + html5-qrcode (lecture)</w:t>
            </w:r>
          </w:p>
        </w:tc>
      </w:tr>
      <w:tr>
        <w:tc>
          <w:tcPr>
            <w:tcW w:type="dxa" w:w="30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Signature numérique</w:t>
            </w:r>
          </w:p>
        </w:tc>
        <w:tc>
          <w:tcPr>
            <w:tcW w:type="dxa" w:w="69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RSA-2048 ou ECDSA P-256</w:t>
            </w:r>
          </w:p>
        </w:tc>
      </w:tr>
      <w:tr>
        <w:tc>
          <w:tcPr>
            <w:tcW w:type="dxa" w:w="30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Cartographie</w:t>
            </w:r>
          </w:p>
        </w:tc>
        <w:tc>
          <w:tcPr>
            <w:tcW w:type="dxa" w:w="69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Leaflet.js + OpenStreetMap</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F5C518" w:sz="4"/>
              <w:left w:val="single" w:color="F5C518" w:sz="24"/>
              <w:bottom w:val="single" w:color="F5C518" w:sz="4"/>
              <w:right w:val="single" w:color="F5C518" w:sz="4"/>
            </w:tcBorders>
            <w:shd w:fill="FDF6DC" w:val="clear"/>
            <w:tcMar>
              <w:top w:type="dxa" w:w="140"/>
              <w:left w:type="dxa" w:w="200"/>
              <w:bottom w:type="dxa" w:w="140"/>
              <w:right w:type="dxa" w:w="200"/>
            </w:tcMar>
          </w:tcPr>
          <w:p>
            <w:pPr>
              <w:spacing w:after="50"/>
            </w:pPr>
            <w:r>
              <w:rPr>
                <w:rFonts w:ascii="Arial" w:cs="Arial" w:eastAsia="Arial" w:hAnsi="Arial"/>
                <w:b/>
                <w:bCs/>
                <w:color w:val="8A6D00"/>
                <w:spacing w:val="8"/>
                <w:sz w:val="17"/>
                <w:szCs w:val="17"/>
              </w:rPr>
              <w:t xml:space="preserve">PRINCIPE TRANSVERSAL</w:t>
            </w:r>
          </w:p>
          <w:p>
            <w:r>
              <w:rPr>
                <w:rFonts w:ascii="Arial" w:cs="Arial" w:eastAsia="Arial" w:hAnsi="Arial"/>
                <w:color w:val="15202B"/>
                <w:sz w:val="19"/>
                <w:szCs w:val="19"/>
              </w:rPr>
              <w:t xml:space="preserve">Chaque module expose une API REST versionnée (préfixe /api/v1/), documentée en OpenAPI, et applique systématiquement le contrôle d'accès RBAC. Toute opération sensible (attribution, impression, contrôle) est journalisée dans une piste d'audit immuable.</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0B6B3A" w:sz="4"/>
              <w:left w:val="single" w:color="0B6B3A" w:sz="4"/>
              <w:bottom w:val="single" w:color="0B6B3A" w:sz="4"/>
              <w:right w:val="single" w:color="0B6B3A" w:sz="4"/>
            </w:tcBorders>
            <w:shd w:fill="0B6B3A" w:val="clear"/>
            <w:tcMar>
              <w:top w:type="dxa" w:w="160"/>
              <w:left w:type="dxa" w:w="220"/>
              <w:bottom w:type="dxa" w:w="160"/>
              <w:right w:type="dxa" w:w="220"/>
            </w:tcMar>
          </w:tcPr>
          <w:p>
            <w:r>
              <w:rPr>
                <w:rFonts w:ascii="Arial" w:cs="Arial" w:eastAsia="Arial" w:hAnsi="Arial"/>
                <w:b/>
                <w:bCs/>
                <w:color w:val="F5C518"/>
                <w:sz w:val="30"/>
                <w:szCs w:val="30"/>
              </w:rPr>
              <w:t xml:space="preserve">2.  </w:t>
            </w:r>
            <w:r>
              <w:rPr>
                <w:rFonts w:ascii="Arial" w:cs="Arial" w:eastAsia="Arial" w:hAnsi="Arial"/>
                <w:b/>
                <w:bCs/>
                <w:color w:val="FFFFFF"/>
                <w:sz w:val="30"/>
                <w:szCs w:val="30"/>
              </w:rPr>
              <w:t xml:space="preserve">Modèle de données global</w:t>
            </w:r>
          </w:p>
        </w:tc>
      </w:tr>
    </w:tbl>
    <w:p>
      <w:pPr>
        <w:spacing w:after="140"/>
      </w:pPr>
    </w:p>
    <w:p>
      <w:pPr>
        <w:spacing w:after="130"/>
      </w:pPr>
      <w:r>
        <w:rPr>
          <w:rFonts w:ascii="Arial" w:cs="Arial" w:eastAsia="Arial" w:hAnsi="Arial"/>
          <w:b w:val="false"/>
          <w:bCs w:val="false"/>
          <w:i w:val="false"/>
          <w:iCs w:val="false"/>
          <w:color w:val="15202B"/>
          <w:sz w:val="20"/>
          <w:szCs w:val="20"/>
        </w:rPr>
        <w:t xml:space="preserve">Entités centrales partagées par l'ensemble des modules :</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200"/>
        <w:gridCol w:w="4206"/>
      </w:tblGrid>
      <w:tr>
        <w:tc>
          <w:tcPr>
            <w:tcW w:type="dxa" w:w="2500"/>
            <w:tcBorders>
              <w:top w:val="single" w:color="0B6B3A" w:sz="4"/>
              <w:left w:val="single" w:color="0B6B3A" w:sz="4"/>
              <w:bottom w:val="single" w:color="0B6B3A" w:sz="4"/>
              <w:right w:val="single" w:color="0B6B3A" w:sz="4"/>
            </w:tcBorders>
            <w:shd w:fill="0B6B3A" w:val="clear"/>
            <w:tcMar>
              <w:top w:type="dxa" w:w="80"/>
              <w:left w:type="dxa" w:w="110"/>
              <w:bottom w:type="dxa" w:w="80"/>
              <w:right w:type="dxa" w:w="110"/>
            </w:tcMar>
          </w:tcPr>
          <w:p>
            <w:r>
              <w:rPr>
                <w:rFonts w:ascii="Arial" w:cs="Arial" w:eastAsia="Arial" w:hAnsi="Arial"/>
                <w:b/>
                <w:bCs/>
                <w:color w:val="FFFFFF"/>
                <w:sz w:val="17"/>
                <w:szCs w:val="17"/>
              </w:rPr>
              <w:t xml:space="preserve">Entité</w:t>
            </w:r>
          </w:p>
        </w:tc>
        <w:tc>
          <w:tcPr>
            <w:tcW w:type="dxa" w:w="3200"/>
            <w:tcBorders>
              <w:top w:val="single" w:color="0B6B3A" w:sz="4"/>
              <w:left w:val="single" w:color="0B6B3A" w:sz="4"/>
              <w:bottom w:val="single" w:color="0B6B3A" w:sz="4"/>
              <w:right w:val="single" w:color="0B6B3A" w:sz="4"/>
            </w:tcBorders>
            <w:shd w:fill="0B6B3A" w:val="clear"/>
            <w:tcMar>
              <w:top w:type="dxa" w:w="80"/>
              <w:left w:type="dxa" w:w="110"/>
              <w:bottom w:type="dxa" w:w="80"/>
              <w:right w:type="dxa" w:w="110"/>
            </w:tcMar>
          </w:tcPr>
          <w:p>
            <w:r>
              <w:rPr>
                <w:rFonts w:ascii="Arial" w:cs="Arial" w:eastAsia="Arial" w:hAnsi="Arial"/>
                <w:b/>
                <w:bCs/>
                <w:color w:val="FFFFFF"/>
                <w:sz w:val="17"/>
                <w:szCs w:val="17"/>
              </w:rPr>
              <w:t xml:space="preserve">Champs clés</w:t>
            </w:r>
          </w:p>
        </w:tc>
        <w:tc>
          <w:tcPr>
            <w:tcW w:type="dxa" w:w="4206"/>
            <w:tcBorders>
              <w:top w:val="single" w:color="0B6B3A" w:sz="4"/>
              <w:left w:val="single" w:color="0B6B3A" w:sz="4"/>
              <w:bottom w:val="single" w:color="0B6B3A" w:sz="4"/>
              <w:right w:val="single" w:color="0B6B3A" w:sz="4"/>
            </w:tcBorders>
            <w:shd w:fill="0B6B3A" w:val="clear"/>
            <w:tcMar>
              <w:top w:type="dxa" w:w="80"/>
              <w:left w:type="dxa" w:w="110"/>
              <w:bottom w:type="dxa" w:w="80"/>
              <w:right w:type="dxa" w:w="110"/>
            </w:tcMar>
          </w:tcPr>
          <w:p>
            <w:r>
              <w:rPr>
                <w:rFonts w:ascii="Arial" w:cs="Arial" w:eastAsia="Arial" w:hAnsi="Arial"/>
                <w:b/>
                <w:bCs/>
                <w:color w:val="FFFFFF"/>
                <w:sz w:val="17"/>
                <w:szCs w:val="17"/>
              </w:rPr>
              <w:t xml:space="preserve">Description</w:t>
            </w:r>
          </w:p>
        </w:tc>
      </w:tr>
      <w:tr>
        <w:tc>
          <w:tcPr>
            <w:tcW w:type="dxa" w:w="25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Pays</w:t>
            </w:r>
          </w:p>
        </w:tc>
        <w:tc>
          <w:tcPr>
            <w:tcW w:type="dxa" w:w="32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id, code_iso, nom, ordre_alpha</w:t>
            </w:r>
          </w:p>
        </w:tc>
        <w:tc>
          <w:tcPr>
            <w:tcW w:type="dxa" w:w="42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Les 6 États membres CEMAC, code numérique (01–06) par ordre alphabétique</w:t>
            </w:r>
          </w:p>
        </w:tc>
      </w:tr>
      <w:tr>
        <w:tc>
          <w:tcPr>
            <w:tcW w:type="dxa" w:w="25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Commande</w:t>
            </w:r>
          </w:p>
        </w:tc>
        <w:tc>
          <w:tcPr>
            <w:tcW w:type="dxa" w:w="32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id, pays_id, quantite, langue_version, mode_impression, statut</w:t>
            </w:r>
          </w:p>
        </w:tc>
        <w:tc>
          <w:tcPr>
            <w:tcW w:type="dxa" w:w="42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Commande de PPB passée par un Ministère de l’Élevage</w:t>
            </w:r>
          </w:p>
        </w:tc>
      </w:tr>
      <w:tr>
        <w:tc>
          <w:tcPr>
            <w:tcW w:type="dxa" w:w="25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Paiement</w:t>
            </w:r>
          </w:p>
        </w:tc>
        <w:tc>
          <w:tcPr>
            <w:tcW w:type="dxa" w:w="32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id, commande_id, montant, devise, moyen, statut, idempotency_key</w:t>
            </w:r>
          </w:p>
        </w:tc>
        <w:tc>
          <w:tcPr>
            <w:tcW w:type="dxa" w:w="42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Transaction associée à une commande</w:t>
            </w:r>
          </w:p>
        </w:tc>
      </w:tr>
      <w:tr>
        <w:tc>
          <w:tcPr>
            <w:tcW w:type="dxa" w:w="25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Passeport</w:t>
            </w:r>
          </w:p>
        </w:tc>
        <w:tc>
          <w:tcPr>
            <w:tcW w:type="dxa" w:w="32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id, numero_pays, numero_annee, numero_lot, qr_uuid, signature, statut</w:t>
            </w:r>
          </w:p>
        </w:tc>
        <w:tc>
          <w:tcPr>
            <w:tcW w:type="dxa" w:w="42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Un exemplaire de PPB, identifié par Pays / Année / N° de lot</w:t>
            </w:r>
          </w:p>
        </w:tc>
      </w:tr>
      <w:tr>
        <w:tc>
          <w:tcPr>
            <w:tcW w:type="dxa" w:w="25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AutorisationImpression</w:t>
            </w:r>
          </w:p>
        </w:tc>
        <w:tc>
          <w:tcPr>
            <w:tcW w:type="dxa" w:w="32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id, pays_id, plage_debut, plage_fin, gabarit_version</w:t>
            </w:r>
          </w:p>
        </w:tc>
        <w:tc>
          <w:tcPr>
            <w:tcW w:type="dxa" w:w="42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Droits d’impression décentralisée accordés à un pays</w:t>
            </w:r>
          </w:p>
        </w:tc>
      </w:tr>
      <w:tr>
        <w:tc>
          <w:tcPr>
            <w:tcW w:type="dxa" w:w="25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Numerisation</w:t>
            </w:r>
          </w:p>
        </w:tc>
        <w:tc>
          <w:tcPr>
            <w:tcW w:type="dxa" w:w="32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id, passeport_id, page_num, donnees_json, statut_validation, statut_sync, agent_id</w:t>
            </w:r>
          </w:p>
        </w:tc>
        <w:tc>
          <w:tcPr>
            <w:tcW w:type="dxa" w:w="42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Données validées d’une page de PPB rempli (aucune image conservée)</w:t>
            </w:r>
          </w:p>
        </w:tc>
      </w:tr>
      <w:tr>
        <w:tc>
          <w:tcPr>
            <w:tcW w:type="dxa" w:w="25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Eleveur</w:t>
            </w:r>
          </w:p>
        </w:tc>
        <w:tc>
          <w:tcPr>
            <w:tcW w:type="dxa" w:w="32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id, passeport_id, donnees_dynamiques (JSON), date_enregistrement</w:t>
            </w:r>
          </w:p>
        </w:tc>
        <w:tc>
          <w:tcPr>
            <w:tcW w:type="dxa" w:w="42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Identité et coordonnées du demandeur, saisies à la main puis vérifiées par formulaire</w:t>
            </w:r>
          </w:p>
        </w:tc>
      </w:tr>
      <w:tr>
        <w:tc>
          <w:tcPr>
            <w:tcW w:type="dxa" w:w="25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Convoyeur</w:t>
            </w:r>
          </w:p>
        </w:tc>
        <w:tc>
          <w:tcPr>
            <w:tcW w:type="dxa" w:w="32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id, passeport_id, donnees_dynamiques (JSON), date_enregistrement</w:t>
            </w:r>
          </w:p>
        </w:tc>
        <w:tc>
          <w:tcPr>
            <w:tcW w:type="dxa" w:w="42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Identité de l’accompagnant du troupeau durant le trajet</w:t>
            </w:r>
          </w:p>
        </w:tc>
      </w:tr>
      <w:tr>
        <w:tc>
          <w:tcPr>
            <w:tcW w:type="dxa" w:w="25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Troupeau</w:t>
            </w:r>
          </w:p>
        </w:tc>
        <w:tc>
          <w:tcPr>
            <w:tcW w:type="dxa" w:w="32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id, passeport_id, date_enregistrement</w:t>
            </w:r>
          </w:p>
        </w:tc>
        <w:tc>
          <w:tcPr>
            <w:tcW w:type="dxa" w:w="42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Conteneur de la composition du troupeau (une ou plusieurs espèces)</w:t>
            </w:r>
          </w:p>
        </w:tc>
      </w:tr>
      <w:tr>
        <w:tc>
          <w:tcPr>
            <w:tcW w:type="dxa" w:w="25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TroupeauEspece</w:t>
            </w:r>
          </w:p>
        </w:tc>
        <w:tc>
          <w:tcPr>
            <w:tcW w:type="dxa" w:w="32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id, troupeau_id, espece, nombre_males, nombre_femelles, nombre_jeunes, nombre_total</w:t>
            </w:r>
          </w:p>
        </w:tc>
        <w:tc>
          <w:tcPr>
            <w:tcW w:type="dxa" w:w="42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Une espèce du troupeau (bovin, ovin, caprin, camelin...) et ses effectifs détaillés</w:t>
            </w:r>
          </w:p>
        </w:tc>
      </w:tr>
      <w:tr>
        <w:tc>
          <w:tcPr>
            <w:tcW w:type="dxa" w:w="25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Vaccination</w:t>
            </w:r>
          </w:p>
        </w:tc>
        <w:tc>
          <w:tcPr>
            <w:tcW w:type="dxa" w:w="32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id, troupeau_id, maladie, date_vaccination, lieu</w:t>
            </w:r>
          </w:p>
        </w:tc>
        <w:tc>
          <w:tcPr>
            <w:tcW w:type="dxa" w:w="42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Une vaccination réalisée, par maladie contrôlée (PPR, péripneumonie, charbon, trypanosomiase)</w:t>
            </w:r>
          </w:p>
        </w:tc>
      </w:tr>
      <w:tr>
        <w:tc>
          <w:tcPr>
            <w:tcW w:type="dxa" w:w="25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Itineraire</w:t>
            </w:r>
          </w:p>
        </w:tc>
        <w:tc>
          <w:tcPr>
            <w:tcW w:type="dxa" w:w="32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id, passeport_id, pays_origine_id, province_origine, pays_destination_id, province_destination, date_enregistrement</w:t>
            </w:r>
          </w:p>
        </w:tc>
        <w:tc>
          <w:tcPr>
            <w:tcW w:type="dxa" w:w="42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Trajet déclaré oralement par l’éleveur/convoyeur à l’agent lors de l’émission (non prédéfini à la commande) — détermine à lui seul la validité du passeport</w:t>
            </w:r>
          </w:p>
        </w:tc>
      </w:tr>
      <w:tr>
        <w:tc>
          <w:tcPr>
            <w:tcW w:type="dxa" w:w="25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Controle</w:t>
            </w:r>
          </w:p>
        </w:tc>
        <w:tc>
          <w:tcPr>
            <w:tcW w:type="dxa" w:w="32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id, passeport_id, poste_id, agent_id, resultat, itineraire_disponible_localement, conforme_itineraire, mode</w:t>
            </w:r>
          </w:p>
        </w:tc>
        <w:tc>
          <w:tcPr>
            <w:tcW w:type="dxa" w:w="42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Vérification effectuée à un poste frontière ; la conformité au trajet n’est vérifiable que si l’itinéraire a déjà été synchronisé jusqu’à ce poste</w:t>
            </w:r>
          </w:p>
        </w:tc>
      </w:tr>
      <w:tr>
        <w:tc>
          <w:tcPr>
            <w:tcW w:type="dxa" w:w="25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Utilisateur</w:t>
            </w:r>
          </w:p>
        </w:tc>
        <w:tc>
          <w:tcPr>
            <w:tcW w:type="dxa" w:w="32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id, email, role, pays_id, hash_mdp</w:t>
            </w:r>
          </w:p>
        </w:tc>
        <w:tc>
          <w:tcPr>
            <w:tcW w:type="dxa" w:w="42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Compte applicatif (6 rôles RBAC)</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F5C518" w:sz="4"/>
              <w:left w:val="single" w:color="F5C518" w:sz="24"/>
              <w:bottom w:val="single" w:color="F5C518" w:sz="4"/>
              <w:right w:val="single" w:color="F5C518" w:sz="4"/>
            </w:tcBorders>
            <w:shd w:fill="FDF6DC" w:val="clear"/>
            <w:tcMar>
              <w:top w:type="dxa" w:w="140"/>
              <w:left w:type="dxa" w:w="200"/>
              <w:bottom w:type="dxa" w:w="140"/>
              <w:right w:type="dxa" w:w="200"/>
            </w:tcMar>
          </w:tcPr>
          <w:p>
            <w:pPr>
              <w:spacing w:after="50"/>
            </w:pPr>
            <w:r>
              <w:rPr>
                <w:rFonts w:ascii="Arial" w:cs="Arial" w:eastAsia="Arial" w:hAnsi="Arial"/>
                <w:b/>
                <w:bCs/>
                <w:color w:val="8A6D00"/>
                <w:spacing w:val="8"/>
                <w:sz w:val="17"/>
                <w:szCs w:val="17"/>
              </w:rPr>
              <w:t xml:space="preserve">DE LA SAISIE MANUSCRITE À LA BASE DE DONNÉES</w:t>
            </w:r>
          </w:p>
          <w:p>
            <w:r>
              <w:rPr>
                <w:rFonts w:ascii="Arial" w:cs="Arial" w:eastAsia="Arial" w:hAnsi="Arial"/>
                <w:color w:val="15202B"/>
                <w:sz w:val="19"/>
                <w:szCs w:val="19"/>
              </w:rPr>
              <w:t xml:space="preserve">Éleveur, Convoyeur et Troupeau sont des entités à part entière, pas de simples champs perdus dans un blob générique. Elles sont peuplées automatiquement à la fin du Module 4 — Scan : l'agent remplit et valide les pages 3 et 4 du PPB (formulaire pré-rempli par OCR, relu et corrigé), et dès que toutes les pages sont validées, la plateforme extrait ces données validées des enregistrements Numerisation correspondants pour créer ou mettre à jour l'enregistrement Eleveur, Convoyeur et Troupeau du passeport concerné. Comme pour les autres formulaires, le contenu exact de donnees_dynamiques (quels champs existent, lesquels sont obligatoires) est piloté par le Module Administration — le Super Admin peut ajouter la nationalité ou l'e-mail de l'éleveur sans toucher au code.</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F5C518" w:sz="4"/>
              <w:left w:val="single" w:color="F5C518" w:sz="24"/>
              <w:bottom w:val="single" w:color="F5C518" w:sz="4"/>
              <w:right w:val="single" w:color="F5C518" w:sz="4"/>
            </w:tcBorders>
            <w:shd w:fill="FDF6DC" w:val="clear"/>
            <w:tcMar>
              <w:top w:type="dxa" w:w="140"/>
              <w:left w:type="dxa" w:w="200"/>
              <w:bottom w:type="dxa" w:w="140"/>
              <w:right w:type="dxa" w:w="200"/>
            </w:tcMar>
          </w:tcPr>
          <w:p>
            <w:pPr>
              <w:spacing w:after="50"/>
            </w:pPr>
            <w:r>
              <w:rPr>
                <w:rFonts w:ascii="Arial" w:cs="Arial" w:eastAsia="Arial" w:hAnsi="Arial"/>
                <w:b/>
                <w:bCs/>
                <w:color w:val="8A6D00"/>
                <w:spacing w:val="8"/>
                <w:sz w:val="17"/>
                <w:szCs w:val="17"/>
              </w:rPr>
              <w:t xml:space="preserve">LE TRAJET DÉCLARÉ DÉTERMINE À LUI SEUL LA VALIDITÉ DU PASSEPORT</w:t>
            </w:r>
          </w:p>
          <w:p>
            <w:r>
              <w:rPr>
                <w:rFonts w:ascii="Arial" w:cs="Arial" w:eastAsia="Arial" w:hAnsi="Arial"/>
                <w:color w:val="15202B"/>
                <w:sz w:val="19"/>
                <w:szCs w:val="19"/>
              </w:rPr>
              <w:t xml:space="preserve">L'entité Itineraire (pays et province d'origine, pays et province de destination) n'est pas une simple information descriptive : elle conditionne la validité du PPB. Un passeport émis pour un trajet Ngueli (Tchad) → Kousséri (Cameroun) n'est valable que pour ce trajet précis ; il ne peut pas servir à franchir une frontière vers la République Centrafricaine ou le Gabon. Lors d'un contrôle (Module 5), l'agent compare le poste où il se trouve à l'itinéraire déclaré ; en cas d'écart, le champ conforme_itineraire du Controle est positionné à faux et le résultat global doit être traité comme une anomalie, que le contrôle s'effectue en ligne ou hors-ligne.</w:t>
            </w:r>
          </w:p>
        </w:tc>
      </w:tr>
    </w:tbl>
    <w:p>
      <w:pPr>
        <w:spacing w:after="120"/>
      </w:pPr>
    </w:p>
    <w:p>
      <w:pPr>
        <w:pBdr>
          <w:bottom w:val="single" w:color="F5C518" w:sz="8"/>
        </w:pBdr>
        <w:spacing w:after="120" w:before="220"/>
      </w:pPr>
      <w:r>
        <w:rPr>
          <w:rFonts w:ascii="Arial" w:cs="Arial" w:eastAsia="Arial" w:hAnsi="Arial"/>
          <w:b/>
          <w:bCs/>
          <w:color w:val="15202B"/>
          <w:sz w:val="22"/>
          <w:szCs w:val="22"/>
        </w:rPr>
        <w:t xml:space="preserve">Statuts du cycle de vie du passeport</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506"/>
      </w:tblGrid>
      <w:tr>
        <w:tc>
          <w:tcPr>
            <w:tcW w:type="dxa" w:w="2400"/>
            <w:tcBorders>
              <w:top w:val="single" w:color="0B6B3A" w:sz="4"/>
              <w:left w:val="single" w:color="0B6B3A" w:sz="4"/>
              <w:bottom w:val="single" w:color="0B6B3A" w:sz="4"/>
              <w:right w:val="single" w:color="0B6B3A" w:sz="4"/>
            </w:tcBorders>
            <w:shd w:fill="0B6B3A" w:val="clear"/>
            <w:tcMar>
              <w:top w:type="dxa" w:w="80"/>
              <w:left w:type="dxa" w:w="110"/>
              <w:bottom w:type="dxa" w:w="80"/>
              <w:right w:type="dxa" w:w="110"/>
            </w:tcMar>
          </w:tcPr>
          <w:p>
            <w:r>
              <w:rPr>
                <w:rFonts w:ascii="Arial" w:cs="Arial" w:eastAsia="Arial" w:hAnsi="Arial"/>
                <w:b/>
                <w:bCs/>
                <w:color w:val="FFFFFF"/>
                <w:sz w:val="17"/>
                <w:szCs w:val="17"/>
              </w:rPr>
              <w:t xml:space="preserve">Statut</w:t>
            </w:r>
          </w:p>
        </w:tc>
        <w:tc>
          <w:tcPr>
            <w:tcW w:type="dxa" w:w="7506"/>
            <w:tcBorders>
              <w:top w:val="single" w:color="0B6B3A" w:sz="4"/>
              <w:left w:val="single" w:color="0B6B3A" w:sz="4"/>
              <w:bottom w:val="single" w:color="0B6B3A" w:sz="4"/>
              <w:right w:val="single" w:color="0B6B3A" w:sz="4"/>
            </w:tcBorders>
            <w:shd w:fill="0B6B3A" w:val="clear"/>
            <w:tcMar>
              <w:top w:type="dxa" w:w="80"/>
              <w:left w:type="dxa" w:w="110"/>
              <w:bottom w:type="dxa" w:w="80"/>
              <w:right w:type="dxa" w:w="110"/>
            </w:tcMar>
          </w:tcPr>
          <w:p>
            <w:r>
              <w:rPr>
                <w:rFonts w:ascii="Arial" w:cs="Arial" w:eastAsia="Arial" w:hAnsi="Arial"/>
                <w:b/>
                <w:bCs/>
                <w:color w:val="FFFFFF"/>
                <w:sz w:val="17"/>
                <w:szCs w:val="17"/>
              </w:rPr>
              <w:t xml:space="preserve">Déclencheur</w:t>
            </w:r>
          </w:p>
        </w:tc>
      </w:tr>
      <w:tr>
        <w:tc>
          <w:tcPr>
            <w:tcW w:type="dxa" w:w="24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préchargé</w:t>
            </w:r>
          </w:p>
        </w:tc>
        <w:tc>
          <w:tcPr>
            <w:tcW w:type="dxa" w:w="75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Attribution automatique après confirmation du paiement (Module 3)</w:t>
            </w:r>
          </w:p>
        </w:tc>
      </w:tr>
      <w:tr>
        <w:tc>
          <w:tcPr>
            <w:tcW w:type="dxa" w:w="24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vierge</w:t>
            </w:r>
          </w:p>
        </w:tc>
        <w:tc>
          <w:tcPr>
            <w:tcW w:type="dxa" w:w="75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Impression confirmée — centralisée ou déclarée localement (Module 3)</w:t>
            </w:r>
          </w:p>
        </w:tc>
      </w:tr>
      <w:tr>
        <w:tc>
          <w:tcPr>
            <w:tcW w:type="dxa" w:w="24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émis</w:t>
            </w:r>
          </w:p>
        </w:tc>
        <w:tc>
          <w:tcPr>
            <w:tcW w:type="dxa" w:w="75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Remplissage terrain puis synchronisation de la numérisation (Module 4)</w:t>
            </w:r>
          </w:p>
        </w:tc>
      </w:tr>
      <w:tr>
        <w:tc>
          <w:tcPr>
            <w:tcW w:type="dxa" w:w="24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contrôlé</w:t>
            </w:r>
          </w:p>
        </w:tc>
        <w:tc>
          <w:tcPr>
            <w:tcW w:type="dxa" w:w="75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Vérification effectuée à un poste frontière (Module 5)</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0B6B3A" w:sz="4"/>
              <w:left w:val="single" w:color="0B6B3A" w:sz="4"/>
              <w:bottom w:val="single" w:color="0B6B3A" w:sz="4"/>
              <w:right w:val="single" w:color="0B6B3A" w:sz="4"/>
            </w:tcBorders>
            <w:shd w:fill="0B6B3A" w:val="clear"/>
            <w:tcMar>
              <w:top w:type="dxa" w:w="160"/>
              <w:left w:type="dxa" w:w="220"/>
              <w:bottom w:type="dxa" w:w="160"/>
              <w:right w:type="dxa" w:w="220"/>
            </w:tcMar>
          </w:tcPr>
          <w:p>
            <w:r>
              <w:rPr>
                <w:rFonts w:ascii="Arial" w:cs="Arial" w:eastAsia="Arial" w:hAnsi="Arial"/>
                <w:b/>
                <w:bCs/>
                <w:color w:val="F5C518"/>
                <w:sz w:val="30"/>
                <w:szCs w:val="30"/>
              </w:rPr>
              <w:t xml:space="preserve">3.  </w:t>
            </w:r>
            <w:r>
              <w:rPr>
                <w:rFonts w:ascii="Arial" w:cs="Arial" w:eastAsia="Arial" w:hAnsi="Arial"/>
                <w:b/>
                <w:bCs/>
                <w:color w:val="FFFFFF"/>
                <w:sz w:val="30"/>
                <w:szCs w:val="30"/>
              </w:rPr>
              <w:t xml:space="preserve">Modules fonctionnels</w:t>
            </w:r>
          </w:p>
        </w:tc>
      </w:tr>
    </w:tbl>
    <w:p>
      <w:pPr>
        <w:spacing w:after="14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6406"/>
        <w:gridCol w:w="2600"/>
      </w:tblGrid>
      <w:tr>
        <w:tc>
          <w:tcPr>
            <w:tcW w:type="dxa" w:w="900"/>
            <w:tcBorders>
              <w:top w:val="single" w:color="1E3A6E" w:sz="4"/>
              <w:left w:val="single" w:color="1E3A6E" w:sz="4"/>
              <w:bottom w:val="single" w:color="1E3A6E" w:sz="4"/>
              <w:right w:val="single" w:color="1E3A6E" w:sz="4"/>
            </w:tcBorders>
            <w:shd w:fill="1E3A6E"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M1</w:t>
            </w:r>
          </w:p>
        </w:tc>
        <w:tc>
          <w:tcPr>
            <w:tcW w:type="dxa" w:w="6406"/>
            <w:tcBorders>
              <w:top w:val="single" w:color="E8E4DA" w:sz="4"/>
              <w:left w:val="single" w:color="E8E4DA" w:sz="4"/>
              <w:bottom w:val="single" w:color="E8E4DA" w:sz="4"/>
              <w:right w:val="single" w:color="E8E4DA" w:sz="4"/>
            </w:tcBorders>
            <w:tcMar>
              <w:top w:type="dxa" w:w="100"/>
              <w:left w:type="dxa" w:w="160"/>
              <w:bottom w:type="dxa" w:w="100"/>
              <w:right w:type="dxa" w:w="100"/>
            </w:tcMar>
            <w:vAlign w:val="center"/>
          </w:tcPr>
          <w:p>
            <w:r>
              <w:rPr>
                <w:rFonts w:ascii="Arial" w:cs="Arial" w:eastAsia="Arial" w:hAnsi="Arial"/>
                <w:b/>
                <w:bCs/>
                <w:color w:val="15202B"/>
                <w:sz w:val="24"/>
                <w:szCs w:val="24"/>
              </w:rPr>
              <w:t xml:space="preserve">Commande</w:t>
            </w:r>
          </w:p>
        </w:tc>
        <w:tc>
          <w:tcPr>
            <w:tcW w:type="dxa" w:w="2600"/>
            <w:tcBorders>
              <w:top w:val="single" w:color="F5C518" w:sz="4"/>
              <w:left w:val="single" w:color="F5C518" w:sz="4"/>
              <w:bottom w:val="single" w:color="F5C518" w:sz="4"/>
              <w:right w:val="single" w:color="F5C518" w:sz="4"/>
            </w:tcBorders>
            <w:shd w:fill="F5C518" w:val="clear"/>
            <w:tcMar>
              <w:top w:type="dxa" w:w="100"/>
              <w:left w:type="dxa" w:w="100"/>
              <w:bottom w:type="dxa" w:w="100"/>
              <w:right w:type="dxa" w:w="100"/>
            </w:tcMar>
            <w:vAlign w:val="center"/>
          </w:tcPr>
          <w:p>
            <w:pPr>
              <w:jc w:val="center"/>
            </w:pPr>
            <w:r>
              <w:rPr>
                <w:rFonts w:ascii="Arial" w:cs="Arial" w:eastAsia="Arial" w:hAnsi="Arial"/>
                <w:b/>
                <w:bCs/>
                <w:color w:val="15202B"/>
                <w:sz w:val="16"/>
                <w:szCs w:val="16"/>
              </w:rPr>
              <w:t xml:space="preserve">PORTAIL MINISTÈRES</w:t>
            </w:r>
          </w:p>
        </w:tc>
      </w:tr>
    </w:tbl>
    <w:p>
      <w:pPr>
        <w:spacing w:after="140"/>
      </w:pPr>
    </w:p>
    <w:p>
      <w:pPr>
        <w:pBdr>
          <w:bottom w:val="single" w:color="F5C518" w:sz="8"/>
        </w:pBdr>
        <w:spacing w:after="120" w:before="220"/>
      </w:pPr>
      <w:r>
        <w:rPr>
          <w:rFonts w:ascii="Arial" w:cs="Arial" w:eastAsia="Arial" w:hAnsi="Arial"/>
          <w:b/>
          <w:bCs/>
          <w:color w:val="15202B"/>
          <w:sz w:val="22"/>
          <w:szCs w:val="22"/>
        </w:rPr>
        <w:t xml:space="preserve">Objectif</w:t>
      </w:r>
    </w:p>
    <w:p>
      <w:pPr>
        <w:spacing w:after="130"/>
      </w:pPr>
      <w:r>
        <w:rPr>
          <w:rFonts w:ascii="Arial" w:cs="Arial" w:eastAsia="Arial" w:hAnsi="Arial"/>
          <w:b w:val="false"/>
          <w:bCs w:val="false"/>
          <w:i w:val="false"/>
          <w:iCs w:val="false"/>
          <w:color w:val="15202B"/>
          <w:sz w:val="20"/>
          <w:szCs w:val="20"/>
        </w:rPr>
        <w:t xml:space="preserve">Permettre à chaque Ministère de l'Élevage de commander des PPB auprès de la CEBEVIRHA, en choisissant la quantité, la version linguistique, et le mode d'impression.</w:t>
      </w:r>
    </w:p>
    <w:p>
      <w:pPr>
        <w:pBdr>
          <w:bottom w:val="single" w:color="F5C518" w:sz="8"/>
        </w:pBdr>
        <w:spacing w:after="120" w:before="220"/>
      </w:pPr>
      <w:r>
        <w:rPr>
          <w:rFonts w:ascii="Arial" w:cs="Arial" w:eastAsia="Arial" w:hAnsi="Arial"/>
          <w:b/>
          <w:bCs/>
          <w:color w:val="15202B"/>
          <w:sz w:val="22"/>
          <w:szCs w:val="22"/>
        </w:rPr>
        <w:t xml:space="preserve">Acteurs et rôles</w:t>
      </w:r>
    </w:p>
    <w:p>
      <w:pPr>
        <w:pStyle w:val="ListParagraph"/>
        <w:numPr>
          <w:ilvl w:val="0"/>
          <w:numId w:val="2"/>
        </w:numPr>
        <w:spacing w:after="70"/>
      </w:pPr>
      <w:r>
        <w:rPr>
          <w:rFonts w:ascii="Arial" w:cs="Arial" w:eastAsia="Arial" w:hAnsi="Arial"/>
          <w:b/>
          <w:bCs/>
          <w:color w:val="15202B"/>
          <w:sz w:val="20"/>
          <w:szCs w:val="20"/>
        </w:rPr>
        <w:t xml:space="preserve">Ministère de l’Élevage (rôle Admin National) — </w:t>
      </w:r>
      <w:r>
        <w:rPr>
          <w:rFonts w:ascii="Arial" w:cs="Arial" w:eastAsia="Arial" w:hAnsi="Arial"/>
          <w:color w:val="15202B"/>
          <w:sz w:val="20"/>
          <w:szCs w:val="20"/>
        </w:rPr>
        <w:t xml:space="preserve">saisit et suit ses commandes.</w:t>
      </w:r>
    </w:p>
    <w:p>
      <w:pPr>
        <w:pStyle w:val="ListParagraph"/>
        <w:numPr>
          <w:ilvl w:val="0"/>
          <w:numId w:val="2"/>
        </w:numPr>
        <w:spacing w:after="70"/>
      </w:pPr>
      <w:r>
        <w:rPr>
          <w:rFonts w:ascii="Arial" w:cs="Arial" w:eastAsia="Arial" w:hAnsi="Arial"/>
          <w:b/>
          <w:bCs/>
          <w:color w:val="15202B"/>
          <w:sz w:val="20"/>
          <w:szCs w:val="20"/>
        </w:rPr>
        <w:t xml:space="preserve">CEBEVIRHA (rôle Super Admin) — </w:t>
      </w:r>
      <w:r>
        <w:rPr>
          <w:rFonts w:ascii="Arial" w:cs="Arial" w:eastAsia="Arial" w:hAnsi="Arial"/>
          <w:color w:val="15202B"/>
          <w:sz w:val="20"/>
          <w:szCs w:val="20"/>
        </w:rPr>
        <w:t xml:space="preserve">valide les commandes et supervise les stocks régionaux.</w:t>
      </w:r>
    </w:p>
    <w:p>
      <w:pPr>
        <w:pBdr>
          <w:bottom w:val="single" w:color="F5C518" w:sz="8"/>
        </w:pBdr>
        <w:spacing w:after="120" w:before="220"/>
      </w:pPr>
      <w:r>
        <w:rPr>
          <w:rFonts w:ascii="Arial" w:cs="Arial" w:eastAsia="Arial" w:hAnsi="Arial"/>
          <w:b/>
          <w:bCs/>
          <w:color w:val="15202B"/>
          <w:sz w:val="22"/>
          <w:szCs w:val="22"/>
        </w:rPr>
        <w:t xml:space="preserve">Workflow</w:t>
      </w:r>
    </w:p>
    <w:p>
      <w:pPr>
        <w:pStyle w:val="ListParagraph"/>
        <w:numPr>
          <w:ilvl w:val="0"/>
          <w:numId w:val="3"/>
        </w:numPr>
        <w:spacing w:after="80"/>
      </w:pPr>
      <w:r>
        <w:rPr>
          <w:rFonts w:ascii="Arial" w:cs="Arial" w:eastAsia="Arial" w:hAnsi="Arial"/>
          <w:b/>
          <w:bCs/>
          <w:color w:val="15202B"/>
          <w:sz w:val="20"/>
          <w:szCs w:val="20"/>
        </w:rPr>
        <w:t xml:space="preserve">Authentification — </w:t>
      </w:r>
      <w:r>
        <w:rPr>
          <w:rFonts w:ascii="Arial" w:cs="Arial" w:eastAsia="Arial" w:hAnsi="Arial"/>
          <w:color w:val="15202B"/>
          <w:sz w:val="20"/>
          <w:szCs w:val="20"/>
        </w:rPr>
        <w:t xml:space="preserve">Le Ministère se connecte via son compte (JWT, rôle Admin National).</w:t>
      </w:r>
    </w:p>
    <w:p>
      <w:pPr>
        <w:pStyle w:val="ListParagraph"/>
        <w:numPr>
          <w:ilvl w:val="0"/>
          <w:numId w:val="3"/>
        </w:numPr>
        <w:spacing w:after="80"/>
      </w:pPr>
      <w:r>
        <w:rPr>
          <w:rFonts w:ascii="Arial" w:cs="Arial" w:eastAsia="Arial" w:hAnsi="Arial"/>
          <w:b/>
          <w:bCs/>
          <w:color w:val="15202B"/>
          <w:sz w:val="20"/>
          <w:szCs w:val="20"/>
        </w:rPr>
        <w:t xml:space="preserve">Saisie de la commande — </w:t>
      </w:r>
      <w:r>
        <w:rPr>
          <w:rFonts w:ascii="Arial" w:cs="Arial" w:eastAsia="Arial" w:hAnsi="Arial"/>
          <w:color w:val="15202B"/>
          <w:sz w:val="20"/>
          <w:szCs w:val="20"/>
        </w:rPr>
        <w:t xml:space="preserve">Saisie du nombre de PPB souhaités, des informations de facturation et du responsable.</w:t>
      </w:r>
    </w:p>
    <w:p>
      <w:pPr>
        <w:pStyle w:val="ListParagraph"/>
        <w:numPr>
          <w:ilvl w:val="0"/>
          <w:numId w:val="3"/>
        </w:numPr>
        <w:spacing w:after="80"/>
      </w:pPr>
      <w:r>
        <w:rPr>
          <w:rFonts w:ascii="Arial" w:cs="Arial" w:eastAsia="Arial" w:hAnsi="Arial"/>
          <w:b/>
          <w:bCs/>
          <w:color w:val="15202B"/>
          <w:sz w:val="20"/>
          <w:szCs w:val="20"/>
        </w:rPr>
        <w:t xml:space="preserve">Choix de la version linguistique — </w:t>
      </w:r>
      <w:r>
        <w:rPr>
          <w:rFonts w:ascii="Arial" w:cs="Arial" w:eastAsia="Arial" w:hAnsi="Arial"/>
          <w:color w:val="15202B"/>
          <w:sz w:val="20"/>
          <w:szCs w:val="20"/>
        </w:rPr>
        <w:t xml:space="preserve">Sélection de la version FR/EN ou FR/AR ; le pays du Ministère propose une version par défaut (ex. FR/AR pré-sélectionné pour le Tchad et la RCA, FR/EN pour le Cameroun), modifiable au besoin.</w:t>
      </w:r>
    </w:p>
    <w:p>
      <w:pPr>
        <w:pStyle w:val="ListParagraph"/>
        <w:numPr>
          <w:ilvl w:val="0"/>
          <w:numId w:val="3"/>
        </w:numPr>
        <w:spacing w:after="80"/>
      </w:pPr>
      <w:r>
        <w:rPr>
          <w:rFonts w:ascii="Arial" w:cs="Arial" w:eastAsia="Arial" w:hAnsi="Arial"/>
          <w:b/>
          <w:bCs/>
          <w:color w:val="15202B"/>
          <w:sz w:val="20"/>
          <w:szCs w:val="20"/>
        </w:rPr>
        <w:t xml:space="preserve">Choix du mode d’impression — </w:t>
      </w:r>
      <w:r>
        <w:rPr>
          <w:rFonts w:ascii="Arial" w:cs="Arial" w:eastAsia="Arial" w:hAnsi="Arial"/>
          <w:color w:val="15202B"/>
          <w:sz w:val="20"/>
          <w:szCs w:val="20"/>
        </w:rPr>
        <w:t xml:space="preserve">Sélection centralisée (CEBEVIRHA) ou décentralisée (impression dans le pays, sous réserve d’une AutorisationImpression valide).</w:t>
      </w:r>
    </w:p>
    <w:p>
      <w:pPr>
        <w:pStyle w:val="ListParagraph"/>
        <w:numPr>
          <w:ilvl w:val="0"/>
          <w:numId w:val="3"/>
        </w:numPr>
        <w:spacing w:after="80"/>
      </w:pPr>
      <w:r>
        <w:rPr>
          <w:rFonts w:ascii="Arial" w:cs="Arial" w:eastAsia="Arial" w:hAnsi="Arial"/>
          <w:b/>
          <w:bCs/>
          <w:color w:val="15202B"/>
          <w:sz w:val="20"/>
          <w:szCs w:val="20"/>
        </w:rPr>
        <w:t xml:space="preserve">Calcul et vérification du montant — </w:t>
      </w:r>
      <w:r>
        <w:rPr>
          <w:rFonts w:ascii="Arial" w:cs="Arial" w:eastAsia="Arial" w:hAnsi="Arial"/>
          <w:color w:val="15202B"/>
          <w:sz w:val="20"/>
          <w:szCs w:val="20"/>
        </w:rPr>
        <w:t xml:space="preserve">Le montant total (quantité × prix unitaire) est calculé automatiquement ; s’il dépasse le plafond de paiement en ligne, seuls le virement bancaire et le paiement en présentiel restent proposés (voir Module 2).</w:t>
      </w:r>
    </w:p>
    <w:p>
      <w:pPr>
        <w:pStyle w:val="ListParagraph"/>
        <w:numPr>
          <w:ilvl w:val="0"/>
          <w:numId w:val="3"/>
        </w:numPr>
        <w:spacing w:after="80"/>
      </w:pPr>
      <w:r>
        <w:rPr>
          <w:rFonts w:ascii="Arial" w:cs="Arial" w:eastAsia="Arial" w:hAnsi="Arial"/>
          <w:b/>
          <w:bCs/>
          <w:color w:val="15202B"/>
          <w:sz w:val="20"/>
          <w:szCs w:val="20"/>
        </w:rPr>
        <w:t xml:space="preserve">Validation — </w:t>
      </w:r>
      <w:r>
        <w:rPr>
          <w:rFonts w:ascii="Arial" w:cs="Arial" w:eastAsia="Arial" w:hAnsi="Arial"/>
          <w:color w:val="15202B"/>
          <w:sz w:val="20"/>
          <w:szCs w:val="20"/>
        </w:rPr>
        <w:t xml:space="preserve">La commande passe au statut « en_attente_paiement » et une facture est générée automatiquement, mentionnant la version linguistique commandée.</w:t>
      </w:r>
    </w:p>
    <w:p>
      <w:pPr>
        <w:pBdr>
          <w:bottom w:val="single" w:color="F5C518" w:sz="8"/>
        </w:pBdr>
        <w:spacing w:after="120" w:before="220"/>
      </w:pPr>
      <w:r>
        <w:rPr>
          <w:rFonts w:ascii="Arial" w:cs="Arial" w:eastAsia="Arial" w:hAnsi="Arial"/>
          <w:b/>
          <w:bCs/>
          <w:color w:val="15202B"/>
          <w:sz w:val="22"/>
          <w:szCs w:val="22"/>
        </w:rPr>
        <w:t xml:space="preserve">Endpoints API</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3600"/>
        <w:gridCol w:w="5006"/>
      </w:tblGrid>
      <w:tr>
        <w:tc>
          <w:tcPr>
            <w:tcW w:type="dxa" w:w="1300"/>
            <w:tcBorders>
              <w:top w:val="single" w:color="1E3A6E" w:sz="4"/>
              <w:left w:val="single" w:color="1E3A6E" w:sz="4"/>
              <w:bottom w:val="single" w:color="1E3A6E" w:sz="4"/>
              <w:right w:val="single" w:color="1E3A6E" w:sz="4"/>
            </w:tcBorders>
            <w:shd w:fill="1E3A6E" w:val="clear"/>
            <w:tcMar>
              <w:top w:type="dxa" w:w="80"/>
              <w:left w:type="dxa" w:w="110"/>
              <w:bottom w:type="dxa" w:w="80"/>
              <w:right w:type="dxa" w:w="110"/>
            </w:tcMar>
          </w:tcPr>
          <w:p>
            <w:r>
              <w:rPr>
                <w:rFonts w:ascii="Arial" w:cs="Arial" w:eastAsia="Arial" w:hAnsi="Arial"/>
                <w:b/>
                <w:bCs/>
                <w:color w:val="FFFFFF"/>
                <w:sz w:val="17"/>
                <w:szCs w:val="17"/>
              </w:rPr>
              <w:t xml:space="preserve">Méthode</w:t>
            </w:r>
          </w:p>
        </w:tc>
        <w:tc>
          <w:tcPr>
            <w:tcW w:type="dxa" w:w="3600"/>
            <w:tcBorders>
              <w:top w:val="single" w:color="1E3A6E" w:sz="4"/>
              <w:left w:val="single" w:color="1E3A6E" w:sz="4"/>
              <w:bottom w:val="single" w:color="1E3A6E" w:sz="4"/>
              <w:right w:val="single" w:color="1E3A6E" w:sz="4"/>
            </w:tcBorders>
            <w:shd w:fill="1E3A6E" w:val="clear"/>
            <w:tcMar>
              <w:top w:type="dxa" w:w="80"/>
              <w:left w:type="dxa" w:w="110"/>
              <w:bottom w:type="dxa" w:w="80"/>
              <w:right w:type="dxa" w:w="110"/>
            </w:tcMar>
          </w:tcPr>
          <w:p>
            <w:r>
              <w:rPr>
                <w:rFonts w:ascii="Arial" w:cs="Arial" w:eastAsia="Arial" w:hAnsi="Arial"/>
                <w:b/>
                <w:bCs/>
                <w:color w:val="FFFFFF"/>
                <w:sz w:val="17"/>
                <w:szCs w:val="17"/>
              </w:rPr>
              <w:t xml:space="preserve">Endpoint</w:t>
            </w:r>
          </w:p>
        </w:tc>
        <w:tc>
          <w:tcPr>
            <w:tcW w:type="dxa" w:w="5006"/>
            <w:tcBorders>
              <w:top w:val="single" w:color="1E3A6E" w:sz="4"/>
              <w:left w:val="single" w:color="1E3A6E" w:sz="4"/>
              <w:bottom w:val="single" w:color="1E3A6E" w:sz="4"/>
              <w:right w:val="single" w:color="1E3A6E" w:sz="4"/>
            </w:tcBorders>
            <w:shd w:fill="1E3A6E" w:val="clear"/>
            <w:tcMar>
              <w:top w:type="dxa" w:w="80"/>
              <w:left w:type="dxa" w:w="110"/>
              <w:bottom w:type="dxa" w:w="80"/>
              <w:right w:type="dxa" w:w="110"/>
            </w:tcMar>
          </w:tcPr>
          <w:p>
            <w:r>
              <w:rPr>
                <w:rFonts w:ascii="Arial" w:cs="Arial" w:eastAsia="Arial" w:hAnsi="Arial"/>
                <w:b/>
                <w:bCs/>
                <w:color w:val="FFFFFF"/>
                <w:sz w:val="17"/>
                <w:szCs w:val="17"/>
              </w:rPr>
              <w:t xml:space="preserve">Description</w:t>
            </w:r>
          </w:p>
        </w:tc>
      </w:tr>
      <w:tr>
        <w:tc>
          <w:tcPr>
            <w:tcW w:type="dxa" w:w="13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Consolas" w:cs="Consolas" w:eastAsia="Consolas" w:hAnsi="Consolas"/>
                <w:b/>
                <w:bCs/>
                <w:color w:val="1E3A6E"/>
                <w:sz w:val="16"/>
                <w:szCs w:val="16"/>
              </w:rPr>
              <w:t xml:space="preserve">POST</w:t>
            </w:r>
          </w:p>
        </w:tc>
        <w:tc>
          <w:tcPr>
            <w:tcW w:type="dxa" w:w="36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Consolas" w:cs="Consolas" w:eastAsia="Consolas" w:hAnsi="Consolas"/>
                <w:color w:val="15202B"/>
                <w:sz w:val="16"/>
                <w:szCs w:val="16"/>
              </w:rPr>
              <w:t xml:space="preserve">/api/v1/commandes</w:t>
            </w:r>
          </w:p>
        </w:tc>
        <w:tc>
          <w:tcPr>
            <w:tcW w:type="dxa" w:w="50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color w:val="15202B"/>
                <w:sz w:val="16"/>
                <w:szCs w:val="16"/>
              </w:rPr>
              <w:t xml:space="preserve">Créer une nouvelle commande (quantité, version linguistique, mode d’impression)</w:t>
            </w:r>
          </w:p>
        </w:tc>
      </w:tr>
      <w:tr>
        <w:tc>
          <w:tcPr>
            <w:tcW w:type="dxa" w:w="13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Consolas" w:cs="Consolas" w:eastAsia="Consolas" w:hAnsi="Consolas"/>
                <w:b/>
                <w:bCs/>
                <w:color w:val="0B6B3A"/>
                <w:sz w:val="16"/>
                <w:szCs w:val="16"/>
              </w:rPr>
              <w:t xml:space="preserve">GET</w:t>
            </w:r>
          </w:p>
        </w:tc>
        <w:tc>
          <w:tcPr>
            <w:tcW w:type="dxa" w:w="36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Consolas" w:cs="Consolas" w:eastAsia="Consolas" w:hAnsi="Consolas"/>
                <w:color w:val="15202B"/>
                <w:sz w:val="16"/>
                <w:szCs w:val="16"/>
              </w:rPr>
              <w:t xml:space="preserve">/api/v1/commandes/{id}</w:t>
            </w:r>
          </w:p>
        </w:tc>
        <w:tc>
          <w:tcPr>
            <w:tcW w:type="dxa" w:w="50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color w:val="15202B"/>
                <w:sz w:val="16"/>
                <w:szCs w:val="16"/>
              </w:rPr>
              <w:t xml:space="preserve">Consulter le détail d’une commande</w:t>
            </w:r>
          </w:p>
        </w:tc>
      </w:tr>
      <w:tr>
        <w:tc>
          <w:tcPr>
            <w:tcW w:type="dxa" w:w="13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Consolas" w:cs="Consolas" w:eastAsia="Consolas" w:hAnsi="Consolas"/>
                <w:b/>
                <w:bCs/>
                <w:color w:val="0B6B3A"/>
                <w:sz w:val="16"/>
                <w:szCs w:val="16"/>
              </w:rPr>
              <w:t xml:space="preserve">GET</w:t>
            </w:r>
          </w:p>
        </w:tc>
        <w:tc>
          <w:tcPr>
            <w:tcW w:type="dxa" w:w="36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Consolas" w:cs="Consolas" w:eastAsia="Consolas" w:hAnsi="Consolas"/>
                <w:color w:val="15202B"/>
                <w:sz w:val="16"/>
                <w:szCs w:val="16"/>
              </w:rPr>
              <w:t xml:space="preserve">/api/v1/commandes?pays_id=</w:t>
            </w:r>
          </w:p>
        </w:tc>
        <w:tc>
          <w:tcPr>
            <w:tcW w:type="dxa" w:w="50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color w:val="15202B"/>
                <w:sz w:val="16"/>
                <w:szCs w:val="16"/>
              </w:rPr>
              <w:t xml:space="preserve">Lister les commandes d’un pays</w:t>
            </w:r>
          </w:p>
        </w:tc>
      </w:tr>
      <w:tr>
        <w:tc>
          <w:tcPr>
            <w:tcW w:type="dxa" w:w="13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Consolas" w:cs="Consolas" w:eastAsia="Consolas" w:hAnsi="Consolas"/>
                <w:b/>
                <w:bCs/>
                <w:color w:val="8A6D00"/>
                <w:sz w:val="16"/>
                <w:szCs w:val="16"/>
              </w:rPr>
              <w:t xml:space="preserve">PATCH</w:t>
            </w:r>
          </w:p>
        </w:tc>
        <w:tc>
          <w:tcPr>
            <w:tcW w:type="dxa" w:w="36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Consolas" w:cs="Consolas" w:eastAsia="Consolas" w:hAnsi="Consolas"/>
                <w:color w:val="15202B"/>
                <w:sz w:val="16"/>
                <w:szCs w:val="16"/>
              </w:rPr>
              <w:t xml:space="preserve">/api/v1/commandes/{id}/mode-impression</w:t>
            </w:r>
          </w:p>
        </w:tc>
        <w:tc>
          <w:tcPr>
            <w:tcW w:type="dxa" w:w="50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color w:val="15202B"/>
                <w:sz w:val="16"/>
                <w:szCs w:val="16"/>
              </w:rPr>
              <w:t xml:space="preserve">Modifier le mode d’impression avant paiement</w:t>
            </w:r>
          </w:p>
        </w:tc>
      </w:tr>
      <w:tr>
        <w:tc>
          <w:tcPr>
            <w:tcW w:type="dxa" w:w="13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Consolas" w:cs="Consolas" w:eastAsia="Consolas" w:hAnsi="Consolas"/>
                <w:b/>
                <w:bCs/>
                <w:color w:val="8A6D00"/>
                <w:sz w:val="16"/>
                <w:szCs w:val="16"/>
              </w:rPr>
              <w:t xml:space="preserve">PATCH</w:t>
            </w:r>
          </w:p>
        </w:tc>
        <w:tc>
          <w:tcPr>
            <w:tcW w:type="dxa" w:w="36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Consolas" w:cs="Consolas" w:eastAsia="Consolas" w:hAnsi="Consolas"/>
                <w:color w:val="15202B"/>
                <w:sz w:val="16"/>
                <w:szCs w:val="16"/>
              </w:rPr>
              <w:t xml:space="preserve">/api/v1/commandes/{id}/version-linguistique</w:t>
            </w:r>
          </w:p>
        </w:tc>
        <w:tc>
          <w:tcPr>
            <w:tcW w:type="dxa" w:w="50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color w:val="15202B"/>
                <w:sz w:val="16"/>
                <w:szCs w:val="16"/>
              </w:rPr>
              <w:t xml:space="preserve">Modifier la version FR/EN ou FR/AR avant paiement</w:t>
            </w:r>
          </w:p>
        </w:tc>
      </w:tr>
      <w:tr>
        <w:tc>
          <w:tcPr>
            <w:tcW w:type="dxa" w:w="13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Consolas" w:cs="Consolas" w:eastAsia="Consolas" w:hAnsi="Consolas"/>
                <w:b/>
                <w:bCs/>
                <w:color w:val="0B6B3A"/>
                <w:sz w:val="16"/>
                <w:szCs w:val="16"/>
              </w:rPr>
              <w:t xml:space="preserve">GET</w:t>
            </w:r>
          </w:p>
        </w:tc>
        <w:tc>
          <w:tcPr>
            <w:tcW w:type="dxa" w:w="36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Consolas" w:cs="Consolas" w:eastAsia="Consolas" w:hAnsi="Consolas"/>
                <w:color w:val="15202B"/>
                <w:sz w:val="16"/>
                <w:szCs w:val="16"/>
              </w:rPr>
              <w:t xml:space="preserve">/api/v1/commandes/{id}/facture</w:t>
            </w:r>
          </w:p>
        </w:tc>
        <w:tc>
          <w:tcPr>
            <w:tcW w:type="dxa" w:w="50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color w:val="15202B"/>
                <w:sz w:val="16"/>
                <w:szCs w:val="16"/>
              </w:rPr>
              <w:t xml:space="preserve">Télécharger la facture PDF</w:t>
            </w:r>
          </w:p>
        </w:tc>
      </w:tr>
    </w:tbl>
    <w:p>
      <w:pPr>
        <w:pBdr>
          <w:bottom w:val="single" w:color="F5C518" w:sz="8"/>
        </w:pBdr>
        <w:spacing w:after="120" w:before="220"/>
      </w:pPr>
      <w:r>
        <w:rPr>
          <w:rFonts w:ascii="Arial" w:cs="Arial" w:eastAsia="Arial" w:hAnsi="Arial"/>
          <w:b/>
          <w:bCs/>
          <w:color w:val="15202B"/>
          <w:sz w:val="22"/>
          <w:szCs w:val="22"/>
        </w:rPr>
        <w:t xml:space="preserve">Règles métier</w:t>
      </w:r>
    </w:p>
    <w:p>
      <w:pPr>
        <w:pStyle w:val="ListParagraph"/>
        <w:numPr>
          <w:ilvl w:val="0"/>
          <w:numId w:val="2"/>
        </w:numPr>
        <w:spacing w:after="70"/>
      </w:pPr>
      <w:r>
        <w:rPr>
          <w:sz w:val="1"/>
          <w:szCs w:val="1"/>
        </w:rPr>
        <w:t xml:space="preserve"/>
      </w:r>
      <w:r>
        <w:rPr>
          <w:rFonts w:ascii="Arial" w:cs="Arial" w:eastAsia="Arial" w:hAnsi="Arial"/>
          <w:color w:val="15202B"/>
          <w:sz w:val="20"/>
          <w:szCs w:val="20"/>
        </w:rPr>
        <w:t xml:space="preserve">Quantité par commande comprise entre 50 et 10 000 unités (paramétrable).</w:t>
      </w:r>
    </w:p>
    <w:p>
      <w:pPr>
        <w:pStyle w:val="ListParagraph"/>
        <w:numPr>
          <w:ilvl w:val="0"/>
          <w:numId w:val="2"/>
        </w:numPr>
        <w:spacing w:after="70"/>
      </w:pPr>
      <w:r>
        <w:rPr>
          <w:sz w:val="1"/>
          <w:szCs w:val="1"/>
        </w:rPr>
        <w:t xml:space="preserve"/>
      </w:r>
      <w:r>
        <w:rPr>
          <w:rFonts w:ascii="Arial" w:cs="Arial" w:eastAsia="Arial" w:hAnsi="Arial"/>
          <w:color w:val="15202B"/>
          <w:sz w:val="20"/>
          <w:szCs w:val="20"/>
        </w:rPr>
        <w:t xml:space="preserve">La version linguistique (FR/EN ou FR/AR) est obligatoire à la création de la commande : elle détermine le gabarit utilisé en impression (Module 3).</w:t>
      </w:r>
    </w:p>
    <w:p>
      <w:pPr>
        <w:pStyle w:val="ListParagraph"/>
        <w:numPr>
          <w:ilvl w:val="0"/>
          <w:numId w:val="2"/>
        </w:numPr>
        <w:spacing w:after="70"/>
      </w:pPr>
      <w:r>
        <w:rPr>
          <w:sz w:val="1"/>
          <w:szCs w:val="1"/>
        </w:rPr>
        <w:t xml:space="preserve"/>
      </w:r>
      <w:r>
        <w:rPr>
          <w:rFonts w:ascii="Arial" w:cs="Arial" w:eastAsia="Arial" w:hAnsi="Arial"/>
          <w:color w:val="15202B"/>
          <w:sz w:val="20"/>
          <w:szCs w:val="20"/>
        </w:rPr>
        <w:t xml:space="preserve">Le mode décentralisé n’est proposé que si une AutorisationImpression active existe pour le pays.</w:t>
      </w:r>
    </w:p>
    <w:p>
      <w:pPr>
        <w:pStyle w:val="ListParagraph"/>
        <w:numPr>
          <w:ilvl w:val="0"/>
          <w:numId w:val="2"/>
        </w:numPr>
        <w:spacing w:after="70"/>
      </w:pPr>
      <w:r>
        <w:rPr>
          <w:sz w:val="1"/>
          <w:szCs w:val="1"/>
        </w:rPr>
        <w:t xml:space="preserve"/>
      </w:r>
      <w:r>
        <w:rPr>
          <w:rFonts w:ascii="Arial" w:cs="Arial" w:eastAsia="Arial" w:hAnsi="Arial"/>
          <w:color w:val="15202B"/>
          <w:sz w:val="20"/>
          <w:szCs w:val="20"/>
        </w:rPr>
        <w:t xml:space="preserve">Une commande non payée sous 30 jours passe automatiquement au statut « expirée ».</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6406"/>
        <w:gridCol w:w="2600"/>
      </w:tblGrid>
      <w:tr>
        <w:tc>
          <w:tcPr>
            <w:tcW w:type="dxa" w:w="900"/>
            <w:tcBorders>
              <w:top w:val="single" w:color="1E3A6E" w:sz="4"/>
              <w:left w:val="single" w:color="1E3A6E" w:sz="4"/>
              <w:bottom w:val="single" w:color="1E3A6E" w:sz="4"/>
              <w:right w:val="single" w:color="1E3A6E" w:sz="4"/>
            </w:tcBorders>
            <w:shd w:fill="1E3A6E"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M2</w:t>
            </w:r>
          </w:p>
        </w:tc>
        <w:tc>
          <w:tcPr>
            <w:tcW w:type="dxa" w:w="6406"/>
            <w:tcBorders>
              <w:top w:val="single" w:color="E8E4DA" w:sz="4"/>
              <w:left w:val="single" w:color="E8E4DA" w:sz="4"/>
              <w:bottom w:val="single" w:color="E8E4DA" w:sz="4"/>
              <w:right w:val="single" w:color="E8E4DA" w:sz="4"/>
            </w:tcBorders>
            <w:tcMar>
              <w:top w:type="dxa" w:w="100"/>
              <w:left w:type="dxa" w:w="160"/>
              <w:bottom w:type="dxa" w:w="100"/>
              <w:right w:type="dxa" w:w="100"/>
            </w:tcMar>
            <w:vAlign w:val="center"/>
          </w:tcPr>
          <w:p>
            <w:r>
              <w:rPr>
                <w:rFonts w:ascii="Arial" w:cs="Arial" w:eastAsia="Arial" w:hAnsi="Arial"/>
                <w:b/>
                <w:bCs/>
                <w:color w:val="15202B"/>
                <w:sz w:val="24"/>
                <w:szCs w:val="24"/>
              </w:rPr>
              <w:t xml:space="preserve">Paiement</w:t>
            </w:r>
          </w:p>
        </w:tc>
        <w:tc>
          <w:tcPr>
            <w:tcW w:type="dxa" w:w="2600"/>
            <w:tcBorders>
              <w:top w:val="single" w:color="F5C518" w:sz="4"/>
              <w:left w:val="single" w:color="F5C518" w:sz="4"/>
              <w:bottom w:val="single" w:color="F5C518" w:sz="4"/>
              <w:right w:val="single" w:color="F5C518" w:sz="4"/>
            </w:tcBorders>
            <w:shd w:fill="F5C518" w:val="clear"/>
            <w:tcMar>
              <w:top w:type="dxa" w:w="100"/>
              <w:left w:type="dxa" w:w="100"/>
              <w:bottom w:type="dxa" w:w="100"/>
              <w:right w:type="dxa" w:w="100"/>
            </w:tcMar>
            <w:vAlign w:val="center"/>
          </w:tcPr>
          <w:p>
            <w:pPr>
              <w:jc w:val="center"/>
            </w:pPr>
            <w:r>
              <w:rPr>
                <w:rFonts w:ascii="Arial" w:cs="Arial" w:eastAsia="Arial" w:hAnsi="Arial"/>
                <w:b/>
                <w:bCs/>
                <w:color w:val="15202B"/>
                <w:sz w:val="16"/>
                <w:szCs w:val="16"/>
              </w:rPr>
              <w:t xml:space="preserve">PSP AUTO / VALIDATION PRÉSENTIEL</w:t>
            </w:r>
          </w:p>
        </w:tc>
      </w:tr>
    </w:tbl>
    <w:p>
      <w:pPr>
        <w:spacing w:after="140"/>
      </w:pPr>
    </w:p>
    <w:p>
      <w:pPr>
        <w:pBdr>
          <w:bottom w:val="single" w:color="F5C518" w:sz="8"/>
        </w:pBdr>
        <w:spacing w:after="120" w:before="220"/>
      </w:pPr>
      <w:r>
        <w:rPr>
          <w:rFonts w:ascii="Arial" w:cs="Arial" w:eastAsia="Arial" w:hAnsi="Arial"/>
          <w:b/>
          <w:bCs/>
          <w:color w:val="15202B"/>
          <w:sz w:val="22"/>
          <w:szCs w:val="22"/>
        </w:rPr>
        <w:t xml:space="preserve">Objectif</w:t>
      </w:r>
    </w:p>
    <w:p>
      <w:pPr>
        <w:spacing w:after="130"/>
      </w:pPr>
      <w:r>
        <w:rPr>
          <w:rFonts w:ascii="Arial" w:cs="Arial" w:eastAsia="Arial" w:hAnsi="Arial"/>
          <w:b w:val="false"/>
          <w:bCs w:val="false"/>
          <w:i w:val="false"/>
          <w:iCs w:val="false"/>
          <w:color w:val="15202B"/>
          <w:sz w:val="20"/>
          <w:szCs w:val="20"/>
        </w:rPr>
        <w:t xml:space="preserve">Sécuriser le règlement d'une commande, en ligne ou en présentiel, et délivrer systématiquement un reçu de paiement téléchargeable. Le paiement en ligne déclenche l'attribution automatiquement dès confirmation du prestataire ; le paiement en présentiel requiert la validation d'un agent CEBEVIRHA, qui en est l'unique déclencheur.</w:t>
      </w:r>
    </w:p>
    <w:p>
      <w:pPr>
        <w:pBdr>
          <w:bottom w:val="single" w:color="F5C518" w:sz="8"/>
        </w:pBdr>
        <w:spacing w:after="120" w:before="220"/>
      </w:pPr>
      <w:r>
        <w:rPr>
          <w:rFonts w:ascii="Arial" w:cs="Arial" w:eastAsia="Arial" w:hAnsi="Arial"/>
          <w:b/>
          <w:bCs/>
          <w:color w:val="15202B"/>
          <w:sz w:val="22"/>
          <w:szCs w:val="22"/>
        </w:rPr>
        <w:t xml:space="preserve">Plafond de paiement en ligne</w:t>
      </w:r>
    </w:p>
    <w:p>
      <w:pPr>
        <w:spacing w:after="130"/>
      </w:pPr>
      <w:r>
        <w:rPr>
          <w:rFonts w:ascii="Arial" w:cs="Arial" w:eastAsia="Arial" w:hAnsi="Arial"/>
          <w:b w:val="false"/>
          <w:bCs w:val="false"/>
          <w:i w:val="false"/>
          <w:iCs w:val="false"/>
          <w:color w:val="15202B"/>
          <w:sz w:val="20"/>
          <w:szCs w:val="20"/>
        </w:rPr>
        <w:t xml:space="preserve">Le Mobile Money et la carte bancaire sont soumis à des plafonds par transaction fixés par les opérateurs, les banques et les régulateurs (généralement entre 300 000 et quelques millions de XAF selon le pays et le moyen). Une commande volumineuse (ex. un pays commandant plusieurs centaines de milliers de PPB) peut donc représenter un montant que le paiement en ligne ne peut techniquement pas absorber en une seule transaction.</w:t>
      </w:r>
    </w:p>
    <w:p>
      <w:pPr>
        <w:pStyle w:val="ListParagraph"/>
        <w:numPr>
          <w:ilvl w:val="0"/>
          <w:numId w:val="2"/>
        </w:numPr>
        <w:spacing w:after="70"/>
      </w:pPr>
      <w:r>
        <w:rPr>
          <w:sz w:val="1"/>
          <w:szCs w:val="1"/>
        </w:rPr>
        <w:t xml:space="preserve"/>
      </w:r>
      <w:r>
        <w:rPr>
          <w:rFonts w:ascii="Arial" w:cs="Arial" w:eastAsia="Arial" w:hAnsi="Arial"/>
          <w:color w:val="15202B"/>
          <w:sz w:val="20"/>
          <w:szCs w:val="20"/>
        </w:rPr>
        <w:t xml:space="preserve">Un nouveau paramètre système plafond_paiement_en_ligne (Module Administration) fixe le montant maximal autorisé pour un paiement en ligne, modifiable par le Super Admin sans intervention technique.</w:t>
      </w:r>
    </w:p>
    <w:p>
      <w:pPr>
        <w:pStyle w:val="ListParagraph"/>
        <w:numPr>
          <w:ilvl w:val="0"/>
          <w:numId w:val="2"/>
        </w:numPr>
        <w:spacing w:after="70"/>
      </w:pPr>
      <w:r>
        <w:rPr>
          <w:sz w:val="1"/>
          <w:szCs w:val="1"/>
        </w:rPr>
        <w:t xml:space="preserve"/>
      </w:r>
      <w:r>
        <w:rPr>
          <w:rFonts w:ascii="Arial" w:cs="Arial" w:eastAsia="Arial" w:hAnsi="Arial"/>
          <w:color w:val="15202B"/>
          <w:sz w:val="20"/>
          <w:szCs w:val="20"/>
        </w:rPr>
        <w:t xml:space="preserve">Si le montant total de la commande dépasse ce plafond, le Module 1 ne propose plus le paiement en ligne : seuls le virement bancaire et le paiement en présentiel restent disponibles.</w:t>
      </w:r>
    </w:p>
    <w:p>
      <w:pPr>
        <w:pStyle w:val="ListParagraph"/>
        <w:numPr>
          <w:ilvl w:val="0"/>
          <w:numId w:val="2"/>
        </w:numPr>
        <w:spacing w:after="70"/>
      </w:pPr>
      <w:r>
        <w:rPr>
          <w:sz w:val="1"/>
          <w:szCs w:val="1"/>
        </w:rPr>
        <w:t xml:space="preserve"/>
      </w:r>
      <w:r>
        <w:rPr>
          <w:rFonts w:ascii="Arial" w:cs="Arial" w:eastAsia="Arial" w:hAnsi="Arial"/>
          <w:color w:val="15202B"/>
          <w:sz w:val="20"/>
          <w:szCs w:val="20"/>
        </w:rPr>
        <w:t xml:space="preserve">Le virement bancaire pour une commande à montant élevé est enregistré et validé selon le même circuit que le paiement en présentiel (saisie et validation par un agent CEBEVIRHA).</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F5C518" w:sz="4"/>
              <w:left w:val="single" w:color="F5C518" w:sz="24"/>
              <w:bottom w:val="single" w:color="F5C518" w:sz="4"/>
              <w:right w:val="single" w:color="F5C518" w:sz="4"/>
            </w:tcBorders>
            <w:shd w:fill="FDF6DC" w:val="clear"/>
            <w:tcMar>
              <w:top w:type="dxa" w:w="140"/>
              <w:left w:type="dxa" w:w="200"/>
              <w:bottom w:type="dxa" w:w="140"/>
              <w:right w:type="dxa" w:w="200"/>
            </w:tcMar>
          </w:tcPr>
          <w:p>
            <w:pPr>
              <w:spacing w:after="50"/>
            </w:pPr>
            <w:r>
              <w:rPr>
                <w:rFonts w:ascii="Arial" w:cs="Arial" w:eastAsia="Arial" w:hAnsi="Arial"/>
                <w:b/>
                <w:bCs/>
                <w:color w:val="8A6D00"/>
                <w:spacing w:val="8"/>
                <w:sz w:val="17"/>
                <w:szCs w:val="17"/>
              </w:rPr>
              <w:t xml:space="preserve">PRINCIPE : VALIDATION HUMAINE UNIQUEMENT POUR LE PRÉSENTIEL (ET LES MONTANTS ÉLEVÉS)</w:t>
            </w:r>
          </w:p>
          <w:p>
            <w:r>
              <w:rPr>
                <w:rFonts w:ascii="Arial" w:cs="Arial" w:eastAsia="Arial" w:hAnsi="Arial"/>
                <w:color w:val="15202B"/>
                <w:sz w:val="19"/>
                <w:szCs w:val="19"/>
              </w:rPr>
              <w:t xml:space="preserve">Le paiement en ligne est entièrement automatique : dès que CinetPay confirme la transaction (webhook signé), le reçu est généré et l'attribution se déclenche, sans intervention humaine. Le paiement en présentiel — y compris le virement bancaire pour les montants dépassant le plafond de paiement en ligne — n'a pas de confirmation technique d'un PSP : c'est la saisie et la validation par un agent CEBEVIRHA qui tient lieu de confirmation et déclenche à son tour la génération du reçu et l'attribution.</w:t>
            </w:r>
          </w:p>
        </w:tc>
      </w:tr>
    </w:tbl>
    <w:p>
      <w:pPr>
        <w:spacing w:after="160"/>
      </w:pPr>
    </w:p>
    <w:p>
      <w:pPr>
        <w:pBdr>
          <w:bottom w:val="single" w:color="F5C518" w:sz="8"/>
        </w:pBdr>
        <w:spacing w:after="120" w:before="220"/>
      </w:pPr>
      <w:r>
        <w:rPr>
          <w:rFonts w:ascii="Arial" w:cs="Arial" w:eastAsia="Arial" w:hAnsi="Arial"/>
          <w:b/>
          <w:bCs/>
          <w:color w:val="15202B"/>
          <w:sz w:val="22"/>
          <w:szCs w:val="22"/>
        </w:rPr>
        <w:t xml:space="preserve">Intégration du prestataire de paiement (PSP) — voie en ligne</w:t>
      </w:r>
    </w:p>
    <w:p>
      <w:pPr>
        <w:pStyle w:val="ListParagraph"/>
        <w:numPr>
          <w:ilvl w:val="0"/>
          <w:numId w:val="2"/>
        </w:numPr>
        <w:spacing w:after="70"/>
      </w:pPr>
      <w:r>
        <w:rPr>
          <w:sz w:val="1"/>
          <w:szCs w:val="1"/>
        </w:rPr>
        <w:t xml:space="preserve"/>
      </w:r>
      <w:r>
        <w:rPr>
          <w:rFonts w:ascii="Arial" w:cs="Arial" w:eastAsia="Arial" w:hAnsi="Arial"/>
          <w:color w:val="15202B"/>
          <w:sz w:val="20"/>
          <w:szCs w:val="20"/>
        </w:rPr>
        <w:t xml:space="preserve">Mobile Money (Airtel Money, Moov Money, Orange Money selon les pays), carte bancaire, virement — voir document « Prérequis pour un paiement en ligne sans incident ».</w:t>
      </w:r>
    </w:p>
    <w:p>
      <w:pPr>
        <w:pStyle w:val="ListParagraph"/>
        <w:numPr>
          <w:ilvl w:val="0"/>
          <w:numId w:val="2"/>
        </w:numPr>
        <w:spacing w:after="70"/>
      </w:pPr>
      <w:r>
        <w:rPr>
          <w:sz w:val="1"/>
          <w:szCs w:val="1"/>
        </w:rPr>
        <w:t xml:space="preserve"/>
      </w:r>
      <w:r>
        <w:rPr>
          <w:rFonts w:ascii="Arial" w:cs="Arial" w:eastAsia="Arial" w:hAnsi="Arial"/>
          <w:color w:val="15202B"/>
          <w:sz w:val="20"/>
          <w:szCs w:val="20"/>
        </w:rPr>
        <w:t xml:space="preserve">Page de paiement hébergée par le PSP : la plateforme PPB ne manipule jamais de données bancaires.</w:t>
      </w:r>
    </w:p>
    <w:p>
      <w:pPr>
        <w:pBdr>
          <w:bottom w:val="single" w:color="F5C518" w:sz="8"/>
        </w:pBdr>
        <w:spacing w:after="120" w:before="220"/>
      </w:pPr>
      <w:r>
        <w:rPr>
          <w:rFonts w:ascii="Arial" w:cs="Arial" w:eastAsia="Arial" w:hAnsi="Arial"/>
          <w:b/>
          <w:bCs/>
          <w:color w:val="15202B"/>
          <w:sz w:val="22"/>
          <w:szCs w:val="22"/>
        </w:rPr>
        <w:t xml:space="preserve">Workflow — paiement en ligne (automatique, sous plafond)</w:t>
      </w:r>
    </w:p>
    <w:p>
      <w:pPr>
        <w:pStyle w:val="ListParagraph"/>
        <w:numPr>
          <w:ilvl w:val="0"/>
          <w:numId w:val="4"/>
        </w:numPr>
        <w:spacing w:after="80"/>
      </w:pPr>
      <w:r>
        <w:rPr>
          <w:rFonts w:ascii="Arial" w:cs="Arial" w:eastAsia="Arial" w:hAnsi="Arial"/>
          <w:b/>
          <w:bCs/>
          <w:color w:val="15202B"/>
          <w:sz w:val="20"/>
          <w:szCs w:val="20"/>
        </w:rPr>
        <w:t xml:space="preserve">Vérification du plafond — </w:t>
      </w:r>
      <w:r>
        <w:rPr>
          <w:rFonts w:ascii="Arial" w:cs="Arial" w:eastAsia="Arial" w:hAnsi="Arial"/>
          <w:color w:val="15202B"/>
          <w:sz w:val="20"/>
          <w:szCs w:val="20"/>
        </w:rPr>
        <w:t xml:space="preserve">Le Module 1 vérifie que le montant total est inférieur au plafond de paiement en ligne avant de proposer cette option.</w:t>
      </w:r>
    </w:p>
    <w:p>
      <w:pPr>
        <w:pStyle w:val="ListParagraph"/>
        <w:numPr>
          <w:ilvl w:val="0"/>
          <w:numId w:val="4"/>
        </w:numPr>
        <w:spacing w:after="80"/>
      </w:pPr>
      <w:r>
        <w:rPr>
          <w:rFonts w:ascii="Arial" w:cs="Arial" w:eastAsia="Arial" w:hAnsi="Arial"/>
          <w:b/>
          <w:bCs/>
          <w:color w:val="15202B"/>
          <w:sz w:val="20"/>
          <w:szCs w:val="20"/>
        </w:rPr>
        <w:t xml:space="preserve">Initiation — </w:t>
      </w:r>
      <w:r>
        <w:rPr>
          <w:rFonts w:ascii="Arial" w:cs="Arial" w:eastAsia="Arial" w:hAnsi="Arial"/>
          <w:color w:val="15202B"/>
          <w:sz w:val="20"/>
          <w:szCs w:val="20"/>
        </w:rPr>
        <w:t xml:space="preserve">Le Ministère choisit son moyen de paiement ; une clé d’idempotence unique est générée côté serveur.</w:t>
      </w:r>
    </w:p>
    <w:p>
      <w:pPr>
        <w:pStyle w:val="ListParagraph"/>
        <w:numPr>
          <w:ilvl w:val="0"/>
          <w:numId w:val="4"/>
        </w:numPr>
        <w:spacing w:after="80"/>
      </w:pPr>
      <w:r>
        <w:rPr>
          <w:rFonts w:ascii="Arial" w:cs="Arial" w:eastAsia="Arial" w:hAnsi="Arial"/>
          <w:b/>
          <w:bCs/>
          <w:color w:val="15202B"/>
          <w:sz w:val="20"/>
          <w:szCs w:val="20"/>
        </w:rPr>
        <w:t xml:space="preserve">Redirection — </w:t>
      </w:r>
      <w:r>
        <w:rPr>
          <w:rFonts w:ascii="Arial" w:cs="Arial" w:eastAsia="Arial" w:hAnsi="Arial"/>
          <w:color w:val="15202B"/>
          <w:sz w:val="20"/>
          <w:szCs w:val="20"/>
        </w:rPr>
        <w:t xml:space="preserve">L’utilisateur est redirigé vers la page hébergée du PSP.</w:t>
      </w:r>
    </w:p>
    <w:p>
      <w:pPr>
        <w:pStyle w:val="ListParagraph"/>
        <w:numPr>
          <w:ilvl w:val="0"/>
          <w:numId w:val="4"/>
        </w:numPr>
        <w:spacing w:after="80"/>
      </w:pPr>
      <w:r>
        <w:rPr>
          <w:rFonts w:ascii="Arial" w:cs="Arial" w:eastAsia="Arial" w:hAnsi="Arial"/>
          <w:b/>
          <w:bCs/>
          <w:color w:val="15202B"/>
          <w:sz w:val="20"/>
          <w:szCs w:val="20"/>
        </w:rPr>
        <w:t xml:space="preserve">Webhook de confirmation — </w:t>
      </w:r>
      <w:r>
        <w:rPr>
          <w:rFonts w:ascii="Arial" w:cs="Arial" w:eastAsia="Arial" w:hAnsi="Arial"/>
          <w:color w:val="15202B"/>
          <w:sz w:val="20"/>
          <w:szCs w:val="20"/>
        </w:rPr>
        <w:t xml:space="preserve">Le PSP notifie la plateforme (signature HMAC vérifiée) dès confirmation ou échec.</w:t>
      </w:r>
    </w:p>
    <w:p>
      <w:pPr>
        <w:pStyle w:val="ListParagraph"/>
        <w:numPr>
          <w:ilvl w:val="0"/>
          <w:numId w:val="4"/>
        </w:numPr>
        <w:spacing w:after="80"/>
      </w:pPr>
      <w:r>
        <w:rPr>
          <w:rFonts w:ascii="Arial" w:cs="Arial" w:eastAsia="Arial" w:hAnsi="Arial"/>
          <w:b/>
          <w:bCs/>
          <w:color w:val="15202B"/>
          <w:sz w:val="20"/>
          <w:szCs w:val="20"/>
        </w:rPr>
        <w:t xml:space="preserve">Réconciliation active — </w:t>
      </w:r>
      <w:r>
        <w:rPr>
          <w:rFonts w:ascii="Arial" w:cs="Arial" w:eastAsia="Arial" w:hAnsi="Arial"/>
          <w:color w:val="15202B"/>
          <w:sz w:val="20"/>
          <w:szCs w:val="20"/>
        </w:rPr>
        <w:t xml:space="preserve">Une tâche planifiée interroge le PSP toutes les 5 minutes en cas de webhook manquant.</w:t>
      </w:r>
    </w:p>
    <w:p>
      <w:pPr>
        <w:pStyle w:val="ListParagraph"/>
        <w:numPr>
          <w:ilvl w:val="0"/>
          <w:numId w:val="4"/>
        </w:numPr>
        <w:spacing w:after="80"/>
      </w:pPr>
      <w:r>
        <w:rPr>
          <w:rFonts w:ascii="Arial" w:cs="Arial" w:eastAsia="Arial" w:hAnsi="Arial"/>
          <w:b/>
          <w:bCs/>
          <w:color w:val="15202B"/>
          <w:sz w:val="20"/>
          <w:szCs w:val="20"/>
        </w:rPr>
        <w:t xml:space="preserve">Déclenchement automatique — </w:t>
      </w:r>
      <w:r>
        <w:rPr>
          <w:rFonts w:ascii="Arial" w:cs="Arial" w:eastAsia="Arial" w:hAnsi="Arial"/>
          <w:color w:val="15202B"/>
          <w:sz w:val="20"/>
          <w:szCs w:val="20"/>
        </w:rPr>
        <w:t xml:space="preserve">Dès réception du webhook confirmé, le paiement passe directement au statut « validé » : le reçu de paiement est généré automatiquement et l’attribution (Module 3) se déclenche — aucune validation humaine n’est nécessaire.</w:t>
      </w:r>
    </w:p>
    <w:p>
      <w:pPr>
        <w:pBdr>
          <w:bottom w:val="single" w:color="F5C518" w:sz="8"/>
        </w:pBdr>
        <w:spacing w:after="120" w:before="220"/>
      </w:pPr>
      <w:r>
        <w:rPr>
          <w:rFonts w:ascii="Arial" w:cs="Arial" w:eastAsia="Arial" w:hAnsi="Arial"/>
          <w:b/>
          <w:bCs/>
          <w:color w:val="15202B"/>
          <w:sz w:val="22"/>
          <w:szCs w:val="22"/>
        </w:rPr>
        <w:t xml:space="preserve">Workflow — paiement en présentiel ou virement bancaire (validation agent obligatoire)</w:t>
      </w:r>
    </w:p>
    <w:p>
      <w:pPr>
        <w:pStyle w:val="ListParagraph"/>
        <w:numPr>
          <w:ilvl w:val="0"/>
          <w:numId w:val="5"/>
        </w:numPr>
        <w:spacing w:after="80"/>
      </w:pPr>
      <w:r>
        <w:rPr>
          <w:rFonts w:ascii="Arial" w:cs="Arial" w:eastAsia="Arial" w:hAnsi="Arial"/>
          <w:b/>
          <w:bCs/>
          <w:color w:val="15202B"/>
          <w:sz w:val="20"/>
          <w:szCs w:val="20"/>
        </w:rPr>
        <w:t xml:space="preserve">Paiement physique ou virement — </w:t>
      </w:r>
      <w:r>
        <w:rPr>
          <w:rFonts w:ascii="Arial" w:cs="Arial" w:eastAsia="Arial" w:hAnsi="Arial"/>
          <w:color w:val="15202B"/>
          <w:sz w:val="20"/>
          <w:szCs w:val="20"/>
        </w:rPr>
        <w:t xml:space="preserve">Le demandeur se présente au siège CEBEVIRHA (espèces, chèque) ou effectue un virement bancaire — obligatoire au-delà du plafond de paiement en ligne.</w:t>
      </w:r>
    </w:p>
    <w:p>
      <w:pPr>
        <w:pStyle w:val="ListParagraph"/>
        <w:numPr>
          <w:ilvl w:val="0"/>
          <w:numId w:val="5"/>
        </w:numPr>
        <w:spacing w:after="80"/>
      </w:pPr>
      <w:r>
        <w:rPr>
          <w:rFonts w:ascii="Arial" w:cs="Arial" w:eastAsia="Arial" w:hAnsi="Arial"/>
          <w:b/>
          <w:bCs/>
          <w:color w:val="15202B"/>
          <w:sz w:val="20"/>
          <w:szCs w:val="20"/>
        </w:rPr>
        <w:t xml:space="preserve">Saisie par l’agent — </w:t>
      </w:r>
      <w:r>
        <w:rPr>
          <w:rFonts w:ascii="Arial" w:cs="Arial" w:eastAsia="Arial" w:hAnsi="Arial"/>
          <w:color w:val="15202B"/>
          <w:sz w:val="20"/>
          <w:szCs w:val="20"/>
        </w:rPr>
        <w:t xml:space="preserve">Un agent CEBEVIRHA se connecte à la plateforme et saisit le paiement reçu (montant, moyen : espèces, chèque, virement bancaire).</w:t>
      </w:r>
    </w:p>
    <w:p>
      <w:pPr>
        <w:pStyle w:val="ListParagraph"/>
        <w:numPr>
          <w:ilvl w:val="0"/>
          <w:numId w:val="5"/>
        </w:numPr>
        <w:spacing w:after="80"/>
      </w:pPr>
      <w:r>
        <w:rPr>
          <w:rFonts w:ascii="Arial" w:cs="Arial" w:eastAsia="Arial" w:hAnsi="Arial"/>
          <w:b/>
          <w:bCs/>
          <w:color w:val="15202B"/>
          <w:sz w:val="20"/>
          <w:szCs w:val="20"/>
        </w:rPr>
        <w:t xml:space="preserve">Validation par l’agent CEBEVIRHA — </w:t>
      </w:r>
      <w:r>
        <w:rPr>
          <w:rFonts w:ascii="Arial" w:cs="Arial" w:eastAsia="Arial" w:hAnsi="Arial"/>
          <w:color w:val="15202B"/>
          <w:sz w:val="20"/>
          <w:szCs w:val="20"/>
        </w:rPr>
        <w:t xml:space="preserve">L’agent valide le paiement saisi ; il n’y a pas de confirmation PSP intermédiaire, la validation de l’agent est le seul et unique déclencheur.</w:t>
      </w:r>
    </w:p>
    <w:p>
      <w:pPr>
        <w:pStyle w:val="ListParagraph"/>
        <w:numPr>
          <w:ilvl w:val="0"/>
          <w:numId w:val="5"/>
        </w:numPr>
        <w:spacing w:after="80"/>
      </w:pPr>
      <w:r>
        <w:rPr>
          <w:rFonts w:ascii="Arial" w:cs="Arial" w:eastAsia="Arial" w:hAnsi="Arial"/>
          <w:b/>
          <w:bCs/>
          <w:color w:val="15202B"/>
          <w:sz w:val="20"/>
          <w:szCs w:val="20"/>
        </w:rPr>
        <w:t xml:space="preserve">Génération du reçu et déclenchement — </w:t>
      </w:r>
      <w:r>
        <w:rPr>
          <w:rFonts w:ascii="Arial" w:cs="Arial" w:eastAsia="Arial" w:hAnsi="Arial"/>
          <w:color w:val="15202B"/>
          <w:sz w:val="20"/>
          <w:szCs w:val="20"/>
        </w:rPr>
        <w:t xml:space="preserve">Le reçu de paiement est généré automatiquement et le paiement passe au statut « validé », déclenchant l’attribution (Module 3).</w:t>
      </w:r>
    </w:p>
    <w:p>
      <w:pPr>
        <w:pStyle w:val="ListParagraph"/>
        <w:numPr>
          <w:ilvl w:val="0"/>
          <w:numId w:val="5"/>
        </w:numPr>
        <w:spacing w:after="80"/>
      </w:pPr>
      <w:r>
        <w:rPr>
          <w:rFonts w:ascii="Arial" w:cs="Arial" w:eastAsia="Arial" w:hAnsi="Arial"/>
          <w:b/>
          <w:bCs/>
          <w:color w:val="15202B"/>
          <w:sz w:val="20"/>
          <w:szCs w:val="20"/>
        </w:rPr>
        <w:t xml:space="preserve">Remise du reçu — </w:t>
      </w:r>
      <w:r>
        <w:rPr>
          <w:rFonts w:ascii="Arial" w:cs="Arial" w:eastAsia="Arial" w:hAnsi="Arial"/>
          <w:color w:val="15202B"/>
          <w:sz w:val="20"/>
          <w:szCs w:val="20"/>
        </w:rPr>
        <w:t xml:space="preserve">L’agent télécharge le reçu (PDF), en conserve une copie dans ses archives, et remet le reçu (imprimé ou transmis) au demandeur.</w:t>
      </w:r>
    </w:p>
    <w:p>
      <w:pPr>
        <w:pBdr>
          <w:bottom w:val="single" w:color="F5C518" w:sz="8"/>
        </w:pBdr>
        <w:spacing w:after="120" w:before="220"/>
      </w:pPr>
      <w:r>
        <w:rPr>
          <w:rFonts w:ascii="Arial" w:cs="Arial" w:eastAsia="Arial" w:hAnsi="Arial"/>
          <w:b/>
          <w:bCs/>
          <w:color w:val="15202B"/>
          <w:sz w:val="22"/>
          <w:szCs w:val="22"/>
        </w:rPr>
        <w:t xml:space="preserve">Endpoints API</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3600"/>
        <w:gridCol w:w="5006"/>
      </w:tblGrid>
      <w:tr>
        <w:tc>
          <w:tcPr>
            <w:tcW w:type="dxa" w:w="1300"/>
            <w:tcBorders>
              <w:top w:val="single" w:color="1E3A6E" w:sz="4"/>
              <w:left w:val="single" w:color="1E3A6E" w:sz="4"/>
              <w:bottom w:val="single" w:color="1E3A6E" w:sz="4"/>
              <w:right w:val="single" w:color="1E3A6E" w:sz="4"/>
            </w:tcBorders>
            <w:shd w:fill="1E3A6E" w:val="clear"/>
            <w:tcMar>
              <w:top w:type="dxa" w:w="80"/>
              <w:left w:type="dxa" w:w="110"/>
              <w:bottom w:type="dxa" w:w="80"/>
              <w:right w:type="dxa" w:w="110"/>
            </w:tcMar>
          </w:tcPr>
          <w:p>
            <w:r>
              <w:rPr>
                <w:rFonts w:ascii="Arial" w:cs="Arial" w:eastAsia="Arial" w:hAnsi="Arial"/>
                <w:b/>
                <w:bCs/>
                <w:color w:val="FFFFFF"/>
                <w:sz w:val="17"/>
                <w:szCs w:val="17"/>
              </w:rPr>
              <w:t xml:space="preserve">Méthode</w:t>
            </w:r>
          </w:p>
        </w:tc>
        <w:tc>
          <w:tcPr>
            <w:tcW w:type="dxa" w:w="3600"/>
            <w:tcBorders>
              <w:top w:val="single" w:color="1E3A6E" w:sz="4"/>
              <w:left w:val="single" w:color="1E3A6E" w:sz="4"/>
              <w:bottom w:val="single" w:color="1E3A6E" w:sz="4"/>
              <w:right w:val="single" w:color="1E3A6E" w:sz="4"/>
            </w:tcBorders>
            <w:shd w:fill="1E3A6E" w:val="clear"/>
            <w:tcMar>
              <w:top w:type="dxa" w:w="80"/>
              <w:left w:type="dxa" w:w="110"/>
              <w:bottom w:type="dxa" w:w="80"/>
              <w:right w:type="dxa" w:w="110"/>
            </w:tcMar>
          </w:tcPr>
          <w:p>
            <w:r>
              <w:rPr>
                <w:rFonts w:ascii="Arial" w:cs="Arial" w:eastAsia="Arial" w:hAnsi="Arial"/>
                <w:b/>
                <w:bCs/>
                <w:color w:val="FFFFFF"/>
                <w:sz w:val="17"/>
                <w:szCs w:val="17"/>
              </w:rPr>
              <w:t xml:space="preserve">Endpoint</w:t>
            </w:r>
          </w:p>
        </w:tc>
        <w:tc>
          <w:tcPr>
            <w:tcW w:type="dxa" w:w="5006"/>
            <w:tcBorders>
              <w:top w:val="single" w:color="1E3A6E" w:sz="4"/>
              <w:left w:val="single" w:color="1E3A6E" w:sz="4"/>
              <w:bottom w:val="single" w:color="1E3A6E" w:sz="4"/>
              <w:right w:val="single" w:color="1E3A6E" w:sz="4"/>
            </w:tcBorders>
            <w:shd w:fill="1E3A6E" w:val="clear"/>
            <w:tcMar>
              <w:top w:type="dxa" w:w="80"/>
              <w:left w:type="dxa" w:w="110"/>
              <w:bottom w:type="dxa" w:w="80"/>
              <w:right w:type="dxa" w:w="110"/>
            </w:tcMar>
          </w:tcPr>
          <w:p>
            <w:r>
              <w:rPr>
                <w:rFonts w:ascii="Arial" w:cs="Arial" w:eastAsia="Arial" w:hAnsi="Arial"/>
                <w:b/>
                <w:bCs/>
                <w:color w:val="FFFFFF"/>
                <w:sz w:val="17"/>
                <w:szCs w:val="17"/>
              </w:rPr>
              <w:t xml:space="preserve">Description</w:t>
            </w:r>
          </w:p>
        </w:tc>
      </w:tr>
      <w:tr>
        <w:tc>
          <w:tcPr>
            <w:tcW w:type="dxa" w:w="13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Consolas" w:cs="Consolas" w:eastAsia="Consolas" w:hAnsi="Consolas"/>
                <w:b/>
                <w:bCs/>
                <w:color w:val="0B6B3A"/>
                <w:sz w:val="16"/>
                <w:szCs w:val="16"/>
              </w:rPr>
              <w:t xml:space="preserve">GET</w:t>
            </w:r>
          </w:p>
        </w:tc>
        <w:tc>
          <w:tcPr>
            <w:tcW w:type="dxa" w:w="36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Consolas" w:cs="Consolas" w:eastAsia="Consolas" w:hAnsi="Consolas"/>
                <w:color w:val="15202B"/>
                <w:sz w:val="16"/>
                <w:szCs w:val="16"/>
              </w:rPr>
              <w:t xml:space="preserve">/api/v1/commandes/{id}/moyens-disponibles</w:t>
            </w:r>
          </w:p>
        </w:tc>
        <w:tc>
          <w:tcPr>
            <w:tcW w:type="dxa" w:w="50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color w:val="15202B"/>
                <w:sz w:val="16"/>
                <w:szCs w:val="16"/>
              </w:rPr>
              <w:t xml:space="preserve">Lister les moyens de paiement éligibles selon le montant (plafond)</w:t>
            </w:r>
          </w:p>
        </w:tc>
      </w:tr>
      <w:tr>
        <w:tc>
          <w:tcPr>
            <w:tcW w:type="dxa" w:w="13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Consolas" w:cs="Consolas" w:eastAsia="Consolas" w:hAnsi="Consolas"/>
                <w:b/>
                <w:bCs/>
                <w:color w:val="1E3A6E"/>
                <w:sz w:val="16"/>
                <w:szCs w:val="16"/>
              </w:rPr>
              <w:t xml:space="preserve">POST</w:t>
            </w:r>
          </w:p>
        </w:tc>
        <w:tc>
          <w:tcPr>
            <w:tcW w:type="dxa" w:w="36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Consolas" w:cs="Consolas" w:eastAsia="Consolas" w:hAnsi="Consolas"/>
                <w:color w:val="15202B"/>
                <w:sz w:val="16"/>
                <w:szCs w:val="16"/>
              </w:rPr>
              <w:t xml:space="preserve">/api/v1/paiements/initier</w:t>
            </w:r>
          </w:p>
        </w:tc>
        <w:tc>
          <w:tcPr>
            <w:tcW w:type="dxa" w:w="50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color w:val="15202B"/>
                <w:sz w:val="16"/>
                <w:szCs w:val="16"/>
              </w:rPr>
              <w:t xml:space="preserve">Initier un paiement en ligne pour une commande (refusé si montant &gt; plafond)</w:t>
            </w:r>
          </w:p>
        </w:tc>
      </w:tr>
      <w:tr>
        <w:tc>
          <w:tcPr>
            <w:tcW w:type="dxa" w:w="13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Consolas" w:cs="Consolas" w:eastAsia="Consolas" w:hAnsi="Consolas"/>
                <w:b/>
                <w:bCs/>
                <w:color w:val="1E3A6E"/>
                <w:sz w:val="16"/>
                <w:szCs w:val="16"/>
              </w:rPr>
              <w:t xml:space="preserve">POST</w:t>
            </w:r>
          </w:p>
        </w:tc>
        <w:tc>
          <w:tcPr>
            <w:tcW w:type="dxa" w:w="36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Consolas" w:cs="Consolas" w:eastAsia="Consolas" w:hAnsi="Consolas"/>
                <w:color w:val="15202B"/>
                <w:sz w:val="16"/>
                <w:szCs w:val="16"/>
              </w:rPr>
              <w:t xml:space="preserve">/api/v1/paiements/webhook</w:t>
            </w:r>
          </w:p>
        </w:tc>
        <w:tc>
          <w:tcPr>
            <w:tcW w:type="dxa" w:w="50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color w:val="15202B"/>
                <w:sz w:val="16"/>
                <w:szCs w:val="16"/>
              </w:rPr>
              <w:t xml:space="preserve">Callback signé du PSP — déclenche automatiquement reçu + attribution</w:t>
            </w:r>
          </w:p>
        </w:tc>
      </w:tr>
      <w:tr>
        <w:tc>
          <w:tcPr>
            <w:tcW w:type="dxa" w:w="13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Consolas" w:cs="Consolas" w:eastAsia="Consolas" w:hAnsi="Consolas"/>
                <w:b/>
                <w:bCs/>
                <w:color w:val="1E3A6E"/>
                <w:sz w:val="16"/>
                <w:szCs w:val="16"/>
              </w:rPr>
              <w:t xml:space="preserve">POST</w:t>
            </w:r>
          </w:p>
        </w:tc>
        <w:tc>
          <w:tcPr>
            <w:tcW w:type="dxa" w:w="36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Consolas" w:cs="Consolas" w:eastAsia="Consolas" w:hAnsi="Consolas"/>
                <w:color w:val="15202B"/>
                <w:sz w:val="16"/>
                <w:szCs w:val="16"/>
              </w:rPr>
              <w:t xml:space="preserve">/api/v1/paiements/presentiel</w:t>
            </w:r>
          </w:p>
        </w:tc>
        <w:tc>
          <w:tcPr>
            <w:tcW w:type="dxa" w:w="50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color w:val="15202B"/>
                <w:sz w:val="16"/>
                <w:szCs w:val="16"/>
              </w:rPr>
              <w:t xml:space="preserve">Enregistrer un paiement reçu en présentiel ou par virement (agent CEBEVIRHA)</w:t>
            </w:r>
          </w:p>
        </w:tc>
      </w:tr>
      <w:tr>
        <w:tc>
          <w:tcPr>
            <w:tcW w:type="dxa" w:w="13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Consolas" w:cs="Consolas" w:eastAsia="Consolas" w:hAnsi="Consolas"/>
                <w:b/>
                <w:bCs/>
                <w:color w:val="1E3A6E"/>
                <w:sz w:val="16"/>
                <w:szCs w:val="16"/>
              </w:rPr>
              <w:t xml:space="preserve">POST</w:t>
            </w:r>
          </w:p>
        </w:tc>
        <w:tc>
          <w:tcPr>
            <w:tcW w:type="dxa" w:w="36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Consolas" w:cs="Consolas" w:eastAsia="Consolas" w:hAnsi="Consolas"/>
                <w:color w:val="15202B"/>
                <w:sz w:val="16"/>
                <w:szCs w:val="16"/>
              </w:rPr>
              <w:t xml:space="preserve">/api/v1/paiements/{id}/valider</w:t>
            </w:r>
          </w:p>
        </w:tc>
        <w:tc>
          <w:tcPr>
            <w:tcW w:type="dxa" w:w="50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color w:val="15202B"/>
                <w:sz w:val="16"/>
                <w:szCs w:val="16"/>
              </w:rPr>
              <w:t xml:space="preserve">Valider un paiement présentiel/virement — rôle agent CEBEVIRHA, déclenche l’attribution</w:t>
            </w:r>
          </w:p>
        </w:tc>
      </w:tr>
      <w:tr>
        <w:tc>
          <w:tcPr>
            <w:tcW w:type="dxa" w:w="13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Consolas" w:cs="Consolas" w:eastAsia="Consolas" w:hAnsi="Consolas"/>
                <w:b/>
                <w:bCs/>
                <w:color w:val="0B6B3A"/>
                <w:sz w:val="16"/>
                <w:szCs w:val="16"/>
              </w:rPr>
              <w:t xml:space="preserve">GET</w:t>
            </w:r>
          </w:p>
        </w:tc>
        <w:tc>
          <w:tcPr>
            <w:tcW w:type="dxa" w:w="36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Consolas" w:cs="Consolas" w:eastAsia="Consolas" w:hAnsi="Consolas"/>
                <w:color w:val="15202B"/>
                <w:sz w:val="16"/>
                <w:szCs w:val="16"/>
              </w:rPr>
              <w:t xml:space="preserve">/api/v1/paiements/{id}/recu</w:t>
            </w:r>
          </w:p>
        </w:tc>
        <w:tc>
          <w:tcPr>
            <w:tcW w:type="dxa" w:w="50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color w:val="15202B"/>
                <w:sz w:val="16"/>
                <w:szCs w:val="16"/>
              </w:rPr>
              <w:t xml:space="preserve">Télécharger le reçu de paiement au format PDF</w:t>
            </w:r>
          </w:p>
        </w:tc>
      </w:tr>
      <w:tr>
        <w:tc>
          <w:tcPr>
            <w:tcW w:type="dxa" w:w="13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Consolas" w:cs="Consolas" w:eastAsia="Consolas" w:hAnsi="Consolas"/>
                <w:b/>
                <w:bCs/>
                <w:color w:val="0B6B3A"/>
                <w:sz w:val="16"/>
                <w:szCs w:val="16"/>
              </w:rPr>
              <w:t xml:space="preserve">GET</w:t>
            </w:r>
          </w:p>
        </w:tc>
        <w:tc>
          <w:tcPr>
            <w:tcW w:type="dxa" w:w="36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Consolas" w:cs="Consolas" w:eastAsia="Consolas" w:hAnsi="Consolas"/>
                <w:color w:val="15202B"/>
                <w:sz w:val="16"/>
                <w:szCs w:val="16"/>
              </w:rPr>
              <w:t xml:space="preserve">/api/v1/paiements/{id}/statut</w:t>
            </w:r>
          </w:p>
        </w:tc>
        <w:tc>
          <w:tcPr>
            <w:tcW w:type="dxa" w:w="50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color w:val="15202B"/>
                <w:sz w:val="16"/>
                <w:szCs w:val="16"/>
              </w:rPr>
              <w:t xml:space="preserve">Consulter le statut d’un paiement</w:t>
            </w:r>
          </w:p>
        </w:tc>
      </w:tr>
      <w:tr>
        <w:tc>
          <w:tcPr>
            <w:tcW w:type="dxa" w:w="13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Consolas" w:cs="Consolas" w:eastAsia="Consolas" w:hAnsi="Consolas"/>
                <w:b/>
                <w:bCs/>
                <w:color w:val="1E3A6E"/>
                <w:sz w:val="16"/>
                <w:szCs w:val="16"/>
              </w:rPr>
              <w:t xml:space="preserve">POST</w:t>
            </w:r>
          </w:p>
        </w:tc>
        <w:tc>
          <w:tcPr>
            <w:tcW w:type="dxa" w:w="36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Consolas" w:cs="Consolas" w:eastAsia="Consolas" w:hAnsi="Consolas"/>
                <w:color w:val="15202B"/>
                <w:sz w:val="16"/>
                <w:szCs w:val="16"/>
              </w:rPr>
              <w:t xml:space="preserve">/api/v1/paiements/{id}/rembourser</w:t>
            </w:r>
          </w:p>
        </w:tc>
        <w:tc>
          <w:tcPr>
            <w:tcW w:type="dxa" w:w="50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color w:val="15202B"/>
                <w:sz w:val="16"/>
                <w:szCs w:val="16"/>
              </w:rPr>
              <w:t xml:space="preserve">Initier un remboursement (rôle Super Admin)</w:t>
            </w:r>
          </w:p>
        </w:tc>
      </w:tr>
    </w:tbl>
    <w:p>
      <w:pPr>
        <w:pBdr>
          <w:bottom w:val="single" w:color="F5C518" w:sz="8"/>
        </w:pBdr>
        <w:spacing w:after="120" w:before="220"/>
      </w:pPr>
      <w:r>
        <w:rPr>
          <w:rFonts w:ascii="Arial" w:cs="Arial" w:eastAsia="Arial" w:hAnsi="Arial"/>
          <w:b/>
          <w:bCs/>
          <w:color w:val="15202B"/>
          <w:sz w:val="22"/>
          <w:szCs w:val="22"/>
        </w:rPr>
        <w:t xml:space="preserve">Sécurité et traçabilité</w:t>
      </w:r>
    </w:p>
    <w:p>
      <w:pPr>
        <w:pStyle w:val="ListParagraph"/>
        <w:numPr>
          <w:ilvl w:val="0"/>
          <w:numId w:val="2"/>
        </w:numPr>
        <w:spacing w:after="70"/>
      </w:pPr>
      <w:r>
        <w:rPr>
          <w:sz w:val="1"/>
          <w:szCs w:val="1"/>
        </w:rPr>
        <w:t xml:space="preserve"/>
      </w:r>
      <w:r>
        <w:rPr>
          <w:rFonts w:ascii="Arial" w:cs="Arial" w:eastAsia="Arial" w:hAnsi="Arial"/>
          <w:color w:val="15202B"/>
          <w:sz w:val="20"/>
          <w:szCs w:val="20"/>
        </w:rPr>
        <w:t xml:space="preserve">Idempotence obligatoire sur toute tentative de paiement en ligne (aucun double débit).</w:t>
      </w:r>
    </w:p>
    <w:p>
      <w:pPr>
        <w:pStyle w:val="ListParagraph"/>
        <w:numPr>
          <w:ilvl w:val="0"/>
          <w:numId w:val="2"/>
        </w:numPr>
        <w:spacing w:after="70"/>
      </w:pPr>
      <w:r>
        <w:rPr>
          <w:sz w:val="1"/>
          <w:szCs w:val="1"/>
        </w:rPr>
        <w:t xml:space="preserve"/>
      </w:r>
      <w:r>
        <w:rPr>
          <w:rFonts w:ascii="Arial" w:cs="Arial" w:eastAsia="Arial" w:hAnsi="Arial"/>
          <w:color w:val="15202B"/>
          <w:sz w:val="20"/>
          <w:szCs w:val="20"/>
        </w:rPr>
        <w:t xml:space="preserve">Aucune donnée de carte bancaire stockée (hors périmètre PCI-DSS).</w:t>
      </w:r>
    </w:p>
    <w:p>
      <w:pPr>
        <w:pStyle w:val="ListParagraph"/>
        <w:numPr>
          <w:ilvl w:val="0"/>
          <w:numId w:val="2"/>
        </w:numPr>
        <w:spacing w:after="70"/>
      </w:pPr>
      <w:r>
        <w:rPr>
          <w:sz w:val="1"/>
          <w:szCs w:val="1"/>
        </w:rPr>
        <w:t xml:space="preserve"/>
      </w:r>
      <w:r>
        <w:rPr>
          <w:rFonts w:ascii="Arial" w:cs="Arial" w:eastAsia="Arial" w:hAnsi="Arial"/>
          <w:color w:val="15202B"/>
          <w:sz w:val="20"/>
          <w:szCs w:val="20"/>
        </w:rPr>
        <w:t xml:space="preserve">Chaque validation d’agent en présentiel est journalisée : identité de l’agent, horodatage, montant et moyen de paiement.</w:t>
      </w:r>
    </w:p>
    <w:p>
      <w:pPr>
        <w:pStyle w:val="ListParagraph"/>
        <w:numPr>
          <w:ilvl w:val="0"/>
          <w:numId w:val="2"/>
        </w:numPr>
        <w:spacing w:after="70"/>
      </w:pPr>
      <w:r>
        <w:rPr>
          <w:sz w:val="1"/>
          <w:szCs w:val="1"/>
        </w:rPr>
        <w:t xml:space="preserve"/>
      </w:r>
      <w:r>
        <w:rPr>
          <w:rFonts w:ascii="Arial" w:cs="Arial" w:eastAsia="Arial" w:hAnsi="Arial"/>
          <w:color w:val="15202B"/>
          <w:sz w:val="20"/>
          <w:szCs w:val="20"/>
        </w:rPr>
        <w:t xml:space="preserve">Le reçu de paiement porte un numéro unique, la référence de la commande et le mode de paiement — l’identité de l’agent validateur y figure pour le présentiel.</w:t>
      </w:r>
    </w:p>
    <w:p>
      <w:pPr>
        <w:pStyle w:val="ListParagraph"/>
        <w:numPr>
          <w:ilvl w:val="0"/>
          <w:numId w:val="2"/>
        </w:numPr>
        <w:spacing w:after="70"/>
      </w:pPr>
      <w:r>
        <w:rPr>
          <w:sz w:val="1"/>
          <w:szCs w:val="1"/>
        </w:rPr>
        <w:t xml:space="preserve"/>
      </w:r>
      <w:r>
        <w:rPr>
          <w:rFonts w:ascii="Arial" w:cs="Arial" w:eastAsia="Arial" w:hAnsi="Arial"/>
          <w:color w:val="15202B"/>
          <w:sz w:val="20"/>
          <w:szCs w:val="20"/>
        </w:rPr>
        <w:t xml:space="preserve">Le plafond de paiement en ligne est revérifié côté backend à l’initiation du paiement, indépendamment du frontend, pour empêcher tout contournement.</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6406"/>
        <w:gridCol w:w="2600"/>
      </w:tblGrid>
      <w:tr>
        <w:tc>
          <w:tcPr>
            <w:tcW w:type="dxa" w:w="900"/>
            <w:tcBorders>
              <w:top w:val="single" w:color="1E3A6E" w:sz="4"/>
              <w:left w:val="single" w:color="1E3A6E" w:sz="4"/>
              <w:bottom w:val="single" w:color="1E3A6E" w:sz="4"/>
              <w:right w:val="single" w:color="1E3A6E" w:sz="4"/>
            </w:tcBorders>
            <w:shd w:fill="1E3A6E"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M3</w:t>
            </w:r>
          </w:p>
        </w:tc>
        <w:tc>
          <w:tcPr>
            <w:tcW w:type="dxa" w:w="6406"/>
            <w:tcBorders>
              <w:top w:val="single" w:color="E8E4DA" w:sz="4"/>
              <w:left w:val="single" w:color="E8E4DA" w:sz="4"/>
              <w:bottom w:val="single" w:color="E8E4DA" w:sz="4"/>
              <w:right w:val="single" w:color="E8E4DA" w:sz="4"/>
            </w:tcBorders>
            <w:tcMar>
              <w:top w:type="dxa" w:w="100"/>
              <w:left w:type="dxa" w:w="160"/>
              <w:bottom w:type="dxa" w:w="100"/>
              <w:right w:type="dxa" w:w="100"/>
            </w:tcMar>
            <w:vAlign w:val="center"/>
          </w:tcPr>
          <w:p>
            <w:r>
              <w:rPr>
                <w:rFonts w:ascii="Arial" w:cs="Arial" w:eastAsia="Arial" w:hAnsi="Arial"/>
                <w:b/>
                <w:bCs/>
                <w:color w:val="15202B"/>
                <w:sz w:val="24"/>
                <w:szCs w:val="24"/>
              </w:rPr>
              <w:t xml:space="preserve">Impression</w:t>
            </w:r>
          </w:p>
        </w:tc>
        <w:tc>
          <w:tcPr>
            <w:tcW w:type="dxa" w:w="2600"/>
            <w:tcBorders>
              <w:top w:val="single" w:color="F5C518" w:sz="4"/>
              <w:left w:val="single" w:color="F5C518" w:sz="4"/>
              <w:bottom w:val="single" w:color="F5C518" w:sz="4"/>
              <w:right w:val="single" w:color="F5C518" w:sz="4"/>
            </w:tcBorders>
            <w:shd w:fill="F5C518" w:val="clear"/>
            <w:tcMar>
              <w:top w:type="dxa" w:w="100"/>
              <w:left w:type="dxa" w:w="100"/>
              <w:bottom w:type="dxa" w:w="100"/>
              <w:right w:type="dxa" w:w="100"/>
            </w:tcMar>
            <w:vAlign w:val="center"/>
          </w:tcPr>
          <w:p>
            <w:pPr>
              <w:jc w:val="center"/>
            </w:pPr>
            <w:r>
              <w:rPr>
                <w:rFonts w:ascii="Arial" w:cs="Arial" w:eastAsia="Arial" w:hAnsi="Arial"/>
                <w:b/>
                <w:bCs/>
                <w:color w:val="15202B"/>
                <w:sz w:val="16"/>
                <w:szCs w:val="16"/>
              </w:rPr>
              <w:t xml:space="preserve">CENTRALISÉE / DÉCENTRALISÉE</w:t>
            </w:r>
          </w:p>
        </w:tc>
      </w:tr>
    </w:tbl>
    <w:p>
      <w:pPr>
        <w:spacing w:after="140"/>
      </w:pPr>
    </w:p>
    <w:p>
      <w:pPr>
        <w:pBdr>
          <w:bottom w:val="single" w:color="F5C518" w:sz="8"/>
        </w:pBdr>
        <w:spacing w:after="120" w:before="220"/>
      </w:pPr>
      <w:r>
        <w:rPr>
          <w:rFonts w:ascii="Arial" w:cs="Arial" w:eastAsia="Arial" w:hAnsi="Arial"/>
          <w:b/>
          <w:bCs/>
          <w:color w:val="15202B"/>
          <w:sz w:val="22"/>
          <w:szCs w:val="22"/>
        </w:rPr>
        <w:t xml:space="preserve">Objectif</w:t>
      </w:r>
    </w:p>
    <w:p>
      <w:pPr>
        <w:spacing w:after="130"/>
      </w:pPr>
      <w:r>
        <w:rPr>
          <w:rFonts w:ascii="Arial" w:cs="Arial" w:eastAsia="Arial" w:hAnsi="Arial"/>
          <w:b w:val="false"/>
          <w:bCs w:val="false"/>
          <w:i w:val="false"/>
          <w:iCs w:val="false"/>
          <w:color w:val="15202B"/>
          <w:sz w:val="20"/>
          <w:szCs w:val="20"/>
        </w:rPr>
        <w:t xml:space="preserve">Attribuer automatiquement les identifiants (Pays / Année / N° de lot), le QR Code et la signature numérique, puis gérer l'impression physique — au siège de la CEBEVIRHA ou, sous autorisation, dans le pays commanditaire.</w:t>
      </w:r>
    </w:p>
    <w:p>
      <w:pPr>
        <w:pBdr>
          <w:bottom w:val="single" w:color="F5C518" w:sz="8"/>
        </w:pBdr>
        <w:spacing w:after="120" w:before="220"/>
      </w:pPr>
      <w:r>
        <w:rPr>
          <w:rFonts w:ascii="Arial" w:cs="Arial" w:eastAsia="Arial" w:hAnsi="Arial"/>
          <w:b/>
          <w:bCs/>
          <w:color w:val="15202B"/>
          <w:sz w:val="22"/>
          <w:szCs w:val="22"/>
        </w:rPr>
        <w:t xml:space="preserve">Attribution automatique</w:t>
      </w:r>
    </w:p>
    <w:p>
      <w:pPr>
        <w:pStyle w:val="ListParagraph"/>
        <w:numPr>
          <w:ilvl w:val="0"/>
          <w:numId w:val="6"/>
        </w:numPr>
        <w:spacing w:after="80"/>
      </w:pPr>
      <w:r>
        <w:rPr>
          <w:rFonts w:ascii="Arial" w:cs="Arial" w:eastAsia="Arial" w:hAnsi="Arial"/>
          <w:b/>
          <w:bCs/>
          <w:color w:val="15202B"/>
          <w:sz w:val="20"/>
          <w:szCs w:val="20"/>
        </w:rPr>
        <w:t xml:space="preserve">Numérotation — </w:t>
      </w:r>
      <w:r>
        <w:rPr>
          <w:rFonts w:ascii="Arial" w:cs="Arial" w:eastAsia="Arial" w:hAnsi="Arial"/>
          <w:color w:val="15202B"/>
          <w:sz w:val="20"/>
          <w:szCs w:val="20"/>
        </w:rPr>
        <w:t xml:space="preserve">Génération séquentielle du numéro (code pays sur 2 chiffres par ordre alphabétique, année sur 4 chiffres, n° de lot sur 7 chiffres).</w:t>
      </w:r>
    </w:p>
    <w:p>
      <w:pPr>
        <w:pStyle w:val="ListParagraph"/>
        <w:numPr>
          <w:ilvl w:val="0"/>
          <w:numId w:val="6"/>
        </w:numPr>
        <w:spacing w:after="80"/>
      </w:pPr>
      <w:r>
        <w:rPr>
          <w:rFonts w:ascii="Arial" w:cs="Arial" w:eastAsia="Arial" w:hAnsi="Arial"/>
          <w:b/>
          <w:bCs/>
          <w:color w:val="15202B"/>
          <w:sz w:val="20"/>
          <w:szCs w:val="20"/>
        </w:rPr>
        <w:t xml:space="preserve">QR Code et signature — </w:t>
      </w:r>
      <w:r>
        <w:rPr>
          <w:rFonts w:ascii="Arial" w:cs="Arial" w:eastAsia="Arial" w:hAnsi="Arial"/>
          <w:color w:val="15202B"/>
          <w:sz w:val="20"/>
          <w:szCs w:val="20"/>
        </w:rPr>
        <w:t xml:space="preserve">Génération d’un UUID, d’un hash SHA-256 et d’une signature numérique (RSA-2048 ou ECDSA P-256).</w:t>
      </w:r>
    </w:p>
    <w:p>
      <w:pPr>
        <w:pStyle w:val="ListParagraph"/>
        <w:numPr>
          <w:ilvl w:val="0"/>
          <w:numId w:val="6"/>
        </w:numPr>
        <w:spacing w:after="80"/>
      </w:pPr>
      <w:r>
        <w:rPr>
          <w:rFonts w:ascii="Arial" w:cs="Arial" w:eastAsia="Arial" w:hAnsi="Arial"/>
          <w:b/>
          <w:bCs/>
          <w:color w:val="15202B"/>
          <w:sz w:val="20"/>
          <w:szCs w:val="20"/>
        </w:rPr>
        <w:t xml:space="preserve">Statut initial — </w:t>
      </w:r>
      <w:r>
        <w:rPr>
          <w:rFonts w:ascii="Arial" w:cs="Arial" w:eastAsia="Arial" w:hAnsi="Arial"/>
          <w:color w:val="15202B"/>
          <w:sz w:val="20"/>
          <w:szCs w:val="20"/>
        </w:rPr>
        <w:t xml:space="preserve">Le passeport passe au statut « préchargé ».</w:t>
      </w:r>
    </w:p>
    <w:p>
      <w:pPr>
        <w:pStyle w:val="ListParagraph"/>
        <w:numPr>
          <w:ilvl w:val="0"/>
          <w:numId w:val="6"/>
        </w:numPr>
        <w:spacing w:after="80"/>
      </w:pPr>
      <w:r>
        <w:rPr>
          <w:rFonts w:ascii="Arial" w:cs="Arial" w:eastAsia="Arial" w:hAnsi="Arial"/>
          <w:b/>
          <w:bCs/>
          <w:color w:val="15202B"/>
          <w:sz w:val="20"/>
          <w:szCs w:val="20"/>
        </w:rPr>
        <w:t xml:space="preserve">Sélection du gabarit linguistique — </w:t>
      </w:r>
      <w:r>
        <w:rPr>
          <w:rFonts w:ascii="Arial" w:cs="Arial" w:eastAsia="Arial" w:hAnsi="Arial"/>
          <w:color w:val="15202B"/>
          <w:sz w:val="20"/>
          <w:szCs w:val="20"/>
        </w:rPr>
        <w:t xml:space="preserve">Le gabarit d’impression utilisé (mise en page, mentions légales bilingues) correspond à la version linguistique choisie à la commande (FR/EN ou FR/AR) — aucune conversion n’est possible après attribution.</w:t>
      </w:r>
    </w:p>
    <w:p>
      <w:pPr>
        <w:pBdr>
          <w:bottom w:val="single" w:color="F5C518" w:sz="8"/>
        </w:pBdr>
        <w:spacing w:after="120" w:before="220"/>
      </w:pPr>
      <w:r>
        <w:rPr>
          <w:rFonts w:ascii="Arial" w:cs="Arial" w:eastAsia="Arial" w:hAnsi="Arial"/>
          <w:b/>
          <w:bCs/>
          <w:color w:val="15202B"/>
          <w:sz w:val="22"/>
          <w:szCs w:val="22"/>
        </w:rPr>
        <w:t xml:space="preserve">Diffusion automatique vers le contrôle (push)</w:t>
      </w:r>
    </w:p>
    <w:p>
      <w:pPr>
        <w:spacing w:after="130"/>
      </w:pPr>
      <w:r>
        <w:rPr>
          <w:rFonts w:ascii="Arial" w:cs="Arial" w:eastAsia="Arial" w:hAnsi="Arial"/>
          <w:b w:val="false"/>
          <w:bCs w:val="false"/>
          <w:i w:val="false"/>
          <w:iCs w:val="false"/>
          <w:color w:val="15202B"/>
          <w:sz w:val="20"/>
          <w:szCs w:val="20"/>
        </w:rPr>
        <w:t xml:space="preserve">Dès l'attribution (donc dès la confirmation du paiement), les identifiants et signatures des nouveaux passeports sont transmis automatiquement vers l'index central de vérification utilisé par le Module 5 — sans attendre une action de la CEBEVIRHA ni d'un agent. Ce déclenchement est événementiel (event-driven), interne au backend.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F5C518" w:sz="4"/>
              <w:left w:val="single" w:color="F5C518" w:sz="24"/>
              <w:bottom w:val="single" w:color="F5C518" w:sz="4"/>
              <w:right w:val="single" w:color="F5C518" w:sz="4"/>
            </w:tcBorders>
            <w:shd w:fill="FDF6DC" w:val="clear"/>
            <w:tcMar>
              <w:top w:type="dxa" w:w="140"/>
              <w:left w:type="dxa" w:w="200"/>
              <w:bottom w:type="dxa" w:w="140"/>
              <w:right w:type="dxa" w:w="200"/>
            </w:tcMar>
          </w:tcPr>
          <w:p>
            <w:pPr>
              <w:spacing w:after="50"/>
            </w:pPr>
            <w:r>
              <w:rPr>
                <w:rFonts w:ascii="Arial" w:cs="Arial" w:eastAsia="Arial" w:hAnsi="Arial"/>
                <w:b/>
                <w:bCs/>
                <w:color w:val="8A6D00"/>
                <w:spacing w:val="8"/>
                <w:sz w:val="17"/>
                <w:szCs w:val="17"/>
              </w:rPr>
              <w:t xml:space="preserve">SANS INTERVENTION HUMAINE</w:t>
            </w:r>
          </w:p>
          <w:p>
            <w:r>
              <w:rPr>
                <w:rFonts w:ascii="Arial" w:cs="Arial" w:eastAsia="Arial" w:hAnsi="Arial"/>
                <w:color w:val="15202B"/>
                <w:sz w:val="19"/>
                <w:szCs w:val="19"/>
              </w:rPr>
              <w:t xml:space="preserve">La publication vers l'index de vérification est automatique et immédiate à chaque attribution. Elle est indépendante de la connexion des applications de contrôle sur le terrain : c'est au moment où ces dernières se reconnectent (Module 5) qu'elles récupèrent les nouveautés déjà publiées.</w:t>
            </w:r>
          </w:p>
        </w:tc>
      </w:tr>
    </w:tbl>
    <w:p>
      <w:pPr>
        <w:pBdr>
          <w:bottom w:val="single" w:color="F5C518" w:sz="8"/>
        </w:pBdr>
        <w:spacing w:after="120" w:before="220"/>
      </w:pPr>
      <w:r>
        <w:rPr>
          <w:rFonts w:ascii="Arial" w:cs="Arial" w:eastAsia="Arial" w:hAnsi="Arial"/>
          <w:b/>
          <w:bCs/>
          <w:color w:val="15202B"/>
          <w:sz w:val="22"/>
          <w:szCs w:val="22"/>
        </w:rPr>
        <w:t xml:space="preserve">Impression centralisée</w:t>
      </w:r>
    </w:p>
    <w:p>
      <w:pPr>
        <w:spacing w:after="130"/>
      </w:pPr>
      <w:r>
        <w:rPr>
          <w:rFonts w:ascii="Arial" w:cs="Arial" w:eastAsia="Arial" w:hAnsi="Arial"/>
          <w:b w:val="false"/>
          <w:bCs w:val="false"/>
          <w:i w:val="false"/>
          <w:iCs w:val="false"/>
          <w:color w:val="15202B"/>
          <w:sz w:val="20"/>
          <w:szCs w:val="20"/>
        </w:rPr>
        <w:t xml:space="preserve">Le lot est mis en file d'impression au siège de la CEBEVIRHA ; le statut passe à « vierge » dès confirmation d'impression, puis le lot est remis physiquement au pays.</w:t>
      </w:r>
    </w:p>
    <w:p>
      <w:pPr>
        <w:pBdr>
          <w:bottom w:val="single" w:color="F5C518" w:sz="8"/>
        </w:pBdr>
        <w:spacing w:after="120" w:before="220"/>
      </w:pPr>
      <w:r>
        <w:rPr>
          <w:rFonts w:ascii="Arial" w:cs="Arial" w:eastAsia="Arial" w:hAnsi="Arial"/>
          <w:b/>
          <w:bCs/>
          <w:color w:val="15202B"/>
          <w:sz w:val="22"/>
          <w:szCs w:val="22"/>
        </w:rPr>
        <w:t xml:space="preserve">Impression décentralisée</w:t>
      </w:r>
    </w:p>
    <w:p>
      <w:pPr>
        <w:pStyle w:val="ListParagraph"/>
        <w:numPr>
          <w:ilvl w:val="0"/>
          <w:numId w:val="2"/>
        </w:numPr>
        <w:spacing w:after="70"/>
      </w:pPr>
      <w:r>
        <w:rPr>
          <w:sz w:val="1"/>
          <w:szCs w:val="1"/>
        </w:rPr>
        <w:t xml:space="preserve"/>
      </w:r>
      <w:r>
        <w:rPr>
          <w:rFonts w:ascii="Arial" w:cs="Arial" w:eastAsia="Arial" w:hAnsi="Arial"/>
          <w:color w:val="15202B"/>
          <w:sz w:val="20"/>
          <w:szCs w:val="20"/>
        </w:rPr>
        <w:t xml:space="preserve">Le pays doit disposer d’une AutorisationImpression active (plage de numéros réservée, gabarit certifié).</w:t>
      </w:r>
    </w:p>
    <w:p>
      <w:pPr>
        <w:pStyle w:val="ListParagraph"/>
        <w:numPr>
          <w:ilvl w:val="0"/>
          <w:numId w:val="2"/>
        </w:numPr>
        <w:spacing w:after="70"/>
      </w:pPr>
      <w:r>
        <w:rPr>
          <w:sz w:val="1"/>
          <w:szCs w:val="1"/>
        </w:rPr>
        <w:t xml:space="preserve"/>
      </w:r>
      <w:r>
        <w:rPr>
          <w:rFonts w:ascii="Arial" w:cs="Arial" w:eastAsia="Arial" w:hAnsi="Arial"/>
          <w:color w:val="15202B"/>
          <w:sz w:val="20"/>
          <w:szCs w:val="20"/>
        </w:rPr>
        <w:t xml:space="preserve">Le pays imprime localement sur un support sécurisé validé par la CEBEVIRHA.</w:t>
      </w:r>
    </w:p>
    <w:p>
      <w:pPr>
        <w:pStyle w:val="ListParagraph"/>
        <w:numPr>
          <w:ilvl w:val="0"/>
          <w:numId w:val="2"/>
        </w:numPr>
        <w:spacing w:after="70"/>
      </w:pPr>
      <w:r>
        <w:rPr>
          <w:sz w:val="1"/>
          <w:szCs w:val="1"/>
        </w:rPr>
        <w:t xml:space="preserve"/>
      </w:r>
      <w:r>
        <w:rPr>
          <w:rFonts w:ascii="Arial" w:cs="Arial" w:eastAsia="Arial" w:hAnsi="Arial"/>
          <w:color w:val="15202B"/>
          <w:sz w:val="20"/>
          <w:szCs w:val="20"/>
        </w:rPr>
        <w:t xml:space="preserve">Chaque lot imprimé est déclaré via l’API (numéros utilisés, date, responsable) ; le statut passe alors à « vierge ».</w:t>
      </w:r>
    </w:p>
    <w:p>
      <w:pPr>
        <w:pStyle w:val="ListParagraph"/>
        <w:numPr>
          <w:ilvl w:val="0"/>
          <w:numId w:val="2"/>
        </w:numPr>
        <w:spacing w:after="70"/>
      </w:pPr>
      <w:r>
        <w:rPr>
          <w:sz w:val="1"/>
          <w:szCs w:val="1"/>
        </w:rPr>
        <w:t xml:space="preserve"/>
      </w:r>
      <w:r>
        <w:rPr>
          <w:rFonts w:ascii="Arial" w:cs="Arial" w:eastAsia="Arial" w:hAnsi="Arial"/>
          <w:color w:val="15202B"/>
          <w:sz w:val="20"/>
          <w:szCs w:val="20"/>
        </w:rPr>
        <w:t xml:space="preserve">La CEBEVIRHA peut auditer a posteriori tout lot déclaré (échantillonnage).</w:t>
      </w:r>
    </w:p>
    <w:p>
      <w:pPr>
        <w:pBdr>
          <w:bottom w:val="single" w:color="F5C518" w:sz="8"/>
        </w:pBdr>
        <w:spacing w:after="120" w:before="220"/>
      </w:pPr>
      <w:r>
        <w:rPr>
          <w:rFonts w:ascii="Arial" w:cs="Arial" w:eastAsia="Arial" w:hAnsi="Arial"/>
          <w:b/>
          <w:bCs/>
          <w:color w:val="15202B"/>
          <w:sz w:val="22"/>
          <w:szCs w:val="22"/>
        </w:rPr>
        <w:t xml:space="preserve">Endpoints API</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3600"/>
        <w:gridCol w:w="5006"/>
      </w:tblGrid>
      <w:tr>
        <w:tc>
          <w:tcPr>
            <w:tcW w:type="dxa" w:w="1300"/>
            <w:tcBorders>
              <w:top w:val="single" w:color="1E3A6E" w:sz="4"/>
              <w:left w:val="single" w:color="1E3A6E" w:sz="4"/>
              <w:bottom w:val="single" w:color="1E3A6E" w:sz="4"/>
              <w:right w:val="single" w:color="1E3A6E" w:sz="4"/>
            </w:tcBorders>
            <w:shd w:fill="1E3A6E" w:val="clear"/>
            <w:tcMar>
              <w:top w:type="dxa" w:w="80"/>
              <w:left w:type="dxa" w:w="110"/>
              <w:bottom w:type="dxa" w:w="80"/>
              <w:right w:type="dxa" w:w="110"/>
            </w:tcMar>
          </w:tcPr>
          <w:p>
            <w:r>
              <w:rPr>
                <w:rFonts w:ascii="Arial" w:cs="Arial" w:eastAsia="Arial" w:hAnsi="Arial"/>
                <w:b/>
                <w:bCs/>
                <w:color w:val="FFFFFF"/>
                <w:sz w:val="17"/>
                <w:szCs w:val="17"/>
              </w:rPr>
              <w:t xml:space="preserve">Méthode</w:t>
            </w:r>
          </w:p>
        </w:tc>
        <w:tc>
          <w:tcPr>
            <w:tcW w:type="dxa" w:w="3600"/>
            <w:tcBorders>
              <w:top w:val="single" w:color="1E3A6E" w:sz="4"/>
              <w:left w:val="single" w:color="1E3A6E" w:sz="4"/>
              <w:bottom w:val="single" w:color="1E3A6E" w:sz="4"/>
              <w:right w:val="single" w:color="1E3A6E" w:sz="4"/>
            </w:tcBorders>
            <w:shd w:fill="1E3A6E" w:val="clear"/>
            <w:tcMar>
              <w:top w:type="dxa" w:w="80"/>
              <w:left w:type="dxa" w:w="110"/>
              <w:bottom w:type="dxa" w:w="80"/>
              <w:right w:type="dxa" w:w="110"/>
            </w:tcMar>
          </w:tcPr>
          <w:p>
            <w:r>
              <w:rPr>
                <w:rFonts w:ascii="Arial" w:cs="Arial" w:eastAsia="Arial" w:hAnsi="Arial"/>
                <w:b/>
                <w:bCs/>
                <w:color w:val="FFFFFF"/>
                <w:sz w:val="17"/>
                <w:szCs w:val="17"/>
              </w:rPr>
              <w:t xml:space="preserve">Endpoint</w:t>
            </w:r>
          </w:p>
        </w:tc>
        <w:tc>
          <w:tcPr>
            <w:tcW w:type="dxa" w:w="5006"/>
            <w:tcBorders>
              <w:top w:val="single" w:color="1E3A6E" w:sz="4"/>
              <w:left w:val="single" w:color="1E3A6E" w:sz="4"/>
              <w:bottom w:val="single" w:color="1E3A6E" w:sz="4"/>
              <w:right w:val="single" w:color="1E3A6E" w:sz="4"/>
            </w:tcBorders>
            <w:shd w:fill="1E3A6E" w:val="clear"/>
            <w:tcMar>
              <w:top w:type="dxa" w:w="80"/>
              <w:left w:type="dxa" w:w="110"/>
              <w:bottom w:type="dxa" w:w="80"/>
              <w:right w:type="dxa" w:w="110"/>
            </w:tcMar>
          </w:tcPr>
          <w:p>
            <w:r>
              <w:rPr>
                <w:rFonts w:ascii="Arial" w:cs="Arial" w:eastAsia="Arial" w:hAnsi="Arial"/>
                <w:b/>
                <w:bCs/>
                <w:color w:val="FFFFFF"/>
                <w:sz w:val="17"/>
                <w:szCs w:val="17"/>
              </w:rPr>
              <w:t xml:space="preserve">Description</w:t>
            </w:r>
          </w:p>
        </w:tc>
      </w:tr>
      <w:tr>
        <w:tc>
          <w:tcPr>
            <w:tcW w:type="dxa" w:w="13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Consolas" w:cs="Consolas" w:eastAsia="Consolas" w:hAnsi="Consolas"/>
                <w:b/>
                <w:bCs/>
                <w:color w:val="1E3A6E"/>
                <w:sz w:val="16"/>
                <w:szCs w:val="16"/>
              </w:rPr>
              <w:t xml:space="preserve">POST</w:t>
            </w:r>
          </w:p>
        </w:tc>
        <w:tc>
          <w:tcPr>
            <w:tcW w:type="dxa" w:w="36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Consolas" w:cs="Consolas" w:eastAsia="Consolas" w:hAnsi="Consolas"/>
                <w:color w:val="15202B"/>
                <w:sz w:val="16"/>
                <w:szCs w:val="16"/>
              </w:rPr>
              <w:t xml:space="preserve">/api/v1/passeports/attribuer</w:t>
            </w:r>
          </w:p>
        </w:tc>
        <w:tc>
          <w:tcPr>
            <w:tcW w:type="dxa" w:w="50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color w:val="15202B"/>
                <w:sz w:val="16"/>
                <w:szCs w:val="16"/>
              </w:rPr>
              <w:t xml:space="preserve">Attribution automatique (déclenché en interne par le paiement confirmé)</w:t>
            </w:r>
          </w:p>
        </w:tc>
      </w:tr>
      <w:tr>
        <w:tc>
          <w:tcPr>
            <w:tcW w:type="dxa" w:w="13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Consolas" w:cs="Consolas" w:eastAsia="Consolas" w:hAnsi="Consolas"/>
                <w:b/>
                <w:bCs/>
                <w:color w:val="1E3A6E"/>
                <w:sz w:val="16"/>
                <w:szCs w:val="16"/>
              </w:rPr>
              <w:t xml:space="preserve">POST</w:t>
            </w:r>
          </w:p>
        </w:tc>
        <w:tc>
          <w:tcPr>
            <w:tcW w:type="dxa" w:w="36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Consolas" w:cs="Consolas" w:eastAsia="Consolas" w:hAnsi="Consolas"/>
                <w:color w:val="15202B"/>
                <w:sz w:val="16"/>
                <w:szCs w:val="16"/>
              </w:rPr>
              <w:t xml:space="preserve">/api/v1/sync/publier-nouveaux-passeports</w:t>
            </w:r>
          </w:p>
        </w:tc>
        <w:tc>
          <w:tcPr>
            <w:tcW w:type="dxa" w:w="50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color w:val="15202B"/>
                <w:sz w:val="16"/>
                <w:szCs w:val="16"/>
              </w:rPr>
              <w:t xml:space="preserve">Publication interne automatique vers l’index de vérification (déclenchée par l’attribution, sans action humaine)</w:t>
            </w:r>
          </w:p>
        </w:tc>
      </w:tr>
      <w:tr>
        <w:tc>
          <w:tcPr>
            <w:tcW w:type="dxa" w:w="13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Consolas" w:cs="Consolas" w:eastAsia="Consolas" w:hAnsi="Consolas"/>
                <w:b/>
                <w:bCs/>
                <w:color w:val="0B6B3A"/>
                <w:sz w:val="16"/>
                <w:szCs w:val="16"/>
              </w:rPr>
              <w:t xml:space="preserve">GET</w:t>
            </w:r>
          </w:p>
        </w:tc>
        <w:tc>
          <w:tcPr>
            <w:tcW w:type="dxa" w:w="36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Consolas" w:cs="Consolas" w:eastAsia="Consolas" w:hAnsi="Consolas"/>
                <w:color w:val="15202B"/>
                <w:sz w:val="16"/>
                <w:szCs w:val="16"/>
              </w:rPr>
              <w:t xml:space="preserve">/api/v1/passeports?pays_id=&amp;statut=</w:t>
            </w:r>
          </w:p>
        </w:tc>
        <w:tc>
          <w:tcPr>
            <w:tcW w:type="dxa" w:w="50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color w:val="15202B"/>
                <w:sz w:val="16"/>
                <w:szCs w:val="16"/>
              </w:rPr>
              <w:t xml:space="preserve">Lister les passeports d’un pays par statut</w:t>
            </w:r>
          </w:p>
        </w:tc>
      </w:tr>
      <w:tr>
        <w:tc>
          <w:tcPr>
            <w:tcW w:type="dxa" w:w="13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Consolas" w:cs="Consolas" w:eastAsia="Consolas" w:hAnsi="Consolas"/>
                <w:b/>
                <w:bCs/>
                <w:color w:val="1E3A6E"/>
                <w:sz w:val="16"/>
                <w:szCs w:val="16"/>
              </w:rPr>
              <w:t xml:space="preserve">POST</w:t>
            </w:r>
          </w:p>
        </w:tc>
        <w:tc>
          <w:tcPr>
            <w:tcW w:type="dxa" w:w="36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Consolas" w:cs="Consolas" w:eastAsia="Consolas" w:hAnsi="Consolas"/>
                <w:color w:val="15202B"/>
                <w:sz w:val="16"/>
                <w:szCs w:val="16"/>
              </w:rPr>
              <w:t xml:space="preserve">/api/v1/impression-decentralisee/declarer</w:t>
            </w:r>
          </w:p>
        </w:tc>
        <w:tc>
          <w:tcPr>
            <w:tcW w:type="dxa" w:w="50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color w:val="15202B"/>
                <w:sz w:val="16"/>
                <w:szCs w:val="16"/>
              </w:rPr>
              <w:t xml:space="preserve">Déclarer un lot imprimé localement</w:t>
            </w:r>
          </w:p>
        </w:tc>
      </w:tr>
      <w:tr>
        <w:tc>
          <w:tcPr>
            <w:tcW w:type="dxa" w:w="13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Consolas" w:cs="Consolas" w:eastAsia="Consolas" w:hAnsi="Consolas"/>
                <w:b/>
                <w:bCs/>
                <w:color w:val="0B6B3A"/>
                <w:sz w:val="16"/>
                <w:szCs w:val="16"/>
              </w:rPr>
              <w:t xml:space="preserve">GET</w:t>
            </w:r>
          </w:p>
        </w:tc>
        <w:tc>
          <w:tcPr>
            <w:tcW w:type="dxa" w:w="36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Consolas" w:cs="Consolas" w:eastAsia="Consolas" w:hAnsi="Consolas"/>
                <w:color w:val="15202B"/>
                <w:sz w:val="16"/>
                <w:szCs w:val="16"/>
              </w:rPr>
              <w:t xml:space="preserve">/api/v1/autorisations-impression/{pays_id}</w:t>
            </w:r>
          </w:p>
        </w:tc>
        <w:tc>
          <w:tcPr>
            <w:tcW w:type="dxa" w:w="50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color w:val="15202B"/>
                <w:sz w:val="16"/>
                <w:szCs w:val="16"/>
              </w:rPr>
              <w:t xml:space="preserve">Consulter la plage et le gabarit autorisés</w:t>
            </w:r>
          </w:p>
        </w:tc>
      </w:tr>
      <w:tr>
        <w:tc>
          <w:tcPr>
            <w:tcW w:type="dxa" w:w="13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Consolas" w:cs="Consolas" w:eastAsia="Consolas" w:hAnsi="Consolas"/>
                <w:b/>
                <w:bCs/>
                <w:color w:val="1E3A6E"/>
                <w:sz w:val="16"/>
                <w:szCs w:val="16"/>
              </w:rPr>
              <w:t xml:space="preserve">POST</w:t>
            </w:r>
          </w:p>
        </w:tc>
        <w:tc>
          <w:tcPr>
            <w:tcW w:type="dxa" w:w="36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Consolas" w:cs="Consolas" w:eastAsia="Consolas" w:hAnsi="Consolas"/>
                <w:color w:val="15202B"/>
                <w:sz w:val="16"/>
                <w:szCs w:val="16"/>
              </w:rPr>
              <w:t xml:space="preserve">/api/v1/autorisations-impression</w:t>
            </w:r>
          </w:p>
        </w:tc>
        <w:tc>
          <w:tcPr>
            <w:tcW w:type="dxa" w:w="50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color w:val="15202B"/>
                <w:sz w:val="16"/>
                <w:szCs w:val="16"/>
              </w:rPr>
              <w:t xml:space="preserve">Créer une autorisation d’impression décentralisée (rôle Super Admin)</w:t>
            </w:r>
          </w:p>
        </w:tc>
      </w:tr>
    </w:tbl>
    <w:p>
      <w:pPr>
        <w:pBdr>
          <w:bottom w:val="single" w:color="F5C518" w:sz="8"/>
        </w:pBdr>
        <w:spacing w:after="120" w:before="220"/>
      </w:pPr>
      <w:r>
        <w:rPr>
          <w:rFonts w:ascii="Arial" w:cs="Arial" w:eastAsia="Arial" w:hAnsi="Arial"/>
          <w:b/>
          <w:bCs/>
          <w:color w:val="15202B"/>
          <w:sz w:val="22"/>
          <w:szCs w:val="22"/>
        </w:rPr>
        <w:t xml:space="preserve">Garde-fous</w:t>
      </w:r>
    </w:p>
    <w:p>
      <w:pPr>
        <w:pStyle w:val="ListParagraph"/>
        <w:numPr>
          <w:ilvl w:val="0"/>
          <w:numId w:val="2"/>
        </w:numPr>
        <w:spacing w:after="70"/>
      </w:pPr>
      <w:r>
        <w:rPr>
          <w:rFonts w:ascii="Arial" w:cs="Arial" w:eastAsia="Arial" w:hAnsi="Arial"/>
          <w:b/>
          <w:bCs/>
          <w:color w:val="15202B"/>
          <w:sz w:val="20"/>
          <w:szCs w:val="20"/>
        </w:rPr>
        <w:t xml:space="preserve">Plage de numéros fermée — </w:t>
      </w:r>
      <w:r>
        <w:rPr>
          <w:rFonts w:ascii="Arial" w:cs="Arial" w:eastAsia="Arial" w:hAnsi="Arial"/>
          <w:color w:val="15202B"/>
          <w:sz w:val="20"/>
          <w:szCs w:val="20"/>
        </w:rPr>
        <w:t xml:space="preserve">Un pays ne peut imprimer que dans la plage de numéros qui lui a été attribuée par la plateforme — aucune génération libre de numéros n’est permise ; toute déclaration hors plage est rejetée par l’API (HTTP 422).</w:t>
      </w:r>
    </w:p>
    <w:p>
      <w:pPr>
        <w:pStyle w:val="ListParagraph"/>
        <w:numPr>
          <w:ilvl w:val="0"/>
          <w:numId w:val="2"/>
        </w:numPr>
        <w:spacing w:after="70"/>
      </w:pPr>
      <w:r>
        <w:rPr>
          <w:rFonts w:ascii="Arial" w:cs="Arial" w:eastAsia="Arial" w:hAnsi="Arial"/>
          <w:b/>
          <w:bCs/>
          <w:color w:val="15202B"/>
          <w:sz w:val="20"/>
          <w:szCs w:val="20"/>
        </w:rPr>
        <w:t xml:space="preserve">Matériel de sécurité contrôlé — </w:t>
      </w:r>
      <w:r>
        <w:rPr>
          <w:rFonts w:ascii="Arial" w:cs="Arial" w:eastAsia="Arial" w:hAnsi="Arial"/>
          <w:color w:val="15202B"/>
          <w:sz w:val="20"/>
          <w:szCs w:val="20"/>
        </w:rPr>
        <w:t xml:space="preserve">Papier, encre et dispositifs de sécurité doivent être fournis ou validés par la CEBEVIRHA pour préserver l’uniformité et prévenir la contrefaçon.</w:t>
      </w:r>
    </w:p>
    <w:p>
      <w:pPr>
        <w:pStyle w:val="ListParagraph"/>
        <w:numPr>
          <w:ilvl w:val="0"/>
          <w:numId w:val="2"/>
        </w:numPr>
        <w:spacing w:after="70"/>
      </w:pPr>
      <w:r>
        <w:rPr>
          <w:rFonts w:ascii="Arial" w:cs="Arial" w:eastAsia="Arial" w:hAnsi="Arial"/>
          <w:b/>
          <w:bCs/>
          <w:color w:val="15202B"/>
          <w:sz w:val="20"/>
          <w:szCs w:val="20"/>
        </w:rPr>
        <w:t xml:space="preserve">Déclaration obligatoire — </w:t>
      </w:r>
      <w:r>
        <w:rPr>
          <w:rFonts w:ascii="Arial" w:cs="Arial" w:eastAsia="Arial" w:hAnsi="Arial"/>
          <w:color w:val="15202B"/>
          <w:sz w:val="20"/>
          <w:szCs w:val="20"/>
        </w:rPr>
        <w:t xml:space="preserve">Chaque lot imprimé localement doit être déclaré à la plateforme avant remise aux postes vétérinaires, afin de conserver la traçabilité régionale.</w:t>
      </w:r>
    </w:p>
    <w:p>
      <w:pPr>
        <w:pStyle w:val="ListParagraph"/>
        <w:numPr>
          <w:ilvl w:val="0"/>
          <w:numId w:val="2"/>
        </w:numPr>
        <w:spacing w:after="70"/>
      </w:pPr>
      <w:r>
        <w:rPr>
          <w:rFonts w:ascii="Arial" w:cs="Arial" w:eastAsia="Arial" w:hAnsi="Arial"/>
          <w:b/>
          <w:bCs/>
          <w:color w:val="15202B"/>
          <w:sz w:val="20"/>
          <w:szCs w:val="20"/>
        </w:rPr>
        <w:t xml:space="preserve">Droit de suspension — </w:t>
      </w:r>
      <w:r>
        <w:rPr>
          <w:rFonts w:ascii="Arial" w:cs="Arial" w:eastAsia="Arial" w:hAnsi="Arial"/>
          <w:color w:val="15202B"/>
          <w:sz w:val="20"/>
          <w:szCs w:val="20"/>
        </w:rPr>
        <w:t xml:space="preserve">La CEBEVIRHA se réserve le droit de suspendre l’accès à l’impression décentralisée d’un pays en cas d’anomalie constatée lors d’un audit.</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6406"/>
        <w:gridCol w:w="2600"/>
      </w:tblGrid>
      <w:tr>
        <w:tc>
          <w:tcPr>
            <w:tcW w:type="dxa" w:w="900"/>
            <w:tcBorders>
              <w:top w:val="single" w:color="1E3A6E" w:sz="4"/>
              <w:left w:val="single" w:color="1E3A6E" w:sz="4"/>
              <w:bottom w:val="single" w:color="1E3A6E" w:sz="4"/>
              <w:right w:val="single" w:color="1E3A6E" w:sz="4"/>
            </w:tcBorders>
            <w:shd w:fill="1E3A6E"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M4</w:t>
            </w:r>
          </w:p>
        </w:tc>
        <w:tc>
          <w:tcPr>
            <w:tcW w:type="dxa" w:w="6406"/>
            <w:tcBorders>
              <w:top w:val="single" w:color="E8E4DA" w:sz="4"/>
              <w:left w:val="single" w:color="E8E4DA" w:sz="4"/>
              <w:bottom w:val="single" w:color="E8E4DA" w:sz="4"/>
              <w:right w:val="single" w:color="E8E4DA" w:sz="4"/>
            </w:tcBorders>
            <w:tcMar>
              <w:top w:type="dxa" w:w="100"/>
              <w:left w:type="dxa" w:w="160"/>
              <w:bottom w:type="dxa" w:w="100"/>
              <w:right w:type="dxa" w:w="100"/>
            </w:tcMar>
            <w:vAlign w:val="center"/>
          </w:tcPr>
          <w:p>
            <w:r>
              <w:rPr>
                <w:rFonts w:ascii="Arial" w:cs="Arial" w:eastAsia="Arial" w:hAnsi="Arial"/>
                <w:b/>
                <w:bCs/>
                <w:color w:val="15202B"/>
                <w:sz w:val="24"/>
                <w:szCs w:val="24"/>
              </w:rPr>
              <w:t xml:space="preserve">Scan (numérisation terrain)</w:t>
            </w:r>
          </w:p>
        </w:tc>
        <w:tc>
          <w:tcPr>
            <w:tcW w:type="dxa" w:w="2600"/>
            <w:tcBorders>
              <w:top w:val="single" w:color="F5C518" w:sz="4"/>
              <w:left w:val="single" w:color="F5C518" w:sz="4"/>
              <w:bottom w:val="single" w:color="F5C518" w:sz="4"/>
              <w:right w:val="single" w:color="F5C518" w:sz="4"/>
            </w:tcBorders>
            <w:shd w:fill="F5C518" w:val="clear"/>
            <w:tcMar>
              <w:top w:type="dxa" w:w="100"/>
              <w:left w:type="dxa" w:w="100"/>
              <w:bottom w:type="dxa" w:w="100"/>
              <w:right w:type="dxa" w:w="100"/>
            </w:tcMar>
            <w:vAlign w:val="center"/>
          </w:tcPr>
          <w:p>
            <w:pPr>
              <w:jc w:val="center"/>
            </w:pPr>
            <w:r>
              <w:rPr>
                <w:rFonts w:ascii="Arial" w:cs="Arial" w:eastAsia="Arial" w:hAnsi="Arial"/>
                <w:b/>
                <w:bCs/>
                <w:color w:val="15202B"/>
                <w:sz w:val="16"/>
                <w:szCs w:val="16"/>
              </w:rPr>
              <w:t xml:space="preserve">SCAN → FORMULAIRE → VALIDATION</w:t>
            </w:r>
          </w:p>
        </w:tc>
      </w:tr>
    </w:tbl>
    <w:p>
      <w:pPr>
        <w:spacing w:after="140"/>
      </w:pPr>
    </w:p>
    <w:p>
      <w:pPr>
        <w:pBdr>
          <w:bottom w:val="single" w:color="F5C518" w:sz="8"/>
        </w:pBdr>
        <w:spacing w:after="120" w:before="220"/>
      </w:pPr>
      <w:r>
        <w:rPr>
          <w:rFonts w:ascii="Arial" w:cs="Arial" w:eastAsia="Arial" w:hAnsi="Arial"/>
          <w:b/>
          <w:bCs/>
          <w:color w:val="15202B"/>
          <w:sz w:val="22"/>
          <w:szCs w:val="22"/>
        </w:rPr>
        <w:t xml:space="preserve">Objectif</w:t>
      </w:r>
    </w:p>
    <w:p>
      <w:pPr>
        <w:spacing w:after="130"/>
      </w:pPr>
      <w:r>
        <w:rPr>
          <w:rFonts w:ascii="Arial" w:cs="Arial" w:eastAsia="Arial" w:hAnsi="Arial"/>
          <w:b w:val="false"/>
          <w:bCs w:val="false"/>
          <w:i w:val="false"/>
          <w:iCs w:val="false"/>
          <w:color w:val="15202B"/>
          <w:sz w:val="20"/>
          <w:szCs w:val="20"/>
        </w:rPr>
        <w:t xml:space="preserve">Permettre à l'agent d'émission de saisir le contenu du PPB rempli à la main sous forme de données structurées, page par page, en s'appuyant sur le scan et l'OCR pour pré-remplir un formulaire de vérification — sans jamais stocker les images d'origine, avec un fonctionnement garanti même sans connexion.</w:t>
      </w:r>
    </w:p>
    <w:p>
      <w:pPr>
        <w:pBdr>
          <w:bottom w:val="single" w:color="F5C518" w:sz="8"/>
        </w:pBdr>
        <w:spacing w:after="120" w:before="220"/>
      </w:pPr>
      <w:r>
        <w:rPr>
          <w:rFonts w:ascii="Arial" w:cs="Arial" w:eastAsia="Arial" w:hAnsi="Arial"/>
          <w:b/>
          <w:bCs/>
          <w:color w:val="15202B"/>
          <w:sz w:val="22"/>
          <w:szCs w:val="22"/>
        </w:rPr>
        <w:t xml:space="preserve">Principe : formulaire de vérification, pas de stockage d’image</w:t>
      </w:r>
    </w:p>
    <w:p>
      <w:pPr>
        <w:spacing w:after="130"/>
      </w:pPr>
      <w:r>
        <w:rPr>
          <w:rFonts w:ascii="Arial" w:cs="Arial" w:eastAsia="Arial" w:hAnsi="Arial"/>
          <w:b w:val="false"/>
          <w:bCs w:val="false"/>
          <w:i w:val="false"/>
          <w:iCs w:val="false"/>
          <w:color w:val="15202B"/>
          <w:sz w:val="20"/>
          <w:szCs w:val="20"/>
        </w:rPr>
        <w:t xml:space="preserve">Contrairement à une simple photographie archivée, chaque page scannée déclenche l’affichage d’un formulaire pré-rempli par OCR que l’agent doit relire, corriger si nécessaire, puis valider avant de passer à la page suivante. Seules les données validées par l’agent sont transmises et conservées ; l’image capturée n’est utilisée que le temps de l’extraction OCR côté terminal, puis immédiatement supprimée.</w:t>
      </w:r>
    </w:p>
    <w:p>
      <w:pPr>
        <w:pBdr>
          <w:bottom w:val="single" w:color="F5C518" w:sz="8"/>
        </w:pBdr>
        <w:spacing w:after="120" w:before="220"/>
      </w:pPr>
      <w:r>
        <w:rPr>
          <w:rFonts w:ascii="Arial" w:cs="Arial" w:eastAsia="Arial" w:hAnsi="Arial"/>
          <w:b/>
          <w:bCs/>
          <w:color w:val="15202B"/>
          <w:sz w:val="22"/>
          <w:szCs w:val="22"/>
        </w:rPr>
        <w:t xml:space="preserve">Architecture technique</w:t>
      </w:r>
    </w:p>
    <w:p>
      <w:pPr>
        <w:pStyle w:val="ListParagraph"/>
        <w:numPr>
          <w:ilvl w:val="0"/>
          <w:numId w:val="2"/>
        </w:numPr>
        <w:spacing w:after="70"/>
      </w:pPr>
      <w:r>
        <w:rPr>
          <w:sz w:val="1"/>
          <w:szCs w:val="1"/>
        </w:rPr>
        <w:t xml:space="preserve"/>
      </w:r>
      <w:r>
        <w:rPr>
          <w:rFonts w:ascii="Arial" w:cs="Arial" w:eastAsia="Arial" w:hAnsi="Arial"/>
          <w:color w:val="15202B"/>
          <w:sz w:val="20"/>
          <w:szCs w:val="20"/>
        </w:rPr>
        <w:t xml:space="preserve">Application PWA (installable, mise à jour automatique), sans dépendance à un magasin d’applications.</w:t>
      </w:r>
    </w:p>
    <w:p>
      <w:pPr>
        <w:pStyle w:val="ListParagraph"/>
        <w:numPr>
          <w:ilvl w:val="0"/>
          <w:numId w:val="2"/>
        </w:numPr>
        <w:spacing w:after="70"/>
      </w:pPr>
      <w:r>
        <w:rPr>
          <w:sz w:val="1"/>
          <w:szCs w:val="1"/>
        </w:rPr>
        <w:t xml:space="preserve"/>
      </w:r>
      <w:r>
        <w:rPr>
          <w:rFonts w:ascii="Arial" w:cs="Arial" w:eastAsia="Arial" w:hAnsi="Arial"/>
          <w:color w:val="15202B"/>
          <w:sz w:val="20"/>
          <w:szCs w:val="20"/>
        </w:rPr>
        <w:t xml:space="preserve">Moteur OCR embarqué côté terminal (traitement local, aucune image transmise au serveur).</w:t>
      </w:r>
    </w:p>
    <w:p>
      <w:pPr>
        <w:pStyle w:val="ListParagraph"/>
        <w:numPr>
          <w:ilvl w:val="0"/>
          <w:numId w:val="2"/>
        </w:numPr>
        <w:spacing w:after="70"/>
      </w:pPr>
      <w:r>
        <w:rPr>
          <w:sz w:val="1"/>
          <w:szCs w:val="1"/>
        </w:rPr>
        <w:t xml:space="preserve"/>
      </w:r>
      <w:r>
        <w:rPr>
          <w:rFonts w:ascii="Arial" w:cs="Arial" w:eastAsia="Arial" w:hAnsi="Arial"/>
          <w:color w:val="15202B"/>
          <w:sz w:val="20"/>
          <w:szCs w:val="20"/>
        </w:rPr>
        <w:t xml:space="preserve">Stockage local IndexedDB, chiffré (AES-256), limité aux données structurées validées, en attente de synchronisation.</w:t>
      </w:r>
    </w:p>
    <w:p>
      <w:pPr>
        <w:pStyle w:val="ListParagraph"/>
        <w:numPr>
          <w:ilvl w:val="0"/>
          <w:numId w:val="2"/>
        </w:numPr>
        <w:spacing w:after="70"/>
      </w:pPr>
      <w:r>
        <w:rPr>
          <w:sz w:val="1"/>
          <w:szCs w:val="1"/>
        </w:rPr>
        <w:t xml:space="preserve"/>
      </w:r>
      <w:r>
        <w:rPr>
          <w:rFonts w:ascii="Arial" w:cs="Arial" w:eastAsia="Arial" w:hAnsi="Arial"/>
          <w:color w:val="15202B"/>
          <w:sz w:val="20"/>
          <w:szCs w:val="20"/>
        </w:rPr>
        <w:t xml:space="preserve">Service Worker + Background Sync API pour la synchronisation différée.</w:t>
      </w:r>
    </w:p>
    <w:p>
      <w:pPr>
        <w:pBdr>
          <w:bottom w:val="single" w:color="F5C518" w:sz="8"/>
        </w:pBdr>
        <w:spacing w:after="120" w:before="220"/>
      </w:pPr>
      <w:r>
        <w:rPr>
          <w:rFonts w:ascii="Arial" w:cs="Arial" w:eastAsia="Arial" w:hAnsi="Arial"/>
          <w:b/>
          <w:bCs/>
          <w:color w:val="15202B"/>
          <w:sz w:val="22"/>
          <w:szCs w:val="22"/>
        </w:rPr>
        <w:t xml:space="preserve">Workflow — vérification page par page (1 à 4)</w:t>
      </w:r>
    </w:p>
    <w:p>
      <w:pPr>
        <w:pStyle w:val="ListParagraph"/>
        <w:numPr>
          <w:ilvl w:val="0"/>
          <w:numId w:val="7"/>
        </w:numPr>
        <w:spacing w:after="80"/>
      </w:pPr>
      <w:r>
        <w:rPr>
          <w:rFonts w:ascii="Arial" w:cs="Arial" w:eastAsia="Arial" w:hAnsi="Arial"/>
          <w:b/>
          <w:bCs/>
          <w:color w:val="15202B"/>
          <w:sz w:val="20"/>
          <w:szCs w:val="20"/>
        </w:rPr>
        <w:t xml:space="preserve">Ouverture — </w:t>
      </w:r>
      <w:r>
        <w:rPr>
          <w:rFonts w:ascii="Arial" w:cs="Arial" w:eastAsia="Arial" w:hAnsi="Arial"/>
          <w:color w:val="15202B"/>
          <w:sz w:val="20"/>
          <w:szCs w:val="20"/>
        </w:rPr>
        <w:t xml:space="preserve">L’agent ouvre l’application, fonctionnelle hors-ligne grâce au cache local des numéros préchargés.</w:t>
      </w:r>
    </w:p>
    <w:p>
      <w:pPr>
        <w:pStyle w:val="ListParagraph"/>
        <w:numPr>
          <w:ilvl w:val="0"/>
          <w:numId w:val="7"/>
        </w:numPr>
        <w:spacing w:after="80"/>
      </w:pPr>
      <w:r>
        <w:rPr>
          <w:rFonts w:ascii="Arial" w:cs="Arial" w:eastAsia="Arial" w:hAnsi="Arial"/>
          <w:b/>
          <w:bCs/>
          <w:color w:val="15202B"/>
          <w:sz w:val="20"/>
          <w:szCs w:val="20"/>
        </w:rPr>
        <w:t xml:space="preserve">Page 1 — Couverture — </w:t>
      </w:r>
      <w:r>
        <w:rPr>
          <w:rFonts w:ascii="Arial" w:cs="Arial" w:eastAsia="Arial" w:hAnsi="Arial"/>
          <w:color w:val="15202B"/>
          <w:sz w:val="20"/>
          <w:szCs w:val="20"/>
        </w:rPr>
        <w:t xml:space="preserve">L’agent scanne la page 1 (couverture) ; aucune donnée n’est extraite à ce stade — seule une vérification visuelle des éléments de sécurité (guillochés, hologramme) est demandée à l’agent avant de passer à la page suivante.</w:t>
      </w:r>
    </w:p>
    <w:p>
      <w:pPr>
        <w:pStyle w:val="ListParagraph"/>
        <w:numPr>
          <w:ilvl w:val="0"/>
          <w:numId w:val="7"/>
        </w:numPr>
        <w:spacing w:after="80"/>
      </w:pPr>
      <w:r>
        <w:rPr>
          <w:rFonts w:ascii="Arial" w:cs="Arial" w:eastAsia="Arial" w:hAnsi="Arial"/>
          <w:b/>
          <w:bCs/>
          <w:color w:val="15202B"/>
          <w:sz w:val="20"/>
          <w:szCs w:val="20"/>
        </w:rPr>
        <w:t xml:space="preserve">Page 2 — Identification et QR — </w:t>
      </w:r>
      <w:r>
        <w:rPr>
          <w:rFonts w:ascii="Arial" w:cs="Arial" w:eastAsia="Arial" w:hAnsi="Arial"/>
          <w:color w:val="15202B"/>
          <w:sz w:val="20"/>
          <w:szCs w:val="20"/>
        </w:rPr>
        <w:t xml:space="preserve">L’agent scanne le QR Code de la page 2 (volet d’identification) ; ce scan sélectionne et confirme le passeport_id à mettre à jour pour toutes les pages suivantes — aucune autre donnée n’est extraite ici, le numéro et le QR étant déjà figés depuis l’attribution.</w:t>
      </w:r>
    </w:p>
    <w:p>
      <w:pPr>
        <w:pStyle w:val="ListParagraph"/>
        <w:numPr>
          <w:ilvl w:val="0"/>
          <w:numId w:val="7"/>
        </w:numPr>
        <w:spacing w:after="80"/>
      </w:pPr>
      <w:r>
        <w:rPr>
          <w:rFonts w:ascii="Arial" w:cs="Arial" w:eastAsia="Arial" w:hAnsi="Arial"/>
          <w:b/>
          <w:bCs/>
          <w:color w:val="15202B"/>
          <w:sz w:val="20"/>
          <w:szCs w:val="20"/>
        </w:rPr>
        <w:t xml:space="preserve">Page 3 — Identité et trajet — </w:t>
      </w:r>
      <w:r>
        <w:rPr>
          <w:rFonts w:ascii="Arial" w:cs="Arial" w:eastAsia="Arial" w:hAnsi="Arial"/>
          <w:color w:val="15202B"/>
          <w:sz w:val="20"/>
          <w:szCs w:val="20"/>
        </w:rPr>
        <w:t xml:space="preserve">L’agent scanne la page 3 ; l’OCR local pré-remplit un formulaire avec le nom, le(s) prénom(s) et le numéro de CNI du propriétaire et du convoyeur, ainsi que le pays et la province d’origine et de destination. L’agent relit, corrige si besoin, puis valide — ce qui crée les enregistrements Eleveur, Convoyeur et Itineraire.</w:t>
      </w:r>
    </w:p>
    <w:p>
      <w:pPr>
        <w:pStyle w:val="ListParagraph"/>
        <w:numPr>
          <w:ilvl w:val="0"/>
          <w:numId w:val="7"/>
        </w:numPr>
        <w:spacing w:after="80"/>
      </w:pPr>
      <w:r>
        <w:rPr>
          <w:rFonts w:ascii="Arial" w:cs="Arial" w:eastAsia="Arial" w:hAnsi="Arial"/>
          <w:b/>
          <w:bCs/>
          <w:color w:val="15202B"/>
          <w:sz w:val="20"/>
          <w:szCs w:val="20"/>
        </w:rPr>
        <w:t xml:space="preserve">Page 4 — Cheptel et santé — </w:t>
      </w:r>
      <w:r>
        <w:rPr>
          <w:rFonts w:ascii="Arial" w:cs="Arial" w:eastAsia="Arial" w:hAnsi="Arial"/>
          <w:color w:val="15202B"/>
          <w:sz w:val="20"/>
          <w:szCs w:val="20"/>
        </w:rPr>
        <w:t xml:space="preserve">L’agent scanne la page 4 ; l’OCR local pré-remplit un formulaire avec, pour chaque espèce déclarée, le nombre de mâles, de femelles, de jeunes et le total, ainsi que la date de vaccination pour chaque maladie contrôlée. L’agent relit, corrige si besoin, puis valide — ce qui crée l’enregistrement Troupeau, une ligne TroupeauEspece par espèce et une ligne Vaccination par maladie renseignée.</w:t>
      </w:r>
    </w:p>
    <w:p>
      <w:pPr>
        <w:pStyle w:val="ListParagraph"/>
        <w:numPr>
          <w:ilvl w:val="0"/>
          <w:numId w:val="7"/>
        </w:numPr>
        <w:spacing w:after="80"/>
      </w:pPr>
      <w:r>
        <w:rPr>
          <w:rFonts w:ascii="Arial" w:cs="Arial" w:eastAsia="Arial" w:hAnsi="Arial"/>
          <w:b/>
          <w:bCs/>
          <w:color w:val="15202B"/>
          <w:sz w:val="20"/>
          <w:szCs w:val="20"/>
        </w:rPr>
        <w:t xml:space="preserve">Suppression des images — </w:t>
      </w:r>
      <w:r>
        <w:rPr>
          <w:rFonts w:ascii="Arial" w:cs="Arial" w:eastAsia="Arial" w:hAnsi="Arial"/>
          <w:color w:val="15202B"/>
          <w:sz w:val="20"/>
          <w:szCs w:val="20"/>
        </w:rPr>
        <w:t xml:space="preserve">Sur chaque page contenant des données (2 à 4), l’image capturée est supprimée du terminal dès l’extraction OCR ; seules les données validées par l’agent sont conservées localement, en attente de synchronisation.</w:t>
      </w:r>
    </w:p>
    <w:p>
      <w:pPr>
        <w:pStyle w:val="ListParagraph"/>
        <w:numPr>
          <w:ilvl w:val="0"/>
          <w:numId w:val="7"/>
        </w:numPr>
        <w:spacing w:after="80"/>
      </w:pPr>
      <w:r>
        <w:rPr>
          <w:rFonts w:ascii="Arial" w:cs="Arial" w:eastAsia="Arial" w:hAnsi="Arial"/>
          <w:b/>
          <w:bCs/>
          <w:color w:val="15202B"/>
          <w:sz w:val="20"/>
          <w:szCs w:val="20"/>
        </w:rPr>
        <w:t xml:space="preserve">Synchronisation — </w:t>
      </w:r>
      <w:r>
        <w:rPr>
          <w:rFonts w:ascii="Arial" w:cs="Arial" w:eastAsia="Arial" w:hAnsi="Arial"/>
          <w:color w:val="15202B"/>
          <w:sz w:val="20"/>
          <w:szCs w:val="20"/>
        </w:rPr>
        <w:t xml:space="preserve">Dès détection réseau, transmission automatique des données validées au backend et mise à jour du statut à « émis ».</w:t>
      </w:r>
    </w:p>
    <w:p>
      <w:pPr>
        <w:pStyle w:val="ListParagraph"/>
        <w:numPr>
          <w:ilvl w:val="0"/>
          <w:numId w:val="7"/>
        </w:numPr>
        <w:spacing w:after="80"/>
      </w:pPr>
      <w:r>
        <w:rPr>
          <w:rFonts w:ascii="Arial" w:cs="Arial" w:eastAsia="Arial" w:hAnsi="Arial"/>
          <w:b/>
          <w:bCs/>
          <w:color w:val="15202B"/>
          <w:sz w:val="20"/>
          <w:szCs w:val="20"/>
        </w:rPr>
        <w:t xml:space="preserve">Création des entités métier — </w:t>
      </w:r>
      <w:r>
        <w:rPr>
          <w:rFonts w:ascii="Arial" w:cs="Arial" w:eastAsia="Arial" w:hAnsi="Arial"/>
          <w:color w:val="15202B"/>
          <w:sz w:val="20"/>
          <w:szCs w:val="20"/>
        </w:rPr>
        <w:t xml:space="preserve">Une fois les 4 pages synchronisées, le backend crée les enregistrements Eleveur, Convoyeur, Troupeau (avec ses lignes TroupeauEspece), Vaccination et Itineraire à partir des données validées — ces entités deviennent alors consultables et exploitables (recherche, statistiques). Avant cette étape, aucune ligne n’existe dans ces tables pour ce passeport : il ne s’agit pas de colonnes vides à remplir, mais de lignes qui n’existent pas encore et que la synchronisation crée.</w:t>
      </w:r>
    </w:p>
    <w:p>
      <w:pPr>
        <w:spacing w:after="120"/>
      </w:pPr>
    </w:p>
    <w:p>
      <w:pPr>
        <w:spacing w:after="90" w:before="160"/>
      </w:pPr>
      <w:r>
        <w:rPr>
          <w:rFonts w:ascii="Arial" w:cs="Arial" w:eastAsia="Arial" w:hAnsi="Arial"/>
          <w:b/>
          <w:bCs/>
          <w:color w:val="0B6B3A"/>
          <w:sz w:val="20"/>
          <w:szCs w:val="20"/>
        </w:rPr>
        <w:t xml:space="preserve">Correspondance page → données créées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700"/>
        <w:gridCol w:w="3806"/>
      </w:tblGrid>
      <w:tr>
        <w:tc>
          <w:tcPr>
            <w:tcW w:type="dxa" w:w="2400"/>
            <w:tcBorders>
              <w:top w:val="single" w:color="0B6B3A" w:sz="4"/>
              <w:left w:val="single" w:color="0B6B3A" w:sz="4"/>
              <w:bottom w:val="single" w:color="0B6B3A" w:sz="4"/>
              <w:right w:val="single" w:color="0B6B3A" w:sz="4"/>
            </w:tcBorders>
            <w:shd w:fill="0B6B3A" w:val="clear"/>
            <w:tcMar>
              <w:top w:type="dxa" w:w="80"/>
              <w:left w:type="dxa" w:w="110"/>
              <w:bottom w:type="dxa" w:w="80"/>
              <w:right w:type="dxa" w:w="110"/>
            </w:tcMar>
          </w:tcPr>
          <w:p>
            <w:r>
              <w:rPr>
                <w:rFonts w:ascii="Arial" w:cs="Arial" w:eastAsia="Arial" w:hAnsi="Arial"/>
                <w:b/>
                <w:bCs/>
                <w:color w:val="FFFFFF"/>
                <w:sz w:val="17"/>
                <w:szCs w:val="17"/>
              </w:rPr>
              <w:t xml:space="preserve">Page</w:t>
            </w:r>
          </w:p>
        </w:tc>
        <w:tc>
          <w:tcPr>
            <w:tcW w:type="dxa" w:w="3700"/>
            <w:tcBorders>
              <w:top w:val="single" w:color="0B6B3A" w:sz="4"/>
              <w:left w:val="single" w:color="0B6B3A" w:sz="4"/>
              <w:bottom w:val="single" w:color="0B6B3A" w:sz="4"/>
              <w:right w:val="single" w:color="0B6B3A" w:sz="4"/>
            </w:tcBorders>
            <w:shd w:fill="0B6B3A" w:val="clear"/>
            <w:tcMar>
              <w:top w:type="dxa" w:w="80"/>
              <w:left w:type="dxa" w:w="110"/>
              <w:bottom w:type="dxa" w:w="80"/>
              <w:right w:type="dxa" w:w="110"/>
            </w:tcMar>
          </w:tcPr>
          <w:p>
            <w:r>
              <w:rPr>
                <w:rFonts w:ascii="Arial" w:cs="Arial" w:eastAsia="Arial" w:hAnsi="Arial"/>
                <w:b/>
                <w:bCs/>
                <w:color w:val="FFFFFF"/>
                <w:sz w:val="17"/>
                <w:szCs w:val="17"/>
              </w:rPr>
              <w:t xml:space="preserve">Contenu scanné</w:t>
            </w:r>
          </w:p>
        </w:tc>
        <w:tc>
          <w:tcPr>
            <w:tcW w:type="dxa" w:w="3806"/>
            <w:tcBorders>
              <w:top w:val="single" w:color="0B6B3A" w:sz="4"/>
              <w:left w:val="single" w:color="0B6B3A" w:sz="4"/>
              <w:bottom w:val="single" w:color="0B6B3A" w:sz="4"/>
              <w:right w:val="single" w:color="0B6B3A" w:sz="4"/>
            </w:tcBorders>
            <w:shd w:fill="0B6B3A" w:val="clear"/>
            <w:tcMar>
              <w:top w:type="dxa" w:w="80"/>
              <w:left w:type="dxa" w:w="110"/>
              <w:bottom w:type="dxa" w:w="80"/>
              <w:right w:type="dxa" w:w="110"/>
            </w:tcMar>
          </w:tcPr>
          <w:p>
            <w:r>
              <w:rPr>
                <w:rFonts w:ascii="Arial" w:cs="Arial" w:eastAsia="Arial" w:hAnsi="Arial"/>
                <w:b/>
                <w:bCs/>
                <w:color w:val="FFFFFF"/>
                <w:sz w:val="17"/>
                <w:szCs w:val="17"/>
              </w:rPr>
              <w:t xml:space="preserve">Entités créées</w:t>
            </w:r>
          </w:p>
        </w:tc>
      </w:tr>
      <w:tr>
        <w:tc>
          <w:tcPr>
            <w:tcW w:type="dxa" w:w="24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1 — Couverture</w:t>
            </w:r>
          </w:p>
        </w:tc>
        <w:tc>
          <w:tcPr>
            <w:tcW w:type="dxa" w:w="37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Aucune donnée ; vérification visuelle de sécurité</w:t>
            </w:r>
          </w:p>
        </w:tc>
        <w:tc>
          <w:tcPr>
            <w:tcW w:type="dxa" w:w="38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Aucune</w:t>
            </w:r>
          </w:p>
        </w:tc>
      </w:tr>
      <w:tr>
        <w:tc>
          <w:tcPr>
            <w:tcW w:type="dxa" w:w="24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2 — Identification / QR</w:t>
            </w:r>
          </w:p>
        </w:tc>
        <w:tc>
          <w:tcPr>
            <w:tcW w:type="dxa" w:w="37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QR Code : sélectionne le passeport à mettre à jour</w:t>
            </w:r>
          </w:p>
        </w:tc>
        <w:tc>
          <w:tcPr>
            <w:tcW w:type="dxa" w:w="38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Aucune (confirmation uniquement)</w:t>
            </w:r>
          </w:p>
        </w:tc>
      </w:tr>
      <w:tr>
        <w:tc>
          <w:tcPr>
            <w:tcW w:type="dxa" w:w="24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3 — Identité et trajet</w:t>
            </w:r>
          </w:p>
        </w:tc>
        <w:tc>
          <w:tcPr>
            <w:tcW w:type="dxa" w:w="37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Consolas" w:cs="Consolas" w:eastAsia="Consolas" w:hAnsi="Consolas"/>
                <w:b w:val="false"/>
                <w:bCs w:val="false"/>
                <w:color w:val="15202B"/>
                <w:sz w:val="16"/>
                <w:szCs w:val="16"/>
              </w:rPr>
              <w:t xml:space="preserve">Nom, prénoms, CNI du propriétaire et du convoyeur ; pays/province d’origine et de destination</w:t>
            </w:r>
          </w:p>
        </w:tc>
        <w:tc>
          <w:tcPr>
            <w:tcW w:type="dxa" w:w="38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Eleveur, Convoyeur, Itineraire</w:t>
            </w:r>
          </w:p>
        </w:tc>
      </w:tr>
      <w:tr>
        <w:tc>
          <w:tcPr>
            <w:tcW w:type="dxa" w:w="24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4 — Cheptel et santé</w:t>
            </w:r>
          </w:p>
        </w:tc>
        <w:tc>
          <w:tcPr>
            <w:tcW w:type="dxa" w:w="37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Consolas" w:cs="Consolas" w:eastAsia="Consolas" w:hAnsi="Consolas"/>
                <w:b w:val="false"/>
                <w:bCs w:val="false"/>
                <w:color w:val="15202B"/>
                <w:sz w:val="16"/>
                <w:szCs w:val="16"/>
              </w:rPr>
              <w:t xml:space="preserve">Effectifs par espèce (mâles/femelles/jeunes/total) ; date de vaccination par maladie</w:t>
            </w:r>
          </w:p>
        </w:tc>
        <w:tc>
          <w:tcPr>
            <w:tcW w:type="dxa" w:w="38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Troupeau, TroupeauEspece (1 par espèce), Vaccination (1 par maladie)</w:t>
            </w:r>
          </w:p>
        </w:tc>
      </w:tr>
    </w:tbl>
    <w:p>
      <w:pPr>
        <w:spacing w:after="120"/>
      </w:pPr>
    </w:p>
    <w:p>
      <w:pPr>
        <w:pBdr>
          <w:bottom w:val="single" w:color="F5C518" w:sz="8"/>
        </w:pBdr>
        <w:spacing w:after="120" w:before="220"/>
      </w:pPr>
      <w:r>
        <w:rPr>
          <w:rFonts w:ascii="Arial" w:cs="Arial" w:eastAsia="Arial" w:hAnsi="Arial"/>
          <w:b/>
          <w:bCs/>
          <w:color w:val="15202B"/>
          <w:sz w:val="22"/>
          <w:szCs w:val="22"/>
        </w:rPr>
        <w:t xml:space="preserve">Saisie structurée du troupeau et des vaccinations</w:t>
      </w:r>
    </w:p>
    <w:p>
      <w:pPr>
        <w:pStyle w:val="ListParagraph"/>
        <w:numPr>
          <w:ilvl w:val="0"/>
          <w:numId w:val="2"/>
        </w:numPr>
        <w:spacing w:after="70"/>
      </w:pPr>
      <w:r>
        <w:rPr>
          <w:sz w:val="1"/>
          <w:szCs w:val="1"/>
        </w:rPr>
        <w:t xml:space="preserve"/>
      </w:r>
      <w:r>
        <w:rPr>
          <w:rFonts w:ascii="Arial" w:cs="Arial" w:eastAsia="Arial" w:hAnsi="Arial"/>
          <w:color w:val="15202B"/>
          <w:sz w:val="20"/>
          <w:szCs w:val="20"/>
        </w:rPr>
        <w:t xml:space="preserve">Sur la page 4, l’agent choisit l’espèce dans une liste déroulante (bovin, ovin, caprin, camelin, autre) ; le formulaire affiche alors les champs nombre de mâles, nombre de femelles, nombre de jeunes et calcule automatiquement le nombre total.</w:t>
      </w:r>
    </w:p>
    <w:p>
      <w:pPr>
        <w:pStyle w:val="ListParagraph"/>
        <w:numPr>
          <w:ilvl w:val="0"/>
          <w:numId w:val="2"/>
        </w:numPr>
        <w:spacing w:after="70"/>
      </w:pPr>
      <w:r>
        <w:rPr>
          <w:sz w:val="1"/>
          <w:szCs w:val="1"/>
        </w:rPr>
        <w:t xml:space="preserve"/>
      </w:r>
      <w:r>
        <w:rPr>
          <w:rFonts w:ascii="Arial" w:cs="Arial" w:eastAsia="Arial" w:hAnsi="Arial"/>
          <w:color w:val="15202B"/>
          <w:sz w:val="20"/>
          <w:szCs w:val="20"/>
        </w:rPr>
        <w:t xml:space="preserve">Plusieurs espèces peuvent être ajoutées pour un même troupeau (ex. bovins et caprins dans le même convoi) : chaque espèce ajoutée devient une ligne TroupeauEspece distincte.</w:t>
      </w:r>
    </w:p>
    <w:p>
      <w:pPr>
        <w:pStyle w:val="ListParagraph"/>
        <w:numPr>
          <w:ilvl w:val="0"/>
          <w:numId w:val="2"/>
        </w:numPr>
        <w:spacing w:after="70"/>
      </w:pPr>
      <w:r>
        <w:rPr>
          <w:sz w:val="1"/>
          <w:szCs w:val="1"/>
        </w:rPr>
        <w:t xml:space="preserve"/>
      </w:r>
      <w:r>
        <w:rPr>
          <w:rFonts w:ascii="Arial" w:cs="Arial" w:eastAsia="Arial" w:hAnsi="Arial"/>
          <w:color w:val="15202B"/>
          <w:sz w:val="20"/>
          <w:szCs w:val="20"/>
        </w:rPr>
        <w:t xml:space="preserve">Pour chaque maladie contrôlée (Peste des Petits Ruminants, péripneumonie contagieuse, charbon, trypanosomiase), l’agent saisit la date de vaccination et le lieu ; chaque maladie renseignée devient une ligne Vaccination.</w:t>
      </w:r>
    </w:p>
    <w:p>
      <w:pPr>
        <w:pStyle w:val="ListParagraph"/>
        <w:numPr>
          <w:ilvl w:val="0"/>
          <w:numId w:val="2"/>
        </w:numPr>
        <w:spacing w:after="70"/>
      </w:pPr>
      <w:r>
        <w:rPr>
          <w:sz w:val="1"/>
          <w:szCs w:val="1"/>
        </w:rPr>
        <w:t xml:space="preserve"/>
      </w:r>
      <w:r>
        <w:rPr>
          <w:rFonts w:ascii="Arial" w:cs="Arial" w:eastAsia="Arial" w:hAnsi="Arial"/>
          <w:color w:val="15202B"/>
          <w:sz w:val="20"/>
          <w:szCs w:val="20"/>
        </w:rPr>
        <w:t xml:space="preserve">L’origine et la destination ne sont jamais prédéfinies (elles ne figurent pas dans la Commande) : sur la page 3, l’agent demande à l’éleveur ou au convoyeur son pays et sa province d’origine, puis sa destination, et les inscrit à la main sur le PPB avant de les vérifier via le formulaire — ces informations créent l’enregistrement Itineraire du passeport.</w:t>
      </w:r>
    </w:p>
    <w:p>
      <w:pPr>
        <w:pBdr>
          <w:bottom w:val="single" w:color="F5C518" w:sz="8"/>
        </w:pBdr>
        <w:spacing w:after="120" w:before="220"/>
      </w:pPr>
      <w:r>
        <w:rPr>
          <w:rFonts w:ascii="Arial" w:cs="Arial" w:eastAsia="Arial" w:hAnsi="Arial"/>
          <w:b/>
          <w:bCs/>
          <w:color w:val="15202B"/>
          <w:sz w:val="22"/>
          <w:szCs w:val="22"/>
        </w:rPr>
        <w:t xml:space="preserve">Endpoints API</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3600"/>
        <w:gridCol w:w="5006"/>
      </w:tblGrid>
      <w:tr>
        <w:tc>
          <w:tcPr>
            <w:tcW w:type="dxa" w:w="1300"/>
            <w:tcBorders>
              <w:top w:val="single" w:color="1E3A6E" w:sz="4"/>
              <w:left w:val="single" w:color="1E3A6E" w:sz="4"/>
              <w:bottom w:val="single" w:color="1E3A6E" w:sz="4"/>
              <w:right w:val="single" w:color="1E3A6E" w:sz="4"/>
            </w:tcBorders>
            <w:shd w:fill="1E3A6E" w:val="clear"/>
            <w:tcMar>
              <w:top w:type="dxa" w:w="80"/>
              <w:left w:type="dxa" w:w="110"/>
              <w:bottom w:type="dxa" w:w="80"/>
              <w:right w:type="dxa" w:w="110"/>
            </w:tcMar>
          </w:tcPr>
          <w:p>
            <w:r>
              <w:rPr>
                <w:rFonts w:ascii="Arial" w:cs="Arial" w:eastAsia="Arial" w:hAnsi="Arial"/>
                <w:b/>
                <w:bCs/>
                <w:color w:val="FFFFFF"/>
                <w:sz w:val="17"/>
                <w:szCs w:val="17"/>
              </w:rPr>
              <w:t xml:space="preserve">Méthode</w:t>
            </w:r>
          </w:p>
        </w:tc>
        <w:tc>
          <w:tcPr>
            <w:tcW w:type="dxa" w:w="3600"/>
            <w:tcBorders>
              <w:top w:val="single" w:color="1E3A6E" w:sz="4"/>
              <w:left w:val="single" w:color="1E3A6E" w:sz="4"/>
              <w:bottom w:val="single" w:color="1E3A6E" w:sz="4"/>
              <w:right w:val="single" w:color="1E3A6E" w:sz="4"/>
            </w:tcBorders>
            <w:shd w:fill="1E3A6E" w:val="clear"/>
            <w:tcMar>
              <w:top w:type="dxa" w:w="80"/>
              <w:left w:type="dxa" w:w="110"/>
              <w:bottom w:type="dxa" w:w="80"/>
              <w:right w:type="dxa" w:w="110"/>
            </w:tcMar>
          </w:tcPr>
          <w:p>
            <w:r>
              <w:rPr>
                <w:rFonts w:ascii="Arial" w:cs="Arial" w:eastAsia="Arial" w:hAnsi="Arial"/>
                <w:b/>
                <w:bCs/>
                <w:color w:val="FFFFFF"/>
                <w:sz w:val="17"/>
                <w:szCs w:val="17"/>
              </w:rPr>
              <w:t xml:space="preserve">Endpoint</w:t>
            </w:r>
          </w:p>
        </w:tc>
        <w:tc>
          <w:tcPr>
            <w:tcW w:type="dxa" w:w="5006"/>
            <w:tcBorders>
              <w:top w:val="single" w:color="1E3A6E" w:sz="4"/>
              <w:left w:val="single" w:color="1E3A6E" w:sz="4"/>
              <w:bottom w:val="single" w:color="1E3A6E" w:sz="4"/>
              <w:right w:val="single" w:color="1E3A6E" w:sz="4"/>
            </w:tcBorders>
            <w:shd w:fill="1E3A6E" w:val="clear"/>
            <w:tcMar>
              <w:top w:type="dxa" w:w="80"/>
              <w:left w:type="dxa" w:w="110"/>
              <w:bottom w:type="dxa" w:w="80"/>
              <w:right w:type="dxa" w:w="110"/>
            </w:tcMar>
          </w:tcPr>
          <w:p>
            <w:r>
              <w:rPr>
                <w:rFonts w:ascii="Arial" w:cs="Arial" w:eastAsia="Arial" w:hAnsi="Arial"/>
                <w:b/>
                <w:bCs/>
                <w:color w:val="FFFFFF"/>
                <w:sz w:val="17"/>
                <w:szCs w:val="17"/>
              </w:rPr>
              <w:t xml:space="preserve">Description</w:t>
            </w:r>
          </w:p>
        </w:tc>
      </w:tr>
      <w:tr>
        <w:tc>
          <w:tcPr>
            <w:tcW w:type="dxa" w:w="13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Consolas" w:cs="Consolas" w:eastAsia="Consolas" w:hAnsi="Consolas"/>
                <w:b/>
                <w:bCs/>
                <w:color w:val="1E3A6E"/>
                <w:sz w:val="16"/>
                <w:szCs w:val="16"/>
              </w:rPr>
              <w:t xml:space="preserve">POST</w:t>
            </w:r>
          </w:p>
        </w:tc>
        <w:tc>
          <w:tcPr>
            <w:tcW w:type="dxa" w:w="36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Consolas" w:cs="Consolas" w:eastAsia="Consolas" w:hAnsi="Consolas"/>
                <w:color w:val="15202B"/>
                <w:sz w:val="16"/>
                <w:szCs w:val="16"/>
              </w:rPr>
              <w:t xml:space="preserve">/api/v1/numerisations/{passeport_id}/pages/{n}</w:t>
            </w:r>
          </w:p>
        </w:tc>
        <w:tc>
          <w:tcPr>
            <w:tcW w:type="dxa" w:w="50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color w:val="15202B"/>
                <w:sz w:val="16"/>
                <w:szCs w:val="16"/>
              </w:rPr>
              <w:t xml:space="preserve">Transmettre les données validées d’une page (1 à 4), avec file d’attente locale si hors-ligne</w:t>
            </w:r>
          </w:p>
        </w:tc>
      </w:tr>
      <w:tr>
        <w:tc>
          <w:tcPr>
            <w:tcW w:type="dxa" w:w="13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Consolas" w:cs="Consolas" w:eastAsia="Consolas" w:hAnsi="Consolas"/>
                <w:b/>
                <w:bCs/>
                <w:color w:val="0B6B3A"/>
                <w:sz w:val="16"/>
                <w:szCs w:val="16"/>
              </w:rPr>
              <w:t xml:space="preserve">GET</w:t>
            </w:r>
          </w:p>
        </w:tc>
        <w:tc>
          <w:tcPr>
            <w:tcW w:type="dxa" w:w="36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Consolas" w:cs="Consolas" w:eastAsia="Consolas" w:hAnsi="Consolas"/>
                <w:color w:val="15202B"/>
                <w:sz w:val="16"/>
                <w:szCs w:val="16"/>
              </w:rPr>
              <w:t xml:space="preserve">/api/v1/numerisations/{passeport_id}</w:t>
            </w:r>
          </w:p>
        </w:tc>
        <w:tc>
          <w:tcPr>
            <w:tcW w:type="dxa" w:w="50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color w:val="15202B"/>
                <w:sz w:val="16"/>
                <w:szCs w:val="16"/>
              </w:rPr>
              <w:t xml:space="preserve">Consulter les données validées associées à un passeport</w:t>
            </w:r>
          </w:p>
        </w:tc>
      </w:tr>
      <w:tr>
        <w:tc>
          <w:tcPr>
            <w:tcW w:type="dxa" w:w="13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Consolas" w:cs="Consolas" w:eastAsia="Consolas" w:hAnsi="Consolas"/>
                <w:b/>
                <w:bCs/>
                <w:color w:val="0B6B3A"/>
                <w:sz w:val="16"/>
                <w:szCs w:val="16"/>
              </w:rPr>
              <w:t xml:space="preserve">GET</w:t>
            </w:r>
          </w:p>
        </w:tc>
        <w:tc>
          <w:tcPr>
            <w:tcW w:type="dxa" w:w="36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Consolas" w:cs="Consolas" w:eastAsia="Consolas" w:hAnsi="Consolas"/>
                <w:color w:val="15202B"/>
                <w:sz w:val="16"/>
                <w:szCs w:val="16"/>
              </w:rPr>
              <w:t xml:space="preserve">/api/v1/passeports/cache-emission</w:t>
            </w:r>
          </w:p>
        </w:tc>
        <w:tc>
          <w:tcPr>
            <w:tcW w:type="dxa" w:w="50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color w:val="15202B"/>
                <w:sz w:val="16"/>
                <w:szCs w:val="16"/>
              </w:rPr>
              <w:t xml:space="preserve">Télécharger la liste des numéros préchargés pour usage hors-ligne</w:t>
            </w:r>
          </w:p>
        </w:tc>
      </w:tr>
    </w:tbl>
    <w:p>
      <w:pPr>
        <w:pBdr>
          <w:bottom w:val="single" w:color="F5C518" w:sz="8"/>
        </w:pBdr>
        <w:spacing w:after="120" w:before="220"/>
      </w:pPr>
      <w:r>
        <w:rPr>
          <w:rFonts w:ascii="Arial" w:cs="Arial" w:eastAsia="Arial" w:hAnsi="Arial"/>
          <w:b/>
          <w:bCs/>
          <w:color w:val="15202B"/>
          <w:sz w:val="22"/>
          <w:szCs w:val="22"/>
        </w:rPr>
        <w:t xml:space="preserve">Points d’attention</w:t>
      </w:r>
    </w:p>
    <w:p>
      <w:pPr>
        <w:pStyle w:val="ListParagraph"/>
        <w:numPr>
          <w:ilvl w:val="0"/>
          <w:numId w:val="2"/>
        </w:numPr>
        <w:spacing w:after="70"/>
      </w:pPr>
      <w:r>
        <w:rPr>
          <w:sz w:val="1"/>
          <w:szCs w:val="1"/>
        </w:rPr>
        <w:t xml:space="preserve"/>
      </w:r>
      <w:r>
        <w:rPr>
          <w:rFonts w:ascii="Arial" w:cs="Arial" w:eastAsia="Arial" w:hAnsi="Arial"/>
          <w:color w:val="15202B"/>
          <w:sz w:val="20"/>
          <w:szCs w:val="20"/>
        </w:rPr>
        <w:t xml:space="preserve">Aucune image n’est transmise au serveur ni conservée après validation : seules les données structurées le sont, ce qui réduit fortement le volume à synchroniser.</w:t>
      </w:r>
    </w:p>
    <w:p>
      <w:pPr>
        <w:pStyle w:val="ListParagraph"/>
        <w:numPr>
          <w:ilvl w:val="0"/>
          <w:numId w:val="2"/>
        </w:numPr>
        <w:spacing w:after="70"/>
      </w:pPr>
      <w:r>
        <w:rPr>
          <w:sz w:val="1"/>
          <w:szCs w:val="1"/>
        </w:rPr>
        <w:t xml:space="preserve"/>
      </w:r>
      <w:r>
        <w:rPr>
          <w:rFonts w:ascii="Arial" w:cs="Arial" w:eastAsia="Arial" w:hAnsi="Arial"/>
          <w:color w:val="15202B"/>
          <w:sz w:val="20"/>
          <w:szCs w:val="20"/>
        </w:rPr>
        <w:t xml:space="preserve">Toute correction reste possible tant que la page n’a pas été validée par l’agent.</w:t>
      </w:r>
    </w:p>
    <w:p>
      <w:pPr>
        <w:pStyle w:val="ListParagraph"/>
        <w:numPr>
          <w:ilvl w:val="0"/>
          <w:numId w:val="2"/>
        </w:numPr>
        <w:spacing w:after="70"/>
      </w:pPr>
      <w:r>
        <w:rPr>
          <w:sz w:val="1"/>
          <w:szCs w:val="1"/>
        </w:rPr>
        <w:t xml:space="preserve"/>
      </w:r>
      <w:r>
        <w:rPr>
          <w:rFonts w:ascii="Arial" w:cs="Arial" w:eastAsia="Arial" w:hAnsi="Arial"/>
          <w:color w:val="15202B"/>
          <w:sz w:val="20"/>
          <w:szCs w:val="20"/>
        </w:rPr>
        <w:t xml:space="preserve">Limite de rétention hors-ligne recommandée : 60 jours de données non synchronisées.</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6406"/>
        <w:gridCol w:w="2600"/>
      </w:tblGrid>
      <w:tr>
        <w:tc>
          <w:tcPr>
            <w:tcW w:type="dxa" w:w="900"/>
            <w:tcBorders>
              <w:top w:val="single" w:color="1E3A6E" w:sz="4"/>
              <w:left w:val="single" w:color="1E3A6E" w:sz="4"/>
              <w:bottom w:val="single" w:color="1E3A6E" w:sz="4"/>
              <w:right w:val="single" w:color="1E3A6E" w:sz="4"/>
            </w:tcBorders>
            <w:shd w:fill="1E3A6E"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M5</w:t>
            </w:r>
          </w:p>
        </w:tc>
        <w:tc>
          <w:tcPr>
            <w:tcW w:type="dxa" w:w="6406"/>
            <w:tcBorders>
              <w:top w:val="single" w:color="E8E4DA" w:sz="4"/>
              <w:left w:val="single" w:color="E8E4DA" w:sz="4"/>
              <w:bottom w:val="single" w:color="E8E4DA" w:sz="4"/>
              <w:right w:val="single" w:color="E8E4DA" w:sz="4"/>
            </w:tcBorders>
            <w:tcMar>
              <w:top w:type="dxa" w:w="100"/>
              <w:left w:type="dxa" w:w="160"/>
              <w:bottom w:type="dxa" w:w="100"/>
              <w:right w:type="dxa" w:w="100"/>
            </w:tcMar>
            <w:vAlign w:val="center"/>
          </w:tcPr>
          <w:p>
            <w:r>
              <w:rPr>
                <w:rFonts w:ascii="Arial" w:cs="Arial" w:eastAsia="Arial" w:hAnsi="Arial"/>
                <w:b/>
                <w:bCs/>
                <w:color w:val="15202B"/>
                <w:sz w:val="24"/>
                <w:szCs w:val="24"/>
              </w:rPr>
              <w:t xml:space="preserve">Contrôle</w:t>
            </w:r>
          </w:p>
        </w:tc>
        <w:tc>
          <w:tcPr>
            <w:tcW w:type="dxa" w:w="2600"/>
            <w:tcBorders>
              <w:top w:val="single" w:color="F5C518" w:sz="4"/>
              <w:left w:val="single" w:color="F5C518" w:sz="4"/>
              <w:bottom w:val="single" w:color="F5C518" w:sz="4"/>
              <w:right w:val="single" w:color="F5C518" w:sz="4"/>
            </w:tcBorders>
            <w:shd w:fill="F5C518" w:val="clear"/>
            <w:tcMar>
              <w:top w:type="dxa" w:w="100"/>
              <w:left w:type="dxa" w:w="100"/>
              <w:bottom w:type="dxa" w:w="100"/>
              <w:right w:type="dxa" w:w="100"/>
            </w:tcMar>
            <w:vAlign w:val="center"/>
          </w:tcPr>
          <w:p>
            <w:pPr>
              <w:jc w:val="center"/>
            </w:pPr>
            <w:r>
              <w:rPr>
                <w:rFonts w:ascii="Arial" w:cs="Arial" w:eastAsia="Arial" w:hAnsi="Arial"/>
                <w:b/>
                <w:bCs/>
                <w:color w:val="15202B"/>
                <w:sz w:val="16"/>
                <w:szCs w:val="16"/>
              </w:rPr>
              <w:t xml:space="preserve">FRONTIÈRE — EN LIGNE / HORS-LIGNE</w:t>
            </w:r>
          </w:p>
        </w:tc>
      </w:tr>
    </w:tbl>
    <w:p>
      <w:pPr>
        <w:spacing w:after="140"/>
      </w:pPr>
    </w:p>
    <w:p>
      <w:pPr>
        <w:pBdr>
          <w:bottom w:val="single" w:color="F5C518" w:sz="8"/>
        </w:pBdr>
        <w:spacing w:after="120" w:before="220"/>
      </w:pPr>
      <w:r>
        <w:rPr>
          <w:rFonts w:ascii="Arial" w:cs="Arial" w:eastAsia="Arial" w:hAnsi="Arial"/>
          <w:b/>
          <w:bCs/>
          <w:color w:val="15202B"/>
          <w:sz w:val="22"/>
          <w:szCs w:val="22"/>
        </w:rPr>
        <w:t xml:space="preserve">Objectif</w:t>
      </w:r>
    </w:p>
    <w:p>
      <w:pPr>
        <w:spacing w:after="130"/>
      </w:pPr>
      <w:r>
        <w:rPr>
          <w:rFonts w:ascii="Arial" w:cs="Arial" w:eastAsia="Arial" w:hAnsi="Arial"/>
          <w:b w:val="false"/>
          <w:bCs w:val="false"/>
          <w:i w:val="false"/>
          <w:iCs w:val="false"/>
          <w:color w:val="15202B"/>
          <w:sz w:val="20"/>
          <w:szCs w:val="20"/>
        </w:rPr>
        <w:t xml:space="preserve">Permettre à l'agent de contrôle de vérifier instantanément l'authenticité d'un PPB présenté à un poste frontière, avec ou sans connexion réseau.</w:t>
      </w:r>
    </w:p>
    <w:p>
      <w:pPr>
        <w:pBdr>
          <w:bottom w:val="single" w:color="F5C518" w:sz="8"/>
        </w:pBdr>
        <w:spacing w:after="120" w:before="220"/>
      </w:pPr>
      <w:r>
        <w:rPr>
          <w:rFonts w:ascii="Arial" w:cs="Arial" w:eastAsia="Arial" w:hAnsi="Arial"/>
          <w:b/>
          <w:bCs/>
          <w:color w:val="15202B"/>
          <w:sz w:val="22"/>
          <w:szCs w:val="22"/>
        </w:rPr>
        <w:t xml:space="preserve">Mise à jour automatique de la base locale (dès connexion)</w:t>
      </w:r>
    </w:p>
    <w:p>
      <w:pPr>
        <w:spacing w:after="130"/>
      </w:pPr>
      <w:r>
        <w:rPr>
          <w:rFonts w:ascii="Arial" w:cs="Arial" w:eastAsia="Arial" w:hAnsi="Arial"/>
          <w:b w:val="false"/>
          <w:bCs w:val="false"/>
          <w:i w:val="false"/>
          <w:iCs w:val="false"/>
          <w:color w:val="15202B"/>
          <w:sz w:val="20"/>
          <w:szCs w:val="20"/>
        </w:rPr>
        <w:t xml:space="preserve">Le poste de contrôle ne télécharge pas manuellement les nouveautés : dès que l'application détecte une connexion réseau — même de quelques secondes —, elle déclenche automatiquement une synchronisation différentielle (delta) avec l'index central, sans aucune action de l'agent. Cet index a déjà été alimenté en temps réel dès l'attribution des passeports (Module 3), immédiatement après confirmation du paiement.</w:t>
      </w:r>
    </w:p>
    <w:p>
      <w:pPr>
        <w:pStyle w:val="ListParagraph"/>
        <w:numPr>
          <w:ilvl w:val="0"/>
          <w:numId w:val="8"/>
        </w:numPr>
        <w:spacing w:after="80"/>
      </w:pPr>
      <w:r>
        <w:rPr>
          <w:rFonts w:ascii="Arial" w:cs="Arial" w:eastAsia="Arial" w:hAnsi="Arial"/>
          <w:b/>
          <w:bCs/>
          <w:color w:val="15202B"/>
          <w:sz w:val="20"/>
          <w:szCs w:val="20"/>
        </w:rPr>
        <w:t xml:space="preserve">Génération et publication — </w:t>
      </w:r>
      <w:r>
        <w:rPr>
          <w:rFonts w:ascii="Arial" w:cs="Arial" w:eastAsia="Arial" w:hAnsi="Arial"/>
          <w:color w:val="15202B"/>
          <w:sz w:val="20"/>
          <w:szCs w:val="20"/>
        </w:rPr>
        <w:t xml:space="preserve">Dès confirmation du paiement et attribution (Module 3), les nouveaux identifiants sont publiés vers l’index central de vérification.</w:t>
      </w:r>
    </w:p>
    <w:p>
      <w:pPr>
        <w:pStyle w:val="ListParagraph"/>
        <w:numPr>
          <w:ilvl w:val="0"/>
          <w:numId w:val="8"/>
        </w:numPr>
        <w:spacing w:after="80"/>
      </w:pPr>
      <w:r>
        <w:rPr>
          <w:rFonts w:ascii="Arial" w:cs="Arial" w:eastAsia="Arial" w:hAnsi="Arial"/>
          <w:b/>
          <w:bCs/>
          <w:color w:val="15202B"/>
          <w:sz w:val="20"/>
          <w:szCs w:val="20"/>
        </w:rPr>
        <w:t xml:space="preserve">Détection automatique de connexion — </w:t>
      </w:r>
      <w:r>
        <w:rPr>
          <w:rFonts w:ascii="Arial" w:cs="Arial" w:eastAsia="Arial" w:hAnsi="Arial"/>
          <w:color w:val="15202B"/>
          <w:sz w:val="20"/>
          <w:szCs w:val="20"/>
        </w:rPr>
        <w:t xml:space="preserve">Un event listener (Background Sync API) détecte le retour réseau et déclenche automatiquement l’appel de synchronisation, sans intervention de l’agent.</w:t>
      </w:r>
    </w:p>
    <w:p>
      <w:pPr>
        <w:pStyle w:val="ListParagraph"/>
        <w:numPr>
          <w:ilvl w:val="0"/>
          <w:numId w:val="8"/>
        </w:numPr>
        <w:spacing w:after="80"/>
      </w:pPr>
      <w:r>
        <w:rPr>
          <w:rFonts w:ascii="Arial" w:cs="Arial" w:eastAsia="Arial" w:hAnsi="Arial"/>
          <w:b/>
          <w:bCs/>
          <w:color w:val="15202B"/>
          <w:sz w:val="20"/>
          <w:szCs w:val="20"/>
        </w:rPr>
        <w:t xml:space="preserve">Synchronisation différentielle — </w:t>
      </w:r>
      <w:r>
        <w:rPr>
          <w:rFonts w:ascii="Arial" w:cs="Arial" w:eastAsia="Arial" w:hAnsi="Arial"/>
          <w:color w:val="15202B"/>
          <w:sz w:val="20"/>
          <w:szCs w:val="20"/>
        </w:rPr>
        <w:t xml:space="preserve">Seules les entrées nouvelles ou modifiées depuis la dernière synchronisation de ce poste sont transmises, via un horodatage de référence (paramètre depuis).</w:t>
      </w:r>
    </w:p>
    <w:p>
      <w:pPr>
        <w:pStyle w:val="ListParagraph"/>
        <w:numPr>
          <w:ilvl w:val="0"/>
          <w:numId w:val="8"/>
        </w:numPr>
        <w:spacing w:after="80"/>
      </w:pPr>
      <w:r>
        <w:rPr>
          <w:rFonts w:ascii="Arial" w:cs="Arial" w:eastAsia="Arial" w:hAnsi="Arial"/>
          <w:b/>
          <w:bCs/>
          <w:color w:val="15202B"/>
          <w:sz w:val="20"/>
          <w:szCs w:val="20"/>
        </w:rPr>
        <w:t xml:space="preserve">Mise à jour de la base locale — </w:t>
      </w:r>
      <w:r>
        <w:rPr>
          <w:rFonts w:ascii="Arial" w:cs="Arial" w:eastAsia="Arial" w:hAnsi="Arial"/>
          <w:color w:val="15202B"/>
          <w:sz w:val="20"/>
          <w:szCs w:val="20"/>
        </w:rPr>
        <w:t xml:space="preserve">La base IndexedDB locale du poste est mise à jour automatiquement ; les nouvelles commandes deviennent immédiatement vérifiables, y compris si le poste repasse ensuite hors connexion.</w:t>
      </w:r>
    </w:p>
    <w:p>
      <w:pPr>
        <w:pBdr>
          <w:bottom w:val="single" w:color="F5C518" w:sz="8"/>
        </w:pBdr>
        <w:spacing w:after="120" w:before="220"/>
      </w:pPr>
      <w:r>
        <w:rPr>
          <w:rFonts w:ascii="Arial" w:cs="Arial" w:eastAsia="Arial" w:hAnsi="Arial"/>
          <w:b/>
          <w:bCs/>
          <w:color w:val="15202B"/>
          <w:sz w:val="22"/>
          <w:szCs w:val="22"/>
        </w:rPr>
        <w:t xml:space="preserve">Workflow de contrôle</w:t>
      </w:r>
    </w:p>
    <w:p>
      <w:pPr>
        <w:pStyle w:val="ListParagraph"/>
        <w:numPr>
          <w:ilvl w:val="0"/>
          <w:numId w:val="9"/>
        </w:numPr>
        <w:spacing w:after="80"/>
      </w:pPr>
      <w:r>
        <w:rPr>
          <w:rFonts w:ascii="Arial" w:cs="Arial" w:eastAsia="Arial" w:hAnsi="Arial"/>
          <w:b/>
          <w:bCs/>
          <w:color w:val="15202B"/>
          <w:sz w:val="20"/>
          <w:szCs w:val="20"/>
        </w:rPr>
        <w:t xml:space="preserve">Scan — </w:t>
      </w:r>
      <w:r>
        <w:rPr>
          <w:rFonts w:ascii="Arial" w:cs="Arial" w:eastAsia="Arial" w:hAnsi="Arial"/>
          <w:color w:val="15202B"/>
          <w:sz w:val="20"/>
          <w:szCs w:val="20"/>
        </w:rPr>
        <w:t xml:space="preserve">L’agent scanne le QR Code du passeport présenté (html5-qrcode).</w:t>
      </w:r>
    </w:p>
    <w:p>
      <w:pPr>
        <w:pStyle w:val="ListParagraph"/>
        <w:numPr>
          <w:ilvl w:val="0"/>
          <w:numId w:val="9"/>
        </w:numPr>
        <w:spacing w:after="80"/>
      </w:pPr>
      <w:r>
        <w:rPr>
          <w:rFonts w:ascii="Arial" w:cs="Arial" w:eastAsia="Arial" w:hAnsi="Arial"/>
          <w:b/>
          <w:bCs/>
          <w:color w:val="15202B"/>
          <w:sz w:val="20"/>
          <w:szCs w:val="20"/>
        </w:rPr>
        <w:t xml:space="preserve">Mode en ligne — </w:t>
      </w:r>
      <w:r>
        <w:rPr>
          <w:rFonts w:ascii="Arial" w:cs="Arial" w:eastAsia="Arial" w:hAnsi="Arial"/>
          <w:color w:val="15202B"/>
          <w:sz w:val="20"/>
          <w:szCs w:val="20"/>
        </w:rPr>
        <w:t xml:space="preserve">Vérification complète via l’API (base centrale).</w:t>
      </w:r>
    </w:p>
    <w:p>
      <w:pPr>
        <w:pStyle w:val="ListParagraph"/>
        <w:numPr>
          <w:ilvl w:val="0"/>
          <w:numId w:val="9"/>
        </w:numPr>
        <w:spacing w:after="80"/>
      </w:pPr>
      <w:r>
        <w:rPr>
          <w:rFonts w:ascii="Arial" w:cs="Arial" w:eastAsia="Arial" w:hAnsi="Arial"/>
          <w:b/>
          <w:bCs/>
          <w:color w:val="15202B"/>
          <w:sz w:val="20"/>
          <w:szCs w:val="20"/>
        </w:rPr>
        <w:t xml:space="preserve">Mode hors-ligne — </w:t>
      </w:r>
      <w:r>
        <w:rPr>
          <w:rFonts w:ascii="Arial" w:cs="Arial" w:eastAsia="Arial" w:hAnsi="Arial"/>
          <w:color w:val="15202B"/>
          <w:sz w:val="20"/>
          <w:szCs w:val="20"/>
        </w:rPr>
        <w:t xml:space="preserve">Vérification de la signature numérique locale à partir de la base préalablement synchronisée automatiquement (valable 60 jours sans reconnexion) — cette vérification d’authenticité fonctionne toujours, y compris si l’itinéraire n’est pas encore disponible.</w:t>
      </w:r>
    </w:p>
    <w:p>
      <w:pPr>
        <w:pStyle w:val="ListParagraph"/>
        <w:numPr>
          <w:ilvl w:val="0"/>
          <w:numId w:val="9"/>
        </w:numPr>
        <w:spacing w:after="80"/>
      </w:pPr>
      <w:r>
        <w:rPr>
          <w:rFonts w:ascii="Arial" w:cs="Arial" w:eastAsia="Arial" w:hAnsi="Arial"/>
          <w:b/>
          <w:bCs/>
          <w:color w:val="15202B"/>
          <w:sz w:val="20"/>
          <w:szCs w:val="20"/>
        </w:rPr>
        <w:t xml:space="preserve">Vérification de conformité du trajet — </w:t>
      </w:r>
      <w:r>
        <w:rPr>
          <w:rFonts w:ascii="Arial" w:cs="Arial" w:eastAsia="Arial" w:hAnsi="Arial"/>
          <w:color w:val="15202B"/>
          <w:sz w:val="20"/>
          <w:szCs w:val="20"/>
        </w:rPr>
        <w:t xml:space="preserve">L’application vérifie si l’Itineraire de ce passeport a déjà été synchronisé jusqu’à ce poste (champ itineraire_disponible_localement). Si oui, le poste où se trouve l’agent est comparé à l’origine et à la destination déclarées ; toute incohérence positionne conforme_itineraire à faux. Si non, la conformité reste indéterminée et l’agent doit se reporter à l’itinéraire manuscrit visible sur la page 3 du document papier.</w:t>
      </w:r>
    </w:p>
    <w:p>
      <w:pPr>
        <w:pStyle w:val="ListParagraph"/>
        <w:numPr>
          <w:ilvl w:val="0"/>
          <w:numId w:val="9"/>
        </w:numPr>
        <w:spacing w:after="80"/>
      </w:pPr>
      <w:r>
        <w:rPr>
          <w:rFonts w:ascii="Arial" w:cs="Arial" w:eastAsia="Arial" w:hAnsi="Arial"/>
          <w:b/>
          <w:bCs/>
          <w:color w:val="15202B"/>
          <w:sz w:val="20"/>
          <w:szCs w:val="20"/>
        </w:rPr>
        <w:t xml:space="preserve">Comparaison terrain — </w:t>
      </w:r>
      <w:r>
        <w:rPr>
          <w:rFonts w:ascii="Arial" w:cs="Arial" w:eastAsia="Arial" w:hAnsi="Arial"/>
          <w:color w:val="15202B"/>
          <w:sz w:val="20"/>
          <w:szCs w:val="20"/>
        </w:rPr>
        <w:t xml:space="preserve">Comparaison des informations du passeport avec le troupeau présenté et les certificats sanitaires.</w:t>
      </w:r>
    </w:p>
    <w:p>
      <w:pPr>
        <w:pStyle w:val="ListParagraph"/>
        <w:numPr>
          <w:ilvl w:val="0"/>
          <w:numId w:val="9"/>
        </w:numPr>
        <w:spacing w:after="80"/>
      </w:pPr>
      <w:r>
        <w:rPr>
          <w:rFonts w:ascii="Arial" w:cs="Arial" w:eastAsia="Arial" w:hAnsi="Arial"/>
          <w:b/>
          <w:bCs/>
          <w:color w:val="15202B"/>
          <w:sz w:val="20"/>
          <w:szCs w:val="20"/>
        </w:rPr>
        <w:t xml:space="preserve">Enregistrement — </w:t>
      </w:r>
      <w:r>
        <w:rPr>
          <w:rFonts w:ascii="Arial" w:cs="Arial" w:eastAsia="Arial" w:hAnsi="Arial"/>
          <w:color w:val="15202B"/>
          <w:sz w:val="20"/>
          <w:szCs w:val="20"/>
        </w:rPr>
        <w:t xml:space="preserve">Le résultat (validation ou refus), la disponibilité de l’itinéraire et sa conformité éventuelle sont enregistrés localement puis synchronisés au retour de connexion.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F5C518" w:sz="4"/>
              <w:left w:val="single" w:color="F5C518" w:sz="24"/>
              <w:bottom w:val="single" w:color="F5C518" w:sz="4"/>
              <w:right w:val="single" w:color="F5C518" w:sz="4"/>
            </w:tcBorders>
            <w:shd w:fill="FDF6DC" w:val="clear"/>
            <w:tcMar>
              <w:top w:type="dxa" w:w="140"/>
              <w:left w:type="dxa" w:w="200"/>
              <w:bottom w:type="dxa" w:w="140"/>
              <w:right w:type="dxa" w:w="200"/>
            </w:tcMar>
          </w:tcPr>
          <w:p>
            <w:pPr>
              <w:spacing w:after="50"/>
            </w:pPr>
            <w:r>
              <w:rPr>
                <w:rFonts w:ascii="Arial" w:cs="Arial" w:eastAsia="Arial" w:hAnsi="Arial"/>
                <w:b/>
                <w:bCs/>
                <w:color w:val="8A6D00"/>
                <w:spacing w:val="8"/>
                <w:sz w:val="17"/>
                <w:szCs w:val="17"/>
              </w:rPr>
              <w:t xml:space="preserve">UN PASSEPORT N’EST VALABLE QUE POUR SON TRAJET DÉCLARÉ</w:t>
            </w:r>
          </w:p>
          <w:p>
            <w:r>
              <w:rPr>
                <w:rFonts w:ascii="Arial" w:cs="Arial" w:eastAsia="Arial" w:hAnsi="Arial"/>
                <w:color w:val="15202B"/>
                <w:sz w:val="19"/>
                <w:szCs w:val="19"/>
              </w:rPr>
              <w:t xml:space="preserve">Un PPB émis pour Ngueli (Tchad) → Kousséri (Cameroun) n’autorise pas le franchissement d’une frontière vers la République Centrafricaine ou le Gabon. Si le poste de contrôle ne correspond pas à l’itinéraire déclaré, le contrôle doit être traité comme une anomalie (résultat « refusé » ou « à vérifier »), que la vérification s’effectue en ligne ou hors-ligne.</w:t>
            </w:r>
          </w:p>
        </w:tc>
      </w:tr>
    </w:tbl>
    <w:p>
      <w:pPr>
        <w:spacing w:after="140"/>
      </w:pPr>
    </w:p>
    <w:p>
      <w:pPr>
        <w:pBdr>
          <w:bottom w:val="single" w:color="F5C518" w:sz="8"/>
        </w:pBdr>
        <w:spacing w:after="120" w:before="220"/>
      </w:pPr>
      <w:r>
        <w:rPr>
          <w:rFonts w:ascii="Arial" w:cs="Arial" w:eastAsia="Arial" w:hAnsi="Arial"/>
          <w:b/>
          <w:bCs/>
          <w:color w:val="15202B"/>
          <w:sz w:val="22"/>
          <w:szCs w:val="22"/>
        </w:rPr>
        <w:t xml:space="preserve">Le décalage possible entre émission et contrôle</w:t>
      </w:r>
    </w:p>
    <w:p>
      <w:pPr>
        <w:spacing w:after="130"/>
      </w:pPr>
      <w:r>
        <w:rPr>
          <w:rFonts w:ascii="Arial" w:cs="Arial" w:eastAsia="Arial" w:hAnsi="Arial"/>
          <w:b w:val="false"/>
          <w:bCs w:val="false"/>
          <w:i w:val="false"/>
          <w:iCs w:val="false"/>
          <w:color w:val="15202B"/>
          <w:sz w:val="20"/>
          <w:szCs w:val="20"/>
        </w:rPr>
        <w:t xml:space="preserve">L’origine et la destination ne sont ni prédéfinies à la commande, ni connues au moment de l’attribution du QR Code : elles sont déclarées oralement à l’agent d’émission par l’éleveur ou le convoyeur, uniquement au moment de remplir le PPB sur le terrain (Module 4). La vérification numérique de conformité au poste de contrôle dépend donc d’une double synchronisation, potentiellement différée :</w:t>
      </w:r>
    </w:p>
    <w:p>
      <w:pPr>
        <w:pStyle w:val="ListParagraph"/>
        <w:numPr>
          <w:ilvl w:val="0"/>
          <w:numId w:val="10"/>
        </w:numPr>
        <w:spacing w:after="80"/>
      </w:pPr>
      <w:r>
        <w:rPr>
          <w:rFonts w:ascii="Arial" w:cs="Arial" w:eastAsia="Arial" w:hAnsi="Arial"/>
          <w:b/>
          <w:bCs/>
          <w:color w:val="15202B"/>
          <w:sz w:val="20"/>
          <w:szCs w:val="20"/>
        </w:rPr>
        <w:t xml:space="preserve">Synchronisation côté émission — </w:t>
      </w:r>
      <w:r>
        <w:rPr>
          <w:rFonts w:ascii="Arial" w:cs="Arial" w:eastAsia="Arial" w:hAnsi="Arial"/>
          <w:color w:val="15202B"/>
          <w:sz w:val="20"/>
          <w:szCs w:val="20"/>
        </w:rPr>
        <w:t xml:space="preserve">Le terminal de l’agent d’émission doit avoir retrouvé une connexion pour transmettre la page 3 validée (contenant l’Itineraire) au serveur central.</w:t>
      </w:r>
    </w:p>
    <w:p>
      <w:pPr>
        <w:pStyle w:val="ListParagraph"/>
        <w:numPr>
          <w:ilvl w:val="0"/>
          <w:numId w:val="10"/>
        </w:numPr>
        <w:spacing w:after="80"/>
      </w:pPr>
      <w:r>
        <w:rPr>
          <w:rFonts w:ascii="Arial" w:cs="Arial" w:eastAsia="Arial" w:hAnsi="Arial"/>
          <w:b/>
          <w:bCs/>
          <w:color w:val="15202B"/>
          <w:sz w:val="20"/>
          <w:szCs w:val="20"/>
        </w:rPr>
        <w:t xml:space="preserve">Synchronisation côté contrôle — </w:t>
      </w:r>
      <w:r>
        <w:rPr>
          <w:rFonts w:ascii="Arial" w:cs="Arial" w:eastAsia="Arial" w:hAnsi="Arial"/>
          <w:color w:val="15202B"/>
          <w:sz w:val="20"/>
          <w:szCs w:val="20"/>
        </w:rPr>
        <w:t xml:space="preserve">Le terminal de l’agent de contrôle doit, à son tour, avoir synchronisé cette mise à jour depuis le serveur avant que le passeport concerné ne soit présenté à son poste.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F5C518" w:sz="4"/>
              <w:left w:val="single" w:color="F5C518" w:sz="24"/>
              <w:bottom w:val="single" w:color="F5C518" w:sz="4"/>
              <w:right w:val="single" w:color="F5C518" w:sz="4"/>
            </w:tcBorders>
            <w:shd w:fill="FDF6DC" w:val="clear"/>
            <w:tcMar>
              <w:top w:type="dxa" w:w="140"/>
              <w:left w:type="dxa" w:w="200"/>
              <w:bottom w:type="dxa" w:w="140"/>
              <w:right w:type="dxa" w:w="200"/>
            </w:tcMar>
          </w:tcPr>
          <w:p>
            <w:pPr>
              <w:spacing w:after="50"/>
            </w:pPr>
            <w:r>
              <w:rPr>
                <w:rFonts w:ascii="Arial" w:cs="Arial" w:eastAsia="Arial" w:hAnsi="Arial"/>
                <w:b/>
                <w:bCs/>
                <w:color w:val="8A6D00"/>
                <w:spacing w:val="8"/>
                <w:sz w:val="17"/>
                <w:szCs w:val="17"/>
              </w:rPr>
              <w:t xml:space="preserve">REPLI SUR LE DOCUMENT PAPIER</w:t>
            </w:r>
          </w:p>
          <w:p>
            <w:r>
              <w:rPr>
                <w:rFonts w:ascii="Arial" w:cs="Arial" w:eastAsia="Arial" w:hAnsi="Arial"/>
                <w:color w:val="15202B"/>
                <w:sz w:val="19"/>
                <w:szCs w:val="19"/>
              </w:rPr>
              <w:t xml:space="preserve">Si l’Itineraire n’a pas encore atteint le poste de contrôle (itineraire_disponible_localement à faux), l’application ne doit ni bloquer ni déclarer conforme par défaut : elle affiche « itinéraire non encore synchronisé » et invite l’agent à vérifier la page 3 manuscrite du document physique, qui reste la source d’information disponible immédiatement, cohérente avec la conception hors-ligne de l’ensemble du système. Dès que la synchronisation rattrape son retard, le contrôle déjà enregistré peut être audité a posteriori.</w:t>
            </w:r>
          </w:p>
        </w:tc>
      </w:tr>
    </w:tbl>
    <w:p>
      <w:pPr>
        <w:pBdr>
          <w:bottom w:val="single" w:color="F5C518" w:sz="8"/>
        </w:pBdr>
        <w:spacing w:after="120" w:before="220"/>
      </w:pPr>
      <w:r>
        <w:rPr>
          <w:rFonts w:ascii="Arial" w:cs="Arial" w:eastAsia="Arial" w:hAnsi="Arial"/>
          <w:b/>
          <w:bCs/>
          <w:color w:val="15202B"/>
          <w:sz w:val="22"/>
          <w:szCs w:val="22"/>
        </w:rPr>
        <w:t xml:space="preserve">Endpoints API</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3600"/>
        <w:gridCol w:w="5006"/>
      </w:tblGrid>
      <w:tr>
        <w:tc>
          <w:tcPr>
            <w:tcW w:type="dxa" w:w="1300"/>
            <w:tcBorders>
              <w:top w:val="single" w:color="1E3A6E" w:sz="4"/>
              <w:left w:val="single" w:color="1E3A6E" w:sz="4"/>
              <w:bottom w:val="single" w:color="1E3A6E" w:sz="4"/>
              <w:right w:val="single" w:color="1E3A6E" w:sz="4"/>
            </w:tcBorders>
            <w:shd w:fill="1E3A6E" w:val="clear"/>
            <w:tcMar>
              <w:top w:type="dxa" w:w="80"/>
              <w:left w:type="dxa" w:w="110"/>
              <w:bottom w:type="dxa" w:w="80"/>
              <w:right w:type="dxa" w:w="110"/>
            </w:tcMar>
          </w:tcPr>
          <w:p>
            <w:r>
              <w:rPr>
                <w:rFonts w:ascii="Arial" w:cs="Arial" w:eastAsia="Arial" w:hAnsi="Arial"/>
                <w:b/>
                <w:bCs/>
                <w:color w:val="FFFFFF"/>
                <w:sz w:val="17"/>
                <w:szCs w:val="17"/>
              </w:rPr>
              <w:t xml:space="preserve">Méthode</w:t>
            </w:r>
          </w:p>
        </w:tc>
        <w:tc>
          <w:tcPr>
            <w:tcW w:type="dxa" w:w="3600"/>
            <w:tcBorders>
              <w:top w:val="single" w:color="1E3A6E" w:sz="4"/>
              <w:left w:val="single" w:color="1E3A6E" w:sz="4"/>
              <w:bottom w:val="single" w:color="1E3A6E" w:sz="4"/>
              <w:right w:val="single" w:color="1E3A6E" w:sz="4"/>
            </w:tcBorders>
            <w:shd w:fill="1E3A6E" w:val="clear"/>
            <w:tcMar>
              <w:top w:type="dxa" w:w="80"/>
              <w:left w:type="dxa" w:w="110"/>
              <w:bottom w:type="dxa" w:w="80"/>
              <w:right w:type="dxa" w:w="110"/>
            </w:tcMar>
          </w:tcPr>
          <w:p>
            <w:r>
              <w:rPr>
                <w:rFonts w:ascii="Arial" w:cs="Arial" w:eastAsia="Arial" w:hAnsi="Arial"/>
                <w:b/>
                <w:bCs/>
                <w:color w:val="FFFFFF"/>
                <w:sz w:val="17"/>
                <w:szCs w:val="17"/>
              </w:rPr>
              <w:t xml:space="preserve">Endpoint</w:t>
            </w:r>
          </w:p>
        </w:tc>
        <w:tc>
          <w:tcPr>
            <w:tcW w:type="dxa" w:w="5006"/>
            <w:tcBorders>
              <w:top w:val="single" w:color="1E3A6E" w:sz="4"/>
              <w:left w:val="single" w:color="1E3A6E" w:sz="4"/>
              <w:bottom w:val="single" w:color="1E3A6E" w:sz="4"/>
              <w:right w:val="single" w:color="1E3A6E" w:sz="4"/>
            </w:tcBorders>
            <w:shd w:fill="1E3A6E" w:val="clear"/>
            <w:tcMar>
              <w:top w:type="dxa" w:w="80"/>
              <w:left w:type="dxa" w:w="110"/>
              <w:bottom w:type="dxa" w:w="80"/>
              <w:right w:type="dxa" w:w="110"/>
            </w:tcMar>
          </w:tcPr>
          <w:p>
            <w:r>
              <w:rPr>
                <w:rFonts w:ascii="Arial" w:cs="Arial" w:eastAsia="Arial" w:hAnsi="Arial"/>
                <w:b/>
                <w:bCs/>
                <w:color w:val="FFFFFF"/>
                <w:sz w:val="17"/>
                <w:szCs w:val="17"/>
              </w:rPr>
              <w:t xml:space="preserve">Description</w:t>
            </w:r>
          </w:p>
        </w:tc>
      </w:tr>
      <w:tr>
        <w:tc>
          <w:tcPr>
            <w:tcW w:type="dxa" w:w="13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Consolas" w:cs="Consolas" w:eastAsia="Consolas" w:hAnsi="Consolas"/>
                <w:b/>
                <w:bCs/>
                <w:color w:val="1E3A6E"/>
                <w:sz w:val="16"/>
                <w:szCs w:val="16"/>
              </w:rPr>
              <w:t xml:space="preserve">POST</w:t>
            </w:r>
          </w:p>
        </w:tc>
        <w:tc>
          <w:tcPr>
            <w:tcW w:type="dxa" w:w="36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Consolas" w:cs="Consolas" w:eastAsia="Consolas" w:hAnsi="Consolas"/>
                <w:color w:val="15202B"/>
                <w:sz w:val="16"/>
                <w:szCs w:val="16"/>
              </w:rPr>
              <w:t xml:space="preserve">/api/v1/controles</w:t>
            </w:r>
          </w:p>
        </w:tc>
        <w:tc>
          <w:tcPr>
            <w:tcW w:type="dxa" w:w="50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color w:val="15202B"/>
                <w:sz w:val="16"/>
                <w:szCs w:val="16"/>
              </w:rPr>
              <w:t xml:space="preserve">Enregistrer un contrôle (avec géolocalisation automatique)</w:t>
            </w:r>
          </w:p>
        </w:tc>
      </w:tr>
      <w:tr>
        <w:tc>
          <w:tcPr>
            <w:tcW w:type="dxa" w:w="13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Consolas" w:cs="Consolas" w:eastAsia="Consolas" w:hAnsi="Consolas"/>
                <w:b/>
                <w:bCs/>
                <w:color w:val="0B6B3A"/>
                <w:sz w:val="16"/>
                <w:szCs w:val="16"/>
              </w:rPr>
              <w:t xml:space="preserve">GET</w:t>
            </w:r>
          </w:p>
        </w:tc>
        <w:tc>
          <w:tcPr>
            <w:tcW w:type="dxa" w:w="36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Consolas" w:cs="Consolas" w:eastAsia="Consolas" w:hAnsi="Consolas"/>
                <w:color w:val="15202B"/>
                <w:sz w:val="16"/>
                <w:szCs w:val="16"/>
              </w:rPr>
              <w:t xml:space="preserve">/api/v1/controles/cache-verification/delta?depuis=</w:t>
            </w:r>
          </w:p>
        </w:tc>
        <w:tc>
          <w:tcPr>
            <w:tcW w:type="dxa" w:w="50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color w:val="15202B"/>
                <w:sz w:val="16"/>
                <w:szCs w:val="16"/>
              </w:rPr>
              <w:t xml:space="preserve">Synchronisation différentielle automatique, déclenchée par l’app dès détection réseau</w:t>
            </w:r>
          </w:p>
        </w:tc>
      </w:tr>
      <w:tr>
        <w:tc>
          <w:tcPr>
            <w:tcW w:type="dxa" w:w="13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Consolas" w:cs="Consolas" w:eastAsia="Consolas" w:hAnsi="Consolas"/>
                <w:b/>
                <w:bCs/>
                <w:color w:val="0B6B3A"/>
                <w:sz w:val="16"/>
                <w:szCs w:val="16"/>
              </w:rPr>
              <w:t xml:space="preserve">GET</w:t>
            </w:r>
          </w:p>
        </w:tc>
        <w:tc>
          <w:tcPr>
            <w:tcW w:type="dxa" w:w="36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Consolas" w:cs="Consolas" w:eastAsia="Consolas" w:hAnsi="Consolas"/>
                <w:color w:val="15202B"/>
                <w:sz w:val="16"/>
                <w:szCs w:val="16"/>
              </w:rPr>
              <w:t xml:space="preserve">/api/v1/controles/cache-verification</w:t>
            </w:r>
          </w:p>
        </w:tc>
        <w:tc>
          <w:tcPr>
            <w:tcW w:type="dxa" w:w="50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color w:val="15202B"/>
                <w:sz w:val="16"/>
                <w:szCs w:val="16"/>
              </w:rPr>
              <w:t xml:space="preserve">Téléchargement complet du cache (première installation du poste)</w:t>
            </w:r>
          </w:p>
        </w:tc>
      </w:tr>
      <w:tr>
        <w:tc>
          <w:tcPr>
            <w:tcW w:type="dxa" w:w="13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Consolas" w:cs="Consolas" w:eastAsia="Consolas" w:hAnsi="Consolas"/>
                <w:b/>
                <w:bCs/>
                <w:color w:val="0B6B3A"/>
                <w:sz w:val="16"/>
                <w:szCs w:val="16"/>
              </w:rPr>
              <w:t xml:space="preserve">GET</w:t>
            </w:r>
          </w:p>
        </w:tc>
        <w:tc>
          <w:tcPr>
            <w:tcW w:type="dxa" w:w="36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Consolas" w:cs="Consolas" w:eastAsia="Consolas" w:hAnsi="Consolas"/>
                <w:color w:val="15202B"/>
                <w:sz w:val="16"/>
                <w:szCs w:val="16"/>
              </w:rPr>
              <w:t xml:space="preserve">/api/v1/controles?poste_id=&amp;periode=</w:t>
            </w:r>
          </w:p>
        </w:tc>
        <w:tc>
          <w:tcPr>
            <w:tcW w:type="dxa" w:w="50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color w:val="15202B"/>
                <w:sz w:val="16"/>
                <w:szCs w:val="16"/>
              </w:rPr>
              <w:t xml:space="preserve">Historique des contrôles d’un poste</w:t>
            </w:r>
          </w:p>
        </w:tc>
      </w:tr>
    </w:tbl>
    <w:p>
      <w:pPr>
        <w:pBdr>
          <w:bottom w:val="single" w:color="F5C518" w:sz="8"/>
        </w:pBdr>
        <w:spacing w:after="120" w:before="220"/>
      </w:pPr>
      <w:r>
        <w:rPr>
          <w:rFonts w:ascii="Arial" w:cs="Arial" w:eastAsia="Arial" w:hAnsi="Arial"/>
          <w:b/>
          <w:bCs/>
          <w:color w:val="15202B"/>
          <w:sz w:val="22"/>
          <w:szCs w:val="22"/>
        </w:rPr>
        <w:t xml:space="preserve">Sécurité</w:t>
      </w:r>
    </w:p>
    <w:p>
      <w:pPr>
        <w:pStyle w:val="ListParagraph"/>
        <w:numPr>
          <w:ilvl w:val="0"/>
          <w:numId w:val="2"/>
        </w:numPr>
        <w:spacing w:after="70"/>
      </w:pPr>
      <w:r>
        <w:rPr>
          <w:sz w:val="1"/>
          <w:szCs w:val="1"/>
        </w:rPr>
        <w:t xml:space="preserve"/>
      </w:r>
      <w:r>
        <w:rPr>
          <w:rFonts w:ascii="Arial" w:cs="Arial" w:eastAsia="Arial" w:hAnsi="Arial"/>
          <w:color w:val="15202B"/>
          <w:sz w:val="20"/>
          <w:szCs w:val="20"/>
        </w:rPr>
        <w:t xml:space="preserve">Seule la clé publique est présente côté client — jamais la clé privée de signature.</w:t>
      </w:r>
    </w:p>
    <w:p>
      <w:pPr>
        <w:pStyle w:val="ListParagraph"/>
        <w:numPr>
          <w:ilvl w:val="0"/>
          <w:numId w:val="2"/>
        </w:numPr>
        <w:spacing w:after="70"/>
      </w:pPr>
      <w:r>
        <w:rPr>
          <w:sz w:val="1"/>
          <w:szCs w:val="1"/>
        </w:rPr>
        <w:t xml:space="preserve"/>
      </w:r>
      <w:r>
        <w:rPr>
          <w:rFonts w:ascii="Arial" w:cs="Arial" w:eastAsia="Arial" w:hAnsi="Arial"/>
          <w:color w:val="15202B"/>
          <w:sz w:val="20"/>
          <w:szCs w:val="20"/>
        </w:rPr>
        <w:t xml:space="preserve">Toute révocation de passeport est propagée automatiquement dès la prochaine synchronisation déclenchée par la connexion de l’application (voir mécanisme ci-dessus).</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0B6B3A" w:sz="4"/>
              <w:left w:val="single" w:color="0B6B3A" w:sz="4"/>
              <w:bottom w:val="single" w:color="0B6B3A" w:sz="4"/>
              <w:right w:val="single" w:color="0B6B3A" w:sz="4"/>
            </w:tcBorders>
            <w:shd w:fill="0B6B3A" w:val="clear"/>
            <w:tcMar>
              <w:top w:type="dxa" w:w="160"/>
              <w:left w:type="dxa" w:w="220"/>
              <w:bottom w:type="dxa" w:w="160"/>
              <w:right w:type="dxa" w:w="220"/>
            </w:tcMar>
          </w:tcPr>
          <w:p>
            <w:r>
              <w:rPr>
                <w:rFonts w:ascii="Arial" w:cs="Arial" w:eastAsia="Arial" w:hAnsi="Arial"/>
                <w:b/>
                <w:bCs/>
                <w:color w:val="F5C518"/>
                <w:sz w:val="30"/>
                <w:szCs w:val="30"/>
              </w:rPr>
              <w:t xml:space="preserve">4.  </w:t>
            </w:r>
            <w:r>
              <w:rPr>
                <w:rFonts w:ascii="Arial" w:cs="Arial" w:eastAsia="Arial" w:hAnsi="Arial"/>
                <w:b/>
                <w:bCs/>
                <w:color w:val="FFFFFF"/>
                <w:sz w:val="30"/>
                <w:szCs w:val="30"/>
              </w:rPr>
              <w:t xml:space="preserve">Module Administration — Configuration dynamique</w:t>
            </w:r>
          </w:p>
        </w:tc>
      </w:tr>
    </w:tbl>
    <w:p>
      <w:pPr>
        <w:spacing w:after="140"/>
      </w:pPr>
    </w:p>
    <w:p>
      <w:pPr>
        <w:spacing w:after="130"/>
      </w:pPr>
      <w:r>
        <w:rPr>
          <w:rFonts w:ascii="Arial" w:cs="Arial" w:eastAsia="Arial" w:hAnsi="Arial"/>
          <w:b w:val="false"/>
          <w:bCs w:val="false"/>
          <w:i w:val="false"/>
          <w:iCs w:val="false"/>
          <w:color w:val="15202B"/>
          <w:sz w:val="20"/>
          <w:szCs w:val="20"/>
        </w:rPr>
        <w:t xml:space="preserve">Ce module répond à une exigence transversale : le Super Administrateur doit pouvoir ajouter, modifier ou retirer les champs des formulaires métier (informations éleveur, convoyeur, troupeau, etc.) ainsi que les paramètres du système (prix du PPB, quantités min/max, délais) sans qu'aucune intervention sur le code source ni sur le schéma de la base de données ne soit nécessaire.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F5C518" w:sz="4"/>
              <w:left w:val="single" w:color="F5C518" w:sz="24"/>
              <w:bottom w:val="single" w:color="F5C518" w:sz="4"/>
              <w:right w:val="single" w:color="F5C518" w:sz="4"/>
            </w:tcBorders>
            <w:shd w:fill="FDF6DC" w:val="clear"/>
            <w:tcMar>
              <w:top w:type="dxa" w:w="140"/>
              <w:left w:type="dxa" w:w="200"/>
              <w:bottom w:type="dxa" w:w="140"/>
              <w:right w:type="dxa" w:w="200"/>
            </w:tcMar>
          </w:tcPr>
          <w:p>
            <w:pPr>
              <w:spacing w:after="50"/>
            </w:pPr>
            <w:r>
              <w:rPr>
                <w:rFonts w:ascii="Arial" w:cs="Arial" w:eastAsia="Arial" w:hAnsi="Arial"/>
                <w:b/>
                <w:bCs/>
                <w:color w:val="8A6D00"/>
                <w:spacing w:val="8"/>
                <w:sz w:val="17"/>
                <w:szCs w:val="17"/>
              </w:rPr>
              <w:t xml:space="preserve">PRINCIPE ARCHITECTURAL</w:t>
            </w:r>
          </w:p>
          <w:p>
            <w:r>
              <w:rPr>
                <w:rFonts w:ascii="Arial" w:cs="Arial" w:eastAsia="Arial" w:hAnsi="Arial"/>
                <w:color w:val="15202B"/>
                <w:sz w:val="19"/>
                <w:szCs w:val="19"/>
              </w:rPr>
              <w:t xml:space="preserve">La plateforme distingue les champs structurels (identifiants, statuts, numéro de passeport, signature — figés, jamais éditables) des champs métier (informations descriptives : identité, coordonnées, catégories). Les champs structurels restent des colonnes classiques de la base ; les champs métier sont pilotés par une définition dynamique et stockés en JSONB, un type de colonne PostgreSQL nativement indexable et interrogeable.</w:t>
            </w:r>
          </w:p>
        </w:tc>
      </w:tr>
    </w:tbl>
    <w:p>
      <w:pPr>
        <w:spacing w:after="160"/>
      </w:pPr>
    </w:p>
    <w:p>
      <w:pPr>
        <w:pBdr>
          <w:bottom w:val="single" w:color="F5C518" w:sz="8"/>
        </w:pBdr>
        <w:spacing w:after="120" w:before="220"/>
      </w:pPr>
      <w:r>
        <w:rPr>
          <w:rFonts w:ascii="Arial" w:cs="Arial" w:eastAsia="Arial" w:hAnsi="Arial"/>
          <w:b/>
          <w:bCs/>
          <w:color w:val="15202B"/>
          <w:sz w:val="22"/>
          <w:szCs w:val="22"/>
        </w:rPr>
        <w:t xml:space="preserve">Modèle de données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4000"/>
        <w:gridCol w:w="2706"/>
      </w:tblGrid>
      <w:tr>
        <w:tc>
          <w:tcPr>
            <w:tcW w:type="dxa" w:w="3200"/>
            <w:tcBorders>
              <w:top w:val="single" w:color="0B6B3A" w:sz="4"/>
              <w:left w:val="single" w:color="0B6B3A" w:sz="4"/>
              <w:bottom w:val="single" w:color="0B6B3A" w:sz="4"/>
              <w:right w:val="single" w:color="0B6B3A" w:sz="4"/>
            </w:tcBorders>
            <w:shd w:fill="0B6B3A" w:val="clear"/>
            <w:tcMar>
              <w:top w:type="dxa" w:w="80"/>
              <w:left w:type="dxa" w:w="110"/>
              <w:bottom w:type="dxa" w:w="80"/>
              <w:right w:type="dxa" w:w="110"/>
            </w:tcMar>
          </w:tcPr>
          <w:p>
            <w:r>
              <w:rPr>
                <w:rFonts w:ascii="Arial" w:cs="Arial" w:eastAsia="Arial" w:hAnsi="Arial"/>
                <w:b/>
                <w:bCs/>
                <w:color w:val="FFFFFF"/>
                <w:sz w:val="17"/>
                <w:szCs w:val="17"/>
              </w:rPr>
              <w:t xml:space="preserve">Entité</w:t>
            </w:r>
          </w:p>
        </w:tc>
        <w:tc>
          <w:tcPr>
            <w:tcW w:type="dxa" w:w="4000"/>
            <w:tcBorders>
              <w:top w:val="single" w:color="0B6B3A" w:sz="4"/>
              <w:left w:val="single" w:color="0B6B3A" w:sz="4"/>
              <w:bottom w:val="single" w:color="0B6B3A" w:sz="4"/>
              <w:right w:val="single" w:color="0B6B3A" w:sz="4"/>
            </w:tcBorders>
            <w:shd w:fill="0B6B3A" w:val="clear"/>
            <w:tcMar>
              <w:top w:type="dxa" w:w="80"/>
              <w:left w:type="dxa" w:w="110"/>
              <w:bottom w:type="dxa" w:w="80"/>
              <w:right w:type="dxa" w:w="110"/>
            </w:tcMar>
          </w:tcPr>
          <w:p>
            <w:r>
              <w:rPr>
                <w:rFonts w:ascii="Arial" w:cs="Arial" w:eastAsia="Arial" w:hAnsi="Arial"/>
                <w:b/>
                <w:bCs/>
                <w:color w:val="FFFFFF"/>
                <w:sz w:val="17"/>
                <w:szCs w:val="17"/>
              </w:rPr>
              <w:t xml:space="preserve">Champs clés</w:t>
            </w:r>
          </w:p>
        </w:tc>
        <w:tc>
          <w:tcPr>
            <w:tcW w:type="dxa" w:w="2706"/>
            <w:tcBorders>
              <w:top w:val="single" w:color="0B6B3A" w:sz="4"/>
              <w:left w:val="single" w:color="0B6B3A" w:sz="4"/>
              <w:bottom w:val="single" w:color="0B6B3A" w:sz="4"/>
              <w:right w:val="single" w:color="0B6B3A" w:sz="4"/>
            </w:tcBorders>
            <w:shd w:fill="0B6B3A" w:val="clear"/>
            <w:tcMar>
              <w:top w:type="dxa" w:w="80"/>
              <w:left w:type="dxa" w:w="110"/>
              <w:bottom w:type="dxa" w:w="80"/>
              <w:right w:type="dxa" w:w="110"/>
            </w:tcMar>
          </w:tcPr>
          <w:p>
            <w:r>
              <w:rPr>
                <w:rFonts w:ascii="Arial" w:cs="Arial" w:eastAsia="Arial" w:hAnsi="Arial"/>
                <w:b/>
                <w:bCs/>
                <w:color w:val="FFFFFF"/>
                <w:sz w:val="17"/>
                <w:szCs w:val="17"/>
              </w:rPr>
              <w:t xml:space="preserve">Rôle</w:t>
            </w:r>
          </w:p>
        </w:tc>
      </w:tr>
      <w:tr>
        <w:tc>
          <w:tcPr>
            <w:tcW w:type="dxa" w:w="32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DefinitionFormulaire</w:t>
            </w:r>
          </w:p>
        </w:tc>
        <w:tc>
          <w:tcPr>
            <w:tcW w:type="dxa" w:w="40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id, code, nom, description</w:t>
            </w:r>
          </w:p>
        </w:tc>
        <w:tc>
          <w:tcPr>
            <w:tcW w:type="dxa" w:w="27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Un formulaire configurable (ex. « éleveur », « convoyeur », « troupeau »)</w:t>
            </w:r>
          </w:p>
        </w:tc>
      </w:tr>
      <w:tr>
        <w:tc>
          <w:tcPr>
            <w:tcW w:type="dxa" w:w="32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DefinitionChamp</w:t>
            </w:r>
          </w:p>
        </w:tc>
        <w:tc>
          <w:tcPr>
            <w:tcW w:type="dxa" w:w="40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Consolas" w:cs="Consolas" w:eastAsia="Consolas" w:hAnsi="Consolas"/>
                <w:b w:val="false"/>
                <w:bCs w:val="false"/>
                <w:color w:val="15202B"/>
                <w:sz w:val="16"/>
                <w:szCs w:val="16"/>
              </w:rPr>
              <w:t xml:space="preserve">id, formulaireId, codeChamp, libelleFr/En/Ar, typeChamp, obligatoire, ordreAffichage, actif, regleValidation, optionsListe, version</w:t>
            </w:r>
          </w:p>
        </w:tc>
        <w:tc>
          <w:tcPr>
            <w:tcW w:type="dxa" w:w="27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Un champ configurable au sein d’un formulaire, avec sa règle d’affichage et de validation</w:t>
            </w:r>
          </w:p>
        </w:tc>
      </w:tr>
      <w:tr>
        <w:tc>
          <w:tcPr>
            <w:tcW w:type="dxa" w:w="32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Parametre</w:t>
            </w:r>
          </w:p>
        </w:tc>
        <w:tc>
          <w:tcPr>
            <w:tcW w:type="dxa" w:w="40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id, cle, valeur, type, description, modifiablePar</w:t>
            </w:r>
          </w:p>
        </w:tc>
        <w:tc>
          <w:tcPr>
            <w:tcW w:type="dxa" w:w="27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Un paramètre système (prix unitaire du PPB, quantités, délais, etc.)</w:t>
            </w:r>
          </w:p>
        </w:tc>
      </w:tr>
      <w:tr>
        <w:tc>
          <w:tcPr>
            <w:tcW w:type="dxa" w:w="32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Entité métier (ex. Éleveur)</w:t>
            </w:r>
          </w:p>
        </w:tc>
        <w:tc>
          <w:tcPr>
            <w:tcW w:type="dxa" w:w="40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champs structurels fixes + donneesDynamiques (JSONB)</w:t>
            </w:r>
          </w:p>
        </w:tc>
        <w:tc>
          <w:tcPr>
            <w:tcW w:type="dxa" w:w="27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Les données saisies, dont la partie variable suit la DefinitionChamp active au moment de la saisie</w:t>
            </w:r>
          </w:p>
        </w:tc>
      </w:tr>
    </w:tbl>
    <w:p>
      <w:pPr>
        <w:spacing w:after="140"/>
      </w:pPr>
    </w:p>
    <w:p>
      <w:pPr>
        <w:pBdr>
          <w:bottom w:val="single" w:color="F5C518" w:sz="8"/>
        </w:pBdr>
        <w:spacing w:after="120" w:before="220"/>
      </w:pPr>
      <w:r>
        <w:rPr>
          <w:rFonts w:ascii="Arial" w:cs="Arial" w:eastAsia="Arial" w:hAnsi="Arial"/>
          <w:b/>
          <w:bCs/>
          <w:color w:val="15202B"/>
          <w:sz w:val="22"/>
          <w:szCs w:val="22"/>
        </w:rPr>
        <w:t xml:space="preserve">Workflow — modification d’un champ par le Super Administrateur</w:t>
      </w:r>
    </w:p>
    <w:p>
      <w:pPr>
        <w:pStyle w:val="ListParagraph"/>
        <w:numPr>
          <w:ilvl w:val="0"/>
          <w:numId w:val="11"/>
        </w:numPr>
        <w:spacing w:after="80"/>
      </w:pPr>
      <w:r>
        <w:rPr>
          <w:rFonts w:ascii="Arial" w:cs="Arial" w:eastAsia="Arial" w:hAnsi="Arial"/>
          <w:b/>
          <w:bCs/>
          <w:color w:val="15202B"/>
          <w:sz w:val="20"/>
          <w:szCs w:val="20"/>
        </w:rPr>
        <w:t xml:space="preserve">Action dans le Web Admin — </w:t>
      </w:r>
      <w:r>
        <w:rPr>
          <w:rFonts w:ascii="Arial" w:cs="Arial" w:eastAsia="Arial" w:hAnsi="Arial"/>
          <w:color w:val="15202B"/>
          <w:sz w:val="20"/>
          <w:szCs w:val="20"/>
        </w:rPr>
        <w:t xml:space="preserve">Le Super Administrateur ajoute, modifie ou désactive un champ depuis l’interface d’administration (Web Admin) — par exemple, ajouter « Nationalité » et « E-mail », retirer « Téléphone » du formulaire Éleveur.</w:t>
      </w:r>
    </w:p>
    <w:p>
      <w:pPr>
        <w:pStyle w:val="ListParagraph"/>
        <w:numPr>
          <w:ilvl w:val="0"/>
          <w:numId w:val="11"/>
        </w:numPr>
        <w:spacing w:after="80"/>
      </w:pPr>
      <w:r>
        <w:rPr>
          <w:rFonts w:ascii="Arial" w:cs="Arial" w:eastAsia="Arial" w:hAnsi="Arial"/>
          <w:b/>
          <w:bCs/>
          <w:color w:val="15202B"/>
          <w:sz w:val="20"/>
          <w:szCs w:val="20"/>
        </w:rPr>
        <w:t xml:space="preserve">Validation et versionnement — </w:t>
      </w:r>
      <w:r>
        <w:rPr>
          <w:rFonts w:ascii="Arial" w:cs="Arial" w:eastAsia="Arial" w:hAnsi="Arial"/>
          <w:color w:val="15202B"/>
          <w:sz w:val="20"/>
          <w:szCs w:val="20"/>
        </w:rPr>
        <w:t xml:space="preserve">Le backend valide la cohérence de la définition (type de champ, règle de validation, absence de conflit avec un champ structurel), puis incrémente la version du schéma du formulaire concerné.</w:t>
      </w:r>
    </w:p>
    <w:p>
      <w:pPr>
        <w:pStyle w:val="ListParagraph"/>
        <w:numPr>
          <w:ilvl w:val="0"/>
          <w:numId w:val="11"/>
        </w:numPr>
        <w:spacing w:after="80"/>
      </w:pPr>
      <w:r>
        <w:rPr>
          <w:rFonts w:ascii="Arial" w:cs="Arial" w:eastAsia="Arial" w:hAnsi="Arial"/>
          <w:b/>
          <w:bCs/>
          <w:color w:val="15202B"/>
          <w:sz w:val="20"/>
          <w:szCs w:val="20"/>
        </w:rPr>
        <w:t xml:space="preserve">Mise à jour du schéma public — </w:t>
      </w:r>
      <w:r>
        <w:rPr>
          <w:rFonts w:ascii="Arial" w:cs="Arial" w:eastAsia="Arial" w:hAnsi="Arial"/>
          <w:color w:val="15202B"/>
          <w:sz w:val="20"/>
          <w:szCs w:val="20"/>
        </w:rPr>
        <w:t xml:space="preserve">Le endpoint public de schéma (consulté par le Web Admin, l’application d’émission et le portail) reflète immédiatement la nouvelle définition.</w:t>
      </w:r>
    </w:p>
    <w:p>
      <w:pPr>
        <w:pStyle w:val="ListParagraph"/>
        <w:numPr>
          <w:ilvl w:val="0"/>
          <w:numId w:val="11"/>
        </w:numPr>
        <w:spacing w:after="80"/>
      </w:pPr>
      <w:r>
        <w:rPr>
          <w:rFonts w:ascii="Arial" w:cs="Arial" w:eastAsia="Arial" w:hAnsi="Arial"/>
          <w:b/>
          <w:bCs/>
          <w:color w:val="15202B"/>
          <w:sz w:val="20"/>
          <w:szCs w:val="20"/>
        </w:rPr>
        <w:t xml:space="preserve">Propagation automatique — </w:t>
      </w:r>
      <w:r>
        <w:rPr>
          <w:rFonts w:ascii="Arial" w:cs="Arial" w:eastAsia="Arial" w:hAnsi="Arial"/>
          <w:color w:val="15202B"/>
          <w:sz w:val="20"/>
          <w:szCs w:val="20"/>
        </w:rPr>
        <w:t xml:space="preserve">Les applications détectent la nouvelle version du schéma via le même mécanisme de synchronisation automatique que celui déjà utilisé pour les passeports (voir schéma de délivrance, Phase 2), et régénèrent dynamiquement le formulaire affiché à l’agent — sans mise à jour de l’application ni redéploiement.</w:t>
      </w:r>
    </w:p>
    <w:p>
      <w:pPr>
        <w:pStyle w:val="ListParagraph"/>
        <w:numPr>
          <w:ilvl w:val="0"/>
          <w:numId w:val="11"/>
        </w:numPr>
        <w:spacing w:after="80"/>
      </w:pPr>
      <w:r>
        <w:rPr>
          <w:rFonts w:ascii="Arial" w:cs="Arial" w:eastAsia="Arial" w:hAnsi="Arial"/>
          <w:b/>
          <w:bCs/>
          <w:color w:val="15202B"/>
          <w:sz w:val="20"/>
          <w:szCs w:val="20"/>
        </w:rPr>
        <w:t xml:space="preserve">Préservation de l’historique — </w:t>
      </w:r>
      <w:r>
        <w:rPr>
          <w:rFonts w:ascii="Arial" w:cs="Arial" w:eastAsia="Arial" w:hAnsi="Arial"/>
          <w:color w:val="15202B"/>
          <w:sz w:val="20"/>
          <w:szCs w:val="20"/>
        </w:rPr>
        <w:t xml:space="preserve">Les données déjà saisies avec une version antérieure du formulaire restent intactes et consultables : un champ retiré n’efface jamais l’historique, il cesse seulement d’apparaître dans les nouvelles saisies.</w:t>
      </w:r>
    </w:p>
    <w:p>
      <w:pPr>
        <w:spacing w:after="140"/>
      </w:pPr>
    </w:p>
    <w:p>
      <w:pPr>
        <w:pBdr>
          <w:bottom w:val="single" w:color="F5C518" w:sz="8"/>
        </w:pBdr>
        <w:spacing w:after="120" w:before="220"/>
      </w:pPr>
      <w:r>
        <w:rPr>
          <w:rFonts w:ascii="Arial" w:cs="Arial" w:eastAsia="Arial" w:hAnsi="Arial"/>
          <w:b/>
          <w:bCs/>
          <w:color w:val="15202B"/>
          <w:sz w:val="22"/>
          <w:szCs w:val="22"/>
        </w:rPr>
        <w:t xml:space="preserve">Endpoints API</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3600"/>
        <w:gridCol w:w="5006"/>
      </w:tblGrid>
      <w:tr>
        <w:tc>
          <w:tcPr>
            <w:tcW w:type="dxa" w:w="1300"/>
            <w:tcBorders>
              <w:top w:val="single" w:color="1E3A6E" w:sz="4"/>
              <w:left w:val="single" w:color="1E3A6E" w:sz="4"/>
              <w:bottom w:val="single" w:color="1E3A6E" w:sz="4"/>
              <w:right w:val="single" w:color="1E3A6E" w:sz="4"/>
            </w:tcBorders>
            <w:shd w:fill="1E3A6E" w:val="clear"/>
            <w:tcMar>
              <w:top w:type="dxa" w:w="80"/>
              <w:left w:type="dxa" w:w="110"/>
              <w:bottom w:type="dxa" w:w="80"/>
              <w:right w:type="dxa" w:w="110"/>
            </w:tcMar>
          </w:tcPr>
          <w:p>
            <w:r>
              <w:rPr>
                <w:rFonts w:ascii="Arial" w:cs="Arial" w:eastAsia="Arial" w:hAnsi="Arial"/>
                <w:b/>
                <w:bCs/>
                <w:color w:val="FFFFFF"/>
                <w:sz w:val="17"/>
                <w:szCs w:val="17"/>
              </w:rPr>
              <w:t xml:space="preserve">Méthode</w:t>
            </w:r>
          </w:p>
        </w:tc>
        <w:tc>
          <w:tcPr>
            <w:tcW w:type="dxa" w:w="3600"/>
            <w:tcBorders>
              <w:top w:val="single" w:color="1E3A6E" w:sz="4"/>
              <w:left w:val="single" w:color="1E3A6E" w:sz="4"/>
              <w:bottom w:val="single" w:color="1E3A6E" w:sz="4"/>
              <w:right w:val="single" w:color="1E3A6E" w:sz="4"/>
            </w:tcBorders>
            <w:shd w:fill="1E3A6E" w:val="clear"/>
            <w:tcMar>
              <w:top w:type="dxa" w:w="80"/>
              <w:left w:type="dxa" w:w="110"/>
              <w:bottom w:type="dxa" w:w="80"/>
              <w:right w:type="dxa" w:w="110"/>
            </w:tcMar>
          </w:tcPr>
          <w:p>
            <w:r>
              <w:rPr>
                <w:rFonts w:ascii="Arial" w:cs="Arial" w:eastAsia="Arial" w:hAnsi="Arial"/>
                <w:b/>
                <w:bCs/>
                <w:color w:val="FFFFFF"/>
                <w:sz w:val="17"/>
                <w:szCs w:val="17"/>
              </w:rPr>
              <w:t xml:space="preserve">Endpoint</w:t>
            </w:r>
          </w:p>
        </w:tc>
        <w:tc>
          <w:tcPr>
            <w:tcW w:type="dxa" w:w="5006"/>
            <w:tcBorders>
              <w:top w:val="single" w:color="1E3A6E" w:sz="4"/>
              <w:left w:val="single" w:color="1E3A6E" w:sz="4"/>
              <w:bottom w:val="single" w:color="1E3A6E" w:sz="4"/>
              <w:right w:val="single" w:color="1E3A6E" w:sz="4"/>
            </w:tcBorders>
            <w:shd w:fill="1E3A6E" w:val="clear"/>
            <w:tcMar>
              <w:top w:type="dxa" w:w="80"/>
              <w:left w:type="dxa" w:w="110"/>
              <w:bottom w:type="dxa" w:w="80"/>
              <w:right w:type="dxa" w:w="110"/>
            </w:tcMar>
          </w:tcPr>
          <w:p>
            <w:r>
              <w:rPr>
                <w:rFonts w:ascii="Arial" w:cs="Arial" w:eastAsia="Arial" w:hAnsi="Arial"/>
                <w:b/>
                <w:bCs/>
                <w:color w:val="FFFFFF"/>
                <w:sz w:val="17"/>
                <w:szCs w:val="17"/>
              </w:rPr>
              <w:t xml:space="preserve">Description</w:t>
            </w:r>
          </w:p>
        </w:tc>
      </w:tr>
      <w:tr>
        <w:tc>
          <w:tcPr>
            <w:tcW w:type="dxa" w:w="13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Consolas" w:cs="Consolas" w:eastAsia="Consolas" w:hAnsi="Consolas"/>
                <w:b/>
                <w:bCs/>
                <w:color w:val="0B6B3A"/>
                <w:sz w:val="16"/>
                <w:szCs w:val="16"/>
              </w:rPr>
              <w:t xml:space="preserve">GET</w:t>
            </w:r>
          </w:p>
        </w:tc>
        <w:tc>
          <w:tcPr>
            <w:tcW w:type="dxa" w:w="36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Consolas" w:cs="Consolas" w:eastAsia="Consolas" w:hAnsi="Consolas"/>
                <w:color w:val="15202B"/>
                <w:sz w:val="16"/>
                <w:szCs w:val="16"/>
              </w:rPr>
              <w:t xml:space="preserve">/api/v1/admin/formulaires</w:t>
            </w:r>
          </w:p>
        </w:tc>
        <w:tc>
          <w:tcPr>
            <w:tcW w:type="dxa" w:w="50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color w:val="15202B"/>
                <w:sz w:val="16"/>
                <w:szCs w:val="16"/>
              </w:rPr>
              <w:t xml:space="preserve">Lister les formulaires configurables</w:t>
            </w:r>
          </w:p>
        </w:tc>
      </w:tr>
      <w:tr>
        <w:tc>
          <w:tcPr>
            <w:tcW w:type="dxa" w:w="13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Consolas" w:cs="Consolas" w:eastAsia="Consolas" w:hAnsi="Consolas"/>
                <w:b/>
                <w:bCs/>
                <w:color w:val="0B6B3A"/>
                <w:sz w:val="16"/>
                <w:szCs w:val="16"/>
              </w:rPr>
              <w:t xml:space="preserve">GET</w:t>
            </w:r>
          </w:p>
        </w:tc>
        <w:tc>
          <w:tcPr>
            <w:tcW w:type="dxa" w:w="36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Consolas" w:cs="Consolas" w:eastAsia="Consolas" w:hAnsi="Consolas"/>
                <w:color w:val="15202B"/>
                <w:sz w:val="16"/>
                <w:szCs w:val="16"/>
              </w:rPr>
              <w:t xml:space="preserve">/api/v1/admin/formulaires/{code}/champs</w:t>
            </w:r>
          </w:p>
        </w:tc>
        <w:tc>
          <w:tcPr>
            <w:tcW w:type="dxa" w:w="50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color w:val="15202B"/>
                <w:sz w:val="16"/>
                <w:szCs w:val="16"/>
              </w:rPr>
              <w:t xml:space="preserve">Lister les champs d’un formulaire (y compris inactifs, pour historique)</w:t>
            </w:r>
          </w:p>
        </w:tc>
      </w:tr>
      <w:tr>
        <w:tc>
          <w:tcPr>
            <w:tcW w:type="dxa" w:w="13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Consolas" w:cs="Consolas" w:eastAsia="Consolas" w:hAnsi="Consolas"/>
                <w:b/>
                <w:bCs/>
                <w:color w:val="1E3A6E"/>
                <w:sz w:val="16"/>
                <w:szCs w:val="16"/>
              </w:rPr>
              <w:t xml:space="preserve">POST</w:t>
            </w:r>
          </w:p>
        </w:tc>
        <w:tc>
          <w:tcPr>
            <w:tcW w:type="dxa" w:w="36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Consolas" w:cs="Consolas" w:eastAsia="Consolas" w:hAnsi="Consolas"/>
                <w:color w:val="15202B"/>
                <w:sz w:val="16"/>
                <w:szCs w:val="16"/>
              </w:rPr>
              <w:t xml:space="preserve">/api/v1/admin/formulaires/{code}/champs</w:t>
            </w:r>
          </w:p>
        </w:tc>
        <w:tc>
          <w:tcPr>
            <w:tcW w:type="dxa" w:w="50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color w:val="15202B"/>
                <w:sz w:val="16"/>
                <w:szCs w:val="16"/>
              </w:rPr>
              <w:t xml:space="preserve">Ajouter un champ (rôle Super Admin uniquement)</w:t>
            </w:r>
          </w:p>
        </w:tc>
      </w:tr>
      <w:tr>
        <w:tc>
          <w:tcPr>
            <w:tcW w:type="dxa" w:w="13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Consolas" w:cs="Consolas" w:eastAsia="Consolas" w:hAnsi="Consolas"/>
                <w:b/>
                <w:bCs/>
                <w:color w:val="8A6D00"/>
                <w:sz w:val="16"/>
                <w:szCs w:val="16"/>
              </w:rPr>
              <w:t xml:space="preserve">PATCH</w:t>
            </w:r>
          </w:p>
        </w:tc>
        <w:tc>
          <w:tcPr>
            <w:tcW w:type="dxa" w:w="36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Consolas" w:cs="Consolas" w:eastAsia="Consolas" w:hAnsi="Consolas"/>
                <w:color w:val="15202B"/>
                <w:sz w:val="16"/>
                <w:szCs w:val="16"/>
              </w:rPr>
              <w:t xml:space="preserve">/api/v1/admin/formulaires/{code}/champs/{id}</w:t>
            </w:r>
          </w:p>
        </w:tc>
        <w:tc>
          <w:tcPr>
            <w:tcW w:type="dxa" w:w="50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color w:val="15202B"/>
                <w:sz w:val="16"/>
                <w:szCs w:val="16"/>
              </w:rPr>
              <w:t xml:space="preserve">Modifier le libellé, l’ordre, l’obligation ou la validation d’un champ</w:t>
            </w:r>
          </w:p>
        </w:tc>
      </w:tr>
      <w:tr>
        <w:tc>
          <w:tcPr>
            <w:tcW w:type="dxa" w:w="13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Consolas" w:cs="Consolas" w:eastAsia="Consolas" w:hAnsi="Consolas"/>
                <w:b/>
                <w:bCs/>
                <w:color w:val="B3261E"/>
                <w:sz w:val="16"/>
                <w:szCs w:val="16"/>
              </w:rPr>
              <w:t xml:space="preserve">DELETE</w:t>
            </w:r>
          </w:p>
        </w:tc>
        <w:tc>
          <w:tcPr>
            <w:tcW w:type="dxa" w:w="36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Consolas" w:cs="Consolas" w:eastAsia="Consolas" w:hAnsi="Consolas"/>
                <w:color w:val="15202B"/>
                <w:sz w:val="16"/>
                <w:szCs w:val="16"/>
              </w:rPr>
              <w:t xml:space="preserve">/api/v1/admin/formulaires/{code}/champs/{id}</w:t>
            </w:r>
          </w:p>
        </w:tc>
        <w:tc>
          <w:tcPr>
            <w:tcW w:type="dxa" w:w="50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color w:val="15202B"/>
                <w:sz w:val="16"/>
                <w:szCs w:val="16"/>
              </w:rPr>
              <w:t xml:space="preserve">Désactiver un champ (suppression logique, jamais physique)</w:t>
            </w:r>
          </w:p>
        </w:tc>
      </w:tr>
      <w:tr>
        <w:tc>
          <w:tcPr>
            <w:tcW w:type="dxa" w:w="13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Consolas" w:cs="Consolas" w:eastAsia="Consolas" w:hAnsi="Consolas"/>
                <w:b/>
                <w:bCs/>
                <w:color w:val="0B6B3A"/>
                <w:sz w:val="16"/>
                <w:szCs w:val="16"/>
              </w:rPr>
              <w:t xml:space="preserve">GET</w:t>
            </w:r>
          </w:p>
        </w:tc>
        <w:tc>
          <w:tcPr>
            <w:tcW w:type="dxa" w:w="36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Consolas" w:cs="Consolas" w:eastAsia="Consolas" w:hAnsi="Consolas"/>
                <w:color w:val="15202B"/>
                <w:sz w:val="16"/>
                <w:szCs w:val="16"/>
              </w:rPr>
              <w:t xml:space="preserve">/api/v1/formulaires/{code}/schema</w:t>
            </w:r>
          </w:p>
        </w:tc>
        <w:tc>
          <w:tcPr>
            <w:tcW w:type="dxa" w:w="50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color w:val="15202B"/>
                <w:sz w:val="16"/>
                <w:szCs w:val="16"/>
              </w:rPr>
              <w:t xml:space="preserve">Schéma public du formulaire, consommé par les applications pour générer l’affichage</w:t>
            </w:r>
          </w:p>
        </w:tc>
      </w:tr>
      <w:tr>
        <w:tc>
          <w:tcPr>
            <w:tcW w:type="dxa" w:w="13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Consolas" w:cs="Consolas" w:eastAsia="Consolas" w:hAnsi="Consolas"/>
                <w:b/>
                <w:bCs/>
                <w:color w:val="0B6B3A"/>
                <w:sz w:val="16"/>
                <w:szCs w:val="16"/>
              </w:rPr>
              <w:t xml:space="preserve">GET</w:t>
            </w:r>
          </w:p>
        </w:tc>
        <w:tc>
          <w:tcPr>
            <w:tcW w:type="dxa" w:w="36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Consolas" w:cs="Consolas" w:eastAsia="Consolas" w:hAnsi="Consolas"/>
                <w:color w:val="15202B"/>
                <w:sz w:val="16"/>
                <w:szCs w:val="16"/>
              </w:rPr>
              <w:t xml:space="preserve">/api/v1/admin/parametres</w:t>
            </w:r>
          </w:p>
        </w:tc>
        <w:tc>
          <w:tcPr>
            <w:tcW w:type="dxa" w:w="50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color w:val="15202B"/>
                <w:sz w:val="16"/>
                <w:szCs w:val="16"/>
              </w:rPr>
              <w:t xml:space="preserve">Lister les paramètres système (prix, quantités, délais...)</w:t>
            </w:r>
          </w:p>
        </w:tc>
      </w:tr>
      <w:tr>
        <w:tc>
          <w:tcPr>
            <w:tcW w:type="dxa" w:w="13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Consolas" w:cs="Consolas" w:eastAsia="Consolas" w:hAnsi="Consolas"/>
                <w:b/>
                <w:bCs/>
                <w:color w:val="8A6D00"/>
                <w:sz w:val="16"/>
                <w:szCs w:val="16"/>
              </w:rPr>
              <w:t xml:space="preserve">PATCH</w:t>
            </w:r>
          </w:p>
        </w:tc>
        <w:tc>
          <w:tcPr>
            <w:tcW w:type="dxa" w:w="36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Consolas" w:cs="Consolas" w:eastAsia="Consolas" w:hAnsi="Consolas"/>
                <w:color w:val="15202B"/>
                <w:sz w:val="16"/>
                <w:szCs w:val="16"/>
              </w:rPr>
              <w:t xml:space="preserve">/api/v1/admin/parametres/{cle}</w:t>
            </w:r>
          </w:p>
        </w:tc>
        <w:tc>
          <w:tcPr>
            <w:tcW w:type="dxa" w:w="50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color w:val="15202B"/>
                <w:sz w:val="16"/>
                <w:szCs w:val="16"/>
              </w:rPr>
              <w:t xml:space="preserve">Modifier un paramètre système (rôle Super Admin uniquement)</w:t>
            </w:r>
          </w:p>
        </w:tc>
      </w:tr>
    </w:tbl>
    <w:p>
      <w:pPr>
        <w:spacing w:after="140"/>
      </w:pPr>
    </w:p>
    <w:p>
      <w:pPr>
        <w:pBdr>
          <w:bottom w:val="single" w:color="F5C518" w:sz="8"/>
        </w:pBdr>
        <w:spacing w:after="120" w:before="220"/>
      </w:pPr>
      <w:r>
        <w:rPr>
          <w:rFonts w:ascii="Arial" w:cs="Arial" w:eastAsia="Arial" w:hAnsi="Arial"/>
          <w:b/>
          <w:bCs/>
          <w:color w:val="15202B"/>
          <w:sz w:val="22"/>
          <w:szCs w:val="22"/>
        </w:rPr>
        <w:t xml:space="preserve">Exemple — modifier le prix du PPB</w:t>
      </w:r>
    </w:p>
    <w:p>
      <w:pPr>
        <w:spacing w:after="130"/>
      </w:pPr>
      <w:r>
        <w:rPr>
          <w:rFonts w:ascii="Arial" w:cs="Arial" w:eastAsia="Arial" w:hAnsi="Arial"/>
          <w:b w:val="false"/>
          <w:bCs w:val="false"/>
          <w:i w:val="false"/>
          <w:iCs w:val="false"/>
          <w:color w:val="15202B"/>
          <w:sz w:val="20"/>
          <w:szCs w:val="20"/>
        </w:rPr>
        <w:t xml:space="preserve">Le prix unitaire n’est jamais codé en dur : il est lu depuis le paramètre système prix_unitaire_ppb par le Module Commande à chaque calcul de facture. Le Super Administrateur le modifie via PATCH /api/v1/admin/parametres/prix_unitaire_ppb ; le nouveau montant s’applique immédiatement aux commandes suivantes, sans toucher au code ni à la base de données. Le plafond de paiement en ligne (paramètre plafond_paiement_en_ligne, voir Module 2) suit exactement le même principe.</w:t>
      </w:r>
    </w:p>
    <w:p>
      <w:pPr>
        <w:spacing w:after="140"/>
      </w:pPr>
    </w:p>
    <w:p>
      <w:pPr>
        <w:spacing w:after="90" w:before="160"/>
      </w:pPr>
      <w:r>
        <w:rPr>
          <w:rFonts w:ascii="Arial" w:cs="Arial" w:eastAsia="Arial" w:hAnsi="Arial"/>
          <w:b/>
          <w:bCs/>
          <w:color w:val="B3261E"/>
          <w:sz w:val="20"/>
          <w:szCs w:val="20"/>
        </w:rPr>
        <w:t xml:space="preserve">Garde-fous</w:t>
      </w:r>
    </w:p>
    <w:p>
      <w:pPr>
        <w:pStyle w:val="ListParagraph"/>
        <w:numPr>
          <w:ilvl w:val="0"/>
          <w:numId w:val="2"/>
        </w:numPr>
        <w:spacing w:after="70"/>
      </w:pPr>
      <w:r>
        <w:rPr>
          <w:sz w:val="1"/>
          <w:szCs w:val="1"/>
        </w:rPr>
        <w:t xml:space="preserve"/>
      </w:r>
      <w:r>
        <w:rPr>
          <w:rFonts w:ascii="Arial" w:cs="Arial" w:eastAsia="Arial" w:hAnsi="Arial"/>
          <w:color w:val="15202B"/>
          <w:sz w:val="20"/>
          <w:szCs w:val="20"/>
        </w:rPr>
        <w:t xml:space="preserve">Les champs structurels (identifiants, statuts, numéro de passeport, signature) figurent sur une liste blanche non modifiable par ce mécanisme, quel que soit le rôle.</w:t>
      </w:r>
    </w:p>
    <w:p>
      <w:pPr>
        <w:pStyle w:val="ListParagraph"/>
        <w:numPr>
          <w:ilvl w:val="0"/>
          <w:numId w:val="2"/>
        </w:numPr>
        <w:spacing w:after="70"/>
      </w:pPr>
      <w:r>
        <w:rPr>
          <w:sz w:val="1"/>
          <w:szCs w:val="1"/>
        </w:rPr>
        <w:t xml:space="preserve"/>
      </w:r>
      <w:r>
        <w:rPr>
          <w:rFonts w:ascii="Arial" w:cs="Arial" w:eastAsia="Arial" w:hAnsi="Arial"/>
          <w:color w:val="15202B"/>
          <w:sz w:val="20"/>
          <w:szCs w:val="20"/>
        </w:rPr>
        <w:t xml:space="preserve">Seul le rôle Super Admin peut créer, modifier ou désactiver un champ ou un paramètre — action journalisée dans la piste d’audit (auteur, horodatage, ancienne et nouvelle valeur).</w:t>
      </w:r>
    </w:p>
    <w:p>
      <w:pPr>
        <w:pStyle w:val="ListParagraph"/>
        <w:numPr>
          <w:ilvl w:val="0"/>
          <w:numId w:val="2"/>
        </w:numPr>
        <w:spacing w:after="70"/>
      </w:pPr>
      <w:r>
        <w:rPr>
          <w:sz w:val="1"/>
          <w:szCs w:val="1"/>
        </w:rPr>
        <w:t xml:space="preserve"/>
      </w:r>
      <w:r>
        <w:rPr>
          <w:rFonts w:ascii="Arial" w:cs="Arial" w:eastAsia="Arial" w:hAnsi="Arial"/>
          <w:color w:val="15202B"/>
          <w:sz w:val="20"/>
          <w:szCs w:val="20"/>
        </w:rPr>
        <w:t xml:space="preserve">La suppression d’un champ est toujours logique (désactivation) : les données historiques restent consultables et exportables.</w:t>
      </w:r>
    </w:p>
    <w:p>
      <w:pPr>
        <w:pStyle w:val="ListParagraph"/>
        <w:numPr>
          <w:ilvl w:val="0"/>
          <w:numId w:val="2"/>
        </w:numPr>
        <w:spacing w:after="70"/>
      </w:pPr>
      <w:r>
        <w:rPr>
          <w:sz w:val="1"/>
          <w:szCs w:val="1"/>
        </w:rPr>
        <w:t xml:space="preserve"/>
      </w:r>
      <w:r>
        <w:rPr>
          <w:rFonts w:ascii="Arial" w:cs="Arial" w:eastAsia="Arial" w:hAnsi="Arial"/>
          <w:color w:val="15202B"/>
          <w:sz w:val="20"/>
          <w:szCs w:val="20"/>
        </w:rPr>
        <w:t xml:space="preserve">Toute modification est validée à la fois côté backend (source de vérité) et côté frontend (ergonomie), pour éviter qu’un formulaire mal configuré ne bloque la saisie sur le terrain.</w:t>
      </w:r>
    </w:p>
    <w:p>
      <w:pPr>
        <w:spacing w:after="160"/>
      </w:pPr>
    </w:p>
    <w:p>
      <w:pPr>
        <w:pBdr>
          <w:bottom w:val="single" w:color="F5C518" w:sz="8"/>
        </w:pBdr>
        <w:spacing w:after="120" w:before="220"/>
      </w:pPr>
      <w:r>
        <w:rPr>
          <w:rFonts w:ascii="Arial" w:cs="Arial" w:eastAsia="Arial" w:hAnsi="Arial"/>
          <w:b/>
          <w:bCs/>
          <w:color w:val="15202B"/>
          <w:sz w:val="22"/>
          <w:szCs w:val="22"/>
        </w:rPr>
        <w:t xml:space="preserve">Cas particulier — textes du gabarit du passeport</w:t>
      </w:r>
    </w:p>
    <w:p>
      <w:pPr>
        <w:spacing w:after="130"/>
      </w:pPr>
      <w:r>
        <w:rPr>
          <w:rFonts w:ascii="Arial" w:cs="Arial" w:eastAsia="Arial" w:hAnsi="Arial"/>
          <w:b w:val="false"/>
          <w:bCs w:val="false"/>
          <w:i w:val="false"/>
          <w:iCs w:val="false"/>
          <w:color w:val="15202B"/>
          <w:sz w:val="20"/>
          <w:szCs w:val="20"/>
        </w:rPr>
        <w:t xml:space="preserve">Contrairement aux formulaires de saisie (Éleveur, Convoyeur, Troupeau), le gabarit imprimé du PPB est un document de sécurité : sa mise en page, la position du QR Code, la zone de lecture automatique, le fond guilloché et le logo ne doivent jamais être modifiables. Seul le texte (traductions, libellés légaux) peut évoluer, selon un circuit distinct et volontairement plus restrictif que la configuration dynamique des formulaires.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F5C518" w:sz="4"/>
              <w:left w:val="single" w:color="F5C518" w:sz="24"/>
              <w:bottom w:val="single" w:color="F5C518" w:sz="4"/>
              <w:right w:val="single" w:color="F5C518" w:sz="4"/>
            </w:tcBorders>
            <w:shd w:fill="FDF6DC" w:val="clear"/>
            <w:tcMar>
              <w:top w:type="dxa" w:w="140"/>
              <w:left w:type="dxa" w:w="200"/>
              <w:bottom w:type="dxa" w:w="140"/>
              <w:right w:type="dxa" w:w="200"/>
            </w:tcMar>
          </w:tcPr>
          <w:p>
            <w:pPr>
              <w:spacing w:after="50"/>
            </w:pPr>
            <w:r>
              <w:rPr>
                <w:rFonts w:ascii="Arial" w:cs="Arial" w:eastAsia="Arial" w:hAnsi="Arial"/>
                <w:b/>
                <w:bCs/>
                <w:color w:val="8A6D00"/>
                <w:spacing w:val="8"/>
                <w:sz w:val="17"/>
                <w:szCs w:val="17"/>
              </w:rPr>
              <w:t xml:space="preserve">PRINCIPE : LE CONTENU SE PROPOSE, SEULE LA CEBEVIRHA PUBLIE</w:t>
            </w:r>
          </w:p>
          <w:p>
            <w:r>
              <w:rPr>
                <w:rFonts w:ascii="Arial" w:cs="Arial" w:eastAsia="Arial" w:hAnsi="Arial"/>
                <w:color w:val="15202B"/>
                <w:sz w:val="19"/>
                <w:szCs w:val="19"/>
              </w:rPr>
              <w:t xml:space="preserve">Aucune modification de texte n'est jamais visible immédiatement. Elle est d'abord proposée, puis validée par un second compte Super Admin avant de donner naissance à une nouvelle version numérotée du gabarit — jamais une édition en place de la version en cours d'impression.</w:t>
            </w:r>
          </w:p>
        </w:tc>
      </w:tr>
    </w:tbl>
    <w:p>
      <w:pPr>
        <w:spacing w:after="140"/>
      </w:pPr>
    </w:p>
    <w:p>
      <w:pPr>
        <w:spacing w:after="90" w:before="160"/>
      </w:pPr>
      <w:r>
        <w:rPr>
          <w:rFonts w:ascii="Arial" w:cs="Arial" w:eastAsia="Arial" w:hAnsi="Arial"/>
          <w:b/>
          <w:bCs/>
          <w:color w:val="0B6B3A"/>
          <w:sz w:val="20"/>
          <w:szCs w:val="20"/>
        </w:rPr>
        <w:t xml:space="preserve">Modèle de données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200"/>
        <w:gridCol w:w="3106"/>
      </w:tblGrid>
      <w:tr>
        <w:tc>
          <w:tcPr>
            <w:tcW w:type="dxa" w:w="2600"/>
            <w:tcBorders>
              <w:top w:val="single" w:color="0B6B3A" w:sz="4"/>
              <w:left w:val="single" w:color="0B6B3A" w:sz="4"/>
              <w:bottom w:val="single" w:color="0B6B3A" w:sz="4"/>
              <w:right w:val="single" w:color="0B6B3A" w:sz="4"/>
            </w:tcBorders>
            <w:shd w:fill="0B6B3A" w:val="clear"/>
            <w:tcMar>
              <w:top w:type="dxa" w:w="80"/>
              <w:left w:type="dxa" w:w="110"/>
              <w:bottom w:type="dxa" w:w="80"/>
              <w:right w:type="dxa" w:w="110"/>
            </w:tcMar>
          </w:tcPr>
          <w:p>
            <w:r>
              <w:rPr>
                <w:rFonts w:ascii="Arial" w:cs="Arial" w:eastAsia="Arial" w:hAnsi="Arial"/>
                <w:b/>
                <w:bCs/>
                <w:color w:val="FFFFFF"/>
                <w:sz w:val="17"/>
                <w:szCs w:val="17"/>
              </w:rPr>
              <w:t xml:space="preserve">Entité</w:t>
            </w:r>
          </w:p>
        </w:tc>
        <w:tc>
          <w:tcPr>
            <w:tcW w:type="dxa" w:w="4200"/>
            <w:tcBorders>
              <w:top w:val="single" w:color="0B6B3A" w:sz="4"/>
              <w:left w:val="single" w:color="0B6B3A" w:sz="4"/>
              <w:bottom w:val="single" w:color="0B6B3A" w:sz="4"/>
              <w:right w:val="single" w:color="0B6B3A" w:sz="4"/>
            </w:tcBorders>
            <w:shd w:fill="0B6B3A" w:val="clear"/>
            <w:tcMar>
              <w:top w:type="dxa" w:w="80"/>
              <w:left w:type="dxa" w:w="110"/>
              <w:bottom w:type="dxa" w:w="80"/>
              <w:right w:type="dxa" w:w="110"/>
            </w:tcMar>
          </w:tcPr>
          <w:p>
            <w:r>
              <w:rPr>
                <w:rFonts w:ascii="Arial" w:cs="Arial" w:eastAsia="Arial" w:hAnsi="Arial"/>
                <w:b/>
                <w:bCs/>
                <w:color w:val="FFFFFF"/>
                <w:sz w:val="17"/>
                <w:szCs w:val="17"/>
              </w:rPr>
              <w:t xml:space="preserve">Champs clés</w:t>
            </w:r>
          </w:p>
        </w:tc>
        <w:tc>
          <w:tcPr>
            <w:tcW w:type="dxa" w:w="3106"/>
            <w:tcBorders>
              <w:top w:val="single" w:color="0B6B3A" w:sz="4"/>
              <w:left w:val="single" w:color="0B6B3A" w:sz="4"/>
              <w:bottom w:val="single" w:color="0B6B3A" w:sz="4"/>
              <w:right w:val="single" w:color="0B6B3A" w:sz="4"/>
            </w:tcBorders>
            <w:shd w:fill="0B6B3A" w:val="clear"/>
            <w:tcMar>
              <w:top w:type="dxa" w:w="80"/>
              <w:left w:type="dxa" w:w="110"/>
              <w:bottom w:type="dxa" w:w="80"/>
              <w:right w:type="dxa" w:w="110"/>
            </w:tcMar>
          </w:tcPr>
          <w:p>
            <w:r>
              <w:rPr>
                <w:rFonts w:ascii="Arial" w:cs="Arial" w:eastAsia="Arial" w:hAnsi="Arial"/>
                <w:b/>
                <w:bCs/>
                <w:color w:val="FFFFFF"/>
                <w:sz w:val="17"/>
                <w:szCs w:val="17"/>
              </w:rPr>
              <w:t xml:space="preserve">Rôle</w:t>
            </w:r>
          </w:p>
        </w:tc>
      </w:tr>
      <w:tr>
        <w:tc>
          <w:tcPr>
            <w:tcW w:type="dxa" w:w="26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TexteGabarit</w:t>
            </w:r>
          </w:p>
        </w:tc>
        <w:tc>
          <w:tcPr>
            <w:tcW w:type="dxa" w:w="42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id, gabarit_version, cle, langue, valeur, statut, propose_par, valide_par</w:t>
            </w:r>
          </w:p>
        </w:tc>
        <w:tc>
          <w:tcPr>
            <w:tcW w:type="dxa" w:w="31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Un libellé ou un bloc de texte légal, par langue et par version de gabarit</w:t>
            </w:r>
          </w:p>
        </w:tc>
      </w:tr>
    </w:tbl>
    <w:p>
      <w:pPr>
        <w:spacing w:after="120"/>
      </w:pPr>
    </w:p>
    <w:p>
      <w:pPr>
        <w:spacing w:after="90" w:before="160"/>
      </w:pPr>
      <w:r>
        <w:rPr>
          <w:rFonts w:ascii="Arial" w:cs="Arial" w:eastAsia="Arial" w:hAnsi="Arial"/>
          <w:b/>
          <w:bCs/>
          <w:color w:val="0B6B3A"/>
          <w:sz w:val="20"/>
          <w:szCs w:val="20"/>
        </w:rPr>
        <w:t xml:space="preserve">Workflow</w:t>
      </w:r>
    </w:p>
    <w:p>
      <w:pPr>
        <w:pStyle w:val="ListParagraph"/>
        <w:numPr>
          <w:ilvl w:val="0"/>
          <w:numId w:val="12"/>
        </w:numPr>
        <w:spacing w:after="80"/>
      </w:pPr>
      <w:r>
        <w:rPr>
          <w:rFonts w:ascii="Arial" w:cs="Arial" w:eastAsia="Arial" w:hAnsi="Arial"/>
          <w:b/>
          <w:bCs/>
          <w:color w:val="15202B"/>
          <w:sz w:val="20"/>
          <w:szCs w:val="20"/>
        </w:rPr>
        <w:t xml:space="preserve">Proposition — </w:t>
      </w:r>
      <w:r>
        <w:rPr>
          <w:rFonts w:ascii="Arial" w:cs="Arial" w:eastAsia="Arial" w:hAnsi="Arial"/>
          <w:color w:val="15202B"/>
          <w:sz w:val="20"/>
          <w:szCs w:val="20"/>
        </w:rPr>
        <w:t xml:space="preserve">Un Super Admin repère une traduction à corriger ou un texte légal à ajouter, et soumet une nouvelle valeur pour une clé de texte existante (ex. bullet_2_en) ou une clé nouvelle (ex. une traduction manquante).</w:t>
      </w:r>
    </w:p>
    <w:p>
      <w:pPr>
        <w:pStyle w:val="ListParagraph"/>
        <w:numPr>
          <w:ilvl w:val="0"/>
          <w:numId w:val="12"/>
        </w:numPr>
        <w:spacing w:after="80"/>
      </w:pPr>
      <w:r>
        <w:rPr>
          <w:rFonts w:ascii="Arial" w:cs="Arial" w:eastAsia="Arial" w:hAnsi="Arial"/>
          <w:b/>
          <w:bCs/>
          <w:color w:val="15202B"/>
          <w:sz w:val="20"/>
          <w:szCs w:val="20"/>
        </w:rPr>
        <w:t xml:space="preserve">Aucun effet immédiat — </w:t>
      </w:r>
      <w:r>
        <w:rPr>
          <w:rFonts w:ascii="Arial" w:cs="Arial" w:eastAsia="Arial" w:hAnsi="Arial"/>
          <w:color w:val="15202B"/>
          <w:sz w:val="20"/>
          <w:szCs w:val="20"/>
        </w:rPr>
        <w:t xml:space="preserve">La proposition reste au statut « proposé » ; le gabarit publié et les impressions en cours restent inchangés — aucun impact tant qu’elle n’est pas validée.</w:t>
      </w:r>
    </w:p>
    <w:p>
      <w:pPr>
        <w:pStyle w:val="ListParagraph"/>
        <w:numPr>
          <w:ilvl w:val="0"/>
          <w:numId w:val="12"/>
        </w:numPr>
        <w:spacing w:after="80"/>
      </w:pPr>
      <w:r>
        <w:rPr>
          <w:rFonts w:ascii="Arial" w:cs="Arial" w:eastAsia="Arial" w:hAnsi="Arial"/>
          <w:b/>
          <w:bCs/>
          <w:color w:val="15202B"/>
          <w:sz w:val="20"/>
          <w:szCs w:val="20"/>
        </w:rPr>
        <w:t xml:space="preserve">Validation à deux — </w:t>
      </w:r>
      <w:r>
        <w:rPr>
          <w:rFonts w:ascii="Arial" w:cs="Arial" w:eastAsia="Arial" w:hAnsi="Arial"/>
          <w:color w:val="15202B"/>
          <w:sz w:val="20"/>
          <w:szCs w:val="20"/>
        </w:rPr>
        <w:t xml:space="preserve">Un second compte Super Admin (jamais le même que le proposant — principe des quatre yeux) relit et valide, ou rejette avec motif.</w:t>
      </w:r>
    </w:p>
    <w:p>
      <w:pPr>
        <w:pStyle w:val="ListParagraph"/>
        <w:numPr>
          <w:ilvl w:val="0"/>
          <w:numId w:val="12"/>
        </w:numPr>
        <w:spacing w:after="80"/>
      </w:pPr>
      <w:r>
        <w:rPr>
          <w:rFonts w:ascii="Arial" w:cs="Arial" w:eastAsia="Arial" w:hAnsi="Arial"/>
          <w:b/>
          <w:bCs/>
          <w:color w:val="15202B"/>
          <w:sz w:val="20"/>
          <w:szCs w:val="20"/>
        </w:rPr>
        <w:t xml:space="preserve">Nouvelle version, jamais d’édition en place — </w:t>
      </w:r>
      <w:r>
        <w:rPr>
          <w:rFonts w:ascii="Arial" w:cs="Arial" w:eastAsia="Arial" w:hAnsi="Arial"/>
          <w:color w:val="15202B"/>
          <w:sz w:val="20"/>
          <w:szCs w:val="20"/>
        </w:rPr>
        <w:t xml:space="preserve">La validation crée une nouvelle version numérotée du gabarit (gabarit_version) ; l’ancienne version reste consultable et continue de s’appliquer aux lots déjà attribués.</w:t>
      </w:r>
    </w:p>
    <w:p>
      <w:pPr>
        <w:pStyle w:val="ListParagraph"/>
        <w:numPr>
          <w:ilvl w:val="0"/>
          <w:numId w:val="12"/>
        </w:numPr>
        <w:spacing w:after="80"/>
      </w:pPr>
      <w:r>
        <w:rPr>
          <w:rFonts w:ascii="Arial" w:cs="Arial" w:eastAsia="Arial" w:hAnsi="Arial"/>
          <w:b/>
          <w:bCs/>
          <w:color w:val="15202B"/>
          <w:sz w:val="20"/>
          <w:szCs w:val="20"/>
        </w:rPr>
        <w:t xml:space="preserve">Application aux nouveaux lots — </w:t>
      </w:r>
      <w:r>
        <w:rPr>
          <w:rFonts w:ascii="Arial" w:cs="Arial" w:eastAsia="Arial" w:hAnsi="Arial"/>
          <w:color w:val="15202B"/>
          <w:sz w:val="20"/>
          <w:szCs w:val="20"/>
        </w:rPr>
        <w:t xml:space="preserve">Le Module Impression utilise systématiquement la dernière version validée pour tout nouveau lot attribué.</w:t>
      </w:r>
    </w:p>
    <w:p>
      <w:pPr>
        <w:spacing w:after="120"/>
      </w:pPr>
    </w:p>
    <w:p>
      <w:pPr>
        <w:spacing w:after="90" w:before="160"/>
      </w:pPr>
      <w:r>
        <w:rPr>
          <w:rFonts w:ascii="Arial" w:cs="Arial" w:eastAsia="Arial" w:hAnsi="Arial"/>
          <w:b/>
          <w:bCs/>
          <w:color w:val="0B6B3A"/>
          <w:sz w:val="20"/>
          <w:szCs w:val="20"/>
        </w:rPr>
        <w:t xml:space="preserve">Endpoints API</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3600"/>
        <w:gridCol w:w="5006"/>
      </w:tblGrid>
      <w:tr>
        <w:tc>
          <w:tcPr>
            <w:tcW w:type="dxa" w:w="1300"/>
            <w:tcBorders>
              <w:top w:val="single" w:color="1E3A6E" w:sz="4"/>
              <w:left w:val="single" w:color="1E3A6E" w:sz="4"/>
              <w:bottom w:val="single" w:color="1E3A6E" w:sz="4"/>
              <w:right w:val="single" w:color="1E3A6E" w:sz="4"/>
            </w:tcBorders>
            <w:shd w:fill="1E3A6E" w:val="clear"/>
            <w:tcMar>
              <w:top w:type="dxa" w:w="80"/>
              <w:left w:type="dxa" w:w="110"/>
              <w:bottom w:type="dxa" w:w="80"/>
              <w:right w:type="dxa" w:w="110"/>
            </w:tcMar>
          </w:tcPr>
          <w:p>
            <w:r>
              <w:rPr>
                <w:rFonts w:ascii="Arial" w:cs="Arial" w:eastAsia="Arial" w:hAnsi="Arial"/>
                <w:b/>
                <w:bCs/>
                <w:color w:val="FFFFFF"/>
                <w:sz w:val="17"/>
                <w:szCs w:val="17"/>
              </w:rPr>
              <w:t xml:space="preserve">Méthode</w:t>
            </w:r>
          </w:p>
        </w:tc>
        <w:tc>
          <w:tcPr>
            <w:tcW w:type="dxa" w:w="3600"/>
            <w:tcBorders>
              <w:top w:val="single" w:color="1E3A6E" w:sz="4"/>
              <w:left w:val="single" w:color="1E3A6E" w:sz="4"/>
              <w:bottom w:val="single" w:color="1E3A6E" w:sz="4"/>
              <w:right w:val="single" w:color="1E3A6E" w:sz="4"/>
            </w:tcBorders>
            <w:shd w:fill="1E3A6E" w:val="clear"/>
            <w:tcMar>
              <w:top w:type="dxa" w:w="80"/>
              <w:left w:type="dxa" w:w="110"/>
              <w:bottom w:type="dxa" w:w="80"/>
              <w:right w:type="dxa" w:w="110"/>
            </w:tcMar>
          </w:tcPr>
          <w:p>
            <w:r>
              <w:rPr>
                <w:rFonts w:ascii="Arial" w:cs="Arial" w:eastAsia="Arial" w:hAnsi="Arial"/>
                <w:b/>
                <w:bCs/>
                <w:color w:val="FFFFFF"/>
                <w:sz w:val="17"/>
                <w:szCs w:val="17"/>
              </w:rPr>
              <w:t xml:space="preserve">Endpoint</w:t>
            </w:r>
          </w:p>
        </w:tc>
        <w:tc>
          <w:tcPr>
            <w:tcW w:type="dxa" w:w="5006"/>
            <w:tcBorders>
              <w:top w:val="single" w:color="1E3A6E" w:sz="4"/>
              <w:left w:val="single" w:color="1E3A6E" w:sz="4"/>
              <w:bottom w:val="single" w:color="1E3A6E" w:sz="4"/>
              <w:right w:val="single" w:color="1E3A6E" w:sz="4"/>
            </w:tcBorders>
            <w:shd w:fill="1E3A6E" w:val="clear"/>
            <w:tcMar>
              <w:top w:type="dxa" w:w="80"/>
              <w:left w:type="dxa" w:w="110"/>
              <w:bottom w:type="dxa" w:w="80"/>
              <w:right w:type="dxa" w:w="110"/>
            </w:tcMar>
          </w:tcPr>
          <w:p>
            <w:r>
              <w:rPr>
                <w:rFonts w:ascii="Arial" w:cs="Arial" w:eastAsia="Arial" w:hAnsi="Arial"/>
                <w:b/>
                <w:bCs/>
                <w:color w:val="FFFFFF"/>
                <w:sz w:val="17"/>
                <w:szCs w:val="17"/>
              </w:rPr>
              <w:t xml:space="preserve">Description</w:t>
            </w:r>
          </w:p>
        </w:tc>
      </w:tr>
      <w:tr>
        <w:tc>
          <w:tcPr>
            <w:tcW w:type="dxa" w:w="13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Consolas" w:cs="Consolas" w:eastAsia="Consolas" w:hAnsi="Consolas"/>
                <w:b/>
                <w:bCs/>
                <w:color w:val="0B6B3A"/>
                <w:sz w:val="16"/>
                <w:szCs w:val="16"/>
              </w:rPr>
              <w:t xml:space="preserve">GET</w:t>
            </w:r>
          </w:p>
        </w:tc>
        <w:tc>
          <w:tcPr>
            <w:tcW w:type="dxa" w:w="36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Consolas" w:cs="Consolas" w:eastAsia="Consolas" w:hAnsi="Consolas"/>
                <w:color w:val="15202B"/>
                <w:sz w:val="16"/>
                <w:szCs w:val="16"/>
              </w:rPr>
              <w:t xml:space="preserve">/api/v1/admin/gabarit/{version}/textes</w:t>
            </w:r>
          </w:p>
        </w:tc>
        <w:tc>
          <w:tcPr>
            <w:tcW w:type="dxa" w:w="50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color w:val="15202B"/>
                <w:sz w:val="16"/>
                <w:szCs w:val="16"/>
              </w:rPr>
              <w:t xml:space="preserve">Lister les textes d’une version du gabarit</w:t>
            </w:r>
          </w:p>
        </w:tc>
      </w:tr>
      <w:tr>
        <w:tc>
          <w:tcPr>
            <w:tcW w:type="dxa" w:w="13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Consolas" w:cs="Consolas" w:eastAsia="Consolas" w:hAnsi="Consolas"/>
                <w:b/>
                <w:bCs/>
                <w:color w:val="1E3A6E"/>
                <w:sz w:val="16"/>
                <w:szCs w:val="16"/>
              </w:rPr>
              <w:t xml:space="preserve">POST</w:t>
            </w:r>
          </w:p>
        </w:tc>
        <w:tc>
          <w:tcPr>
            <w:tcW w:type="dxa" w:w="36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Consolas" w:cs="Consolas" w:eastAsia="Consolas" w:hAnsi="Consolas"/>
                <w:color w:val="15202B"/>
                <w:sz w:val="16"/>
                <w:szCs w:val="16"/>
              </w:rPr>
              <w:t xml:space="preserve">/api/v1/admin/gabarit/textes/proposer</w:t>
            </w:r>
          </w:p>
        </w:tc>
        <w:tc>
          <w:tcPr>
            <w:tcW w:type="dxa" w:w="50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color w:val="15202B"/>
                <w:sz w:val="16"/>
                <w:szCs w:val="16"/>
              </w:rPr>
              <w:t xml:space="preserve">Proposer une modification ou un ajout de texte (rôle Super Admin)</w:t>
            </w:r>
          </w:p>
        </w:tc>
      </w:tr>
      <w:tr>
        <w:tc>
          <w:tcPr>
            <w:tcW w:type="dxa" w:w="13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Consolas" w:cs="Consolas" w:eastAsia="Consolas" w:hAnsi="Consolas"/>
                <w:b/>
                <w:bCs/>
                <w:color w:val="1E3A6E"/>
                <w:sz w:val="16"/>
                <w:szCs w:val="16"/>
              </w:rPr>
              <w:t xml:space="preserve">POST</w:t>
            </w:r>
          </w:p>
        </w:tc>
        <w:tc>
          <w:tcPr>
            <w:tcW w:type="dxa" w:w="36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Consolas" w:cs="Consolas" w:eastAsia="Consolas" w:hAnsi="Consolas"/>
                <w:color w:val="15202B"/>
                <w:sz w:val="16"/>
                <w:szCs w:val="16"/>
              </w:rPr>
              <w:t xml:space="preserve">/api/v1/admin/gabarit/textes/{id}/valider</w:t>
            </w:r>
          </w:p>
        </w:tc>
        <w:tc>
          <w:tcPr>
            <w:tcW w:type="dxa" w:w="50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color w:val="15202B"/>
                <w:sz w:val="16"/>
                <w:szCs w:val="16"/>
              </w:rPr>
              <w:t xml:space="preserve">Valider une proposition — crée une nouvelle version (second compte Super Admin requis)</w:t>
            </w:r>
          </w:p>
        </w:tc>
      </w:tr>
      <w:tr>
        <w:tc>
          <w:tcPr>
            <w:tcW w:type="dxa" w:w="13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Consolas" w:cs="Consolas" w:eastAsia="Consolas" w:hAnsi="Consolas"/>
                <w:b/>
                <w:bCs/>
                <w:color w:val="1E3A6E"/>
                <w:sz w:val="16"/>
                <w:szCs w:val="16"/>
              </w:rPr>
              <w:t xml:space="preserve">POST</w:t>
            </w:r>
          </w:p>
        </w:tc>
        <w:tc>
          <w:tcPr>
            <w:tcW w:type="dxa" w:w="36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Consolas" w:cs="Consolas" w:eastAsia="Consolas" w:hAnsi="Consolas"/>
                <w:color w:val="15202B"/>
                <w:sz w:val="16"/>
                <w:szCs w:val="16"/>
              </w:rPr>
              <w:t xml:space="preserve">/api/v1/admin/gabarit/textes/{id}/rejeter</w:t>
            </w:r>
          </w:p>
        </w:tc>
        <w:tc>
          <w:tcPr>
            <w:tcW w:type="dxa" w:w="50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color w:val="15202B"/>
                <w:sz w:val="16"/>
                <w:szCs w:val="16"/>
              </w:rPr>
              <w:t xml:space="preserve">Rejeter une proposition, avec motif</w:t>
            </w:r>
          </w:p>
        </w:tc>
      </w:tr>
      <w:tr>
        <w:tc>
          <w:tcPr>
            <w:tcW w:type="dxa" w:w="13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Consolas" w:cs="Consolas" w:eastAsia="Consolas" w:hAnsi="Consolas"/>
                <w:b/>
                <w:bCs/>
                <w:color w:val="0B6B3A"/>
                <w:sz w:val="16"/>
                <w:szCs w:val="16"/>
              </w:rPr>
              <w:t xml:space="preserve">GET</w:t>
            </w:r>
          </w:p>
        </w:tc>
        <w:tc>
          <w:tcPr>
            <w:tcW w:type="dxa" w:w="36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Consolas" w:cs="Consolas" w:eastAsia="Consolas" w:hAnsi="Consolas"/>
                <w:color w:val="15202B"/>
                <w:sz w:val="16"/>
                <w:szCs w:val="16"/>
              </w:rPr>
              <w:t xml:space="preserve">/api/v1/formulaires/gabarit/{version}</w:t>
            </w:r>
          </w:p>
        </w:tc>
        <w:tc>
          <w:tcPr>
            <w:tcW w:type="dxa" w:w="50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color w:val="15202B"/>
                <w:sz w:val="16"/>
                <w:szCs w:val="16"/>
              </w:rPr>
              <w:t xml:space="preserve">Version publiée, consommée par le Module Impression pour générer le document</w:t>
            </w:r>
          </w:p>
        </w:tc>
      </w:tr>
    </w:tbl>
    <w:p>
      <w:pPr>
        <w:spacing w:after="120"/>
      </w:pPr>
    </w:p>
    <w:p>
      <w:pPr>
        <w:spacing w:after="90" w:before="160"/>
      </w:pPr>
      <w:r>
        <w:rPr>
          <w:rFonts w:ascii="Arial" w:cs="Arial" w:eastAsia="Arial" w:hAnsi="Arial"/>
          <w:b/>
          <w:bCs/>
          <w:color w:val="B3261E"/>
          <w:sz w:val="20"/>
          <w:szCs w:val="20"/>
        </w:rPr>
        <w:t xml:space="preserve">Garde-fous</w:t>
      </w:r>
    </w:p>
    <w:p>
      <w:pPr>
        <w:pStyle w:val="ListParagraph"/>
        <w:numPr>
          <w:ilvl w:val="0"/>
          <w:numId w:val="2"/>
        </w:numPr>
        <w:spacing w:after="70"/>
      </w:pPr>
      <w:r>
        <w:rPr>
          <w:sz w:val="1"/>
          <w:szCs w:val="1"/>
        </w:rPr>
        <w:t xml:space="preserve"/>
      </w:r>
      <w:r>
        <w:rPr>
          <w:rFonts w:ascii="Arial" w:cs="Arial" w:eastAsia="Arial" w:hAnsi="Arial"/>
          <w:color w:val="15202B"/>
          <w:sz w:val="20"/>
          <w:szCs w:val="20"/>
        </w:rPr>
        <w:t xml:space="preserve">Seuls des libellés et blocs de texte légaux sont modifiables : mise en page, position du QR Code, zone de lecture automatique, fond guilloché et logo restent fixés dans le gabarit source, hors d’atteinte de ce mécanisme.</w:t>
      </w:r>
    </w:p>
    <w:p>
      <w:pPr>
        <w:pStyle w:val="ListParagraph"/>
        <w:numPr>
          <w:ilvl w:val="0"/>
          <w:numId w:val="2"/>
        </w:numPr>
        <w:spacing w:after="70"/>
      </w:pPr>
      <w:r>
        <w:rPr>
          <w:sz w:val="1"/>
          <w:szCs w:val="1"/>
        </w:rPr>
        <w:t xml:space="preserve"/>
      </w:r>
      <w:r>
        <w:rPr>
          <w:rFonts w:ascii="Arial" w:cs="Arial" w:eastAsia="Arial" w:hAnsi="Arial"/>
          <w:color w:val="15202B"/>
          <w:sz w:val="20"/>
          <w:szCs w:val="20"/>
        </w:rPr>
        <w:t xml:space="preserve">Aucune publication directe : proposition et validation sont deux actions distinctes, jamais réalisées par le même compte.</w:t>
      </w:r>
    </w:p>
    <w:p>
      <w:pPr>
        <w:pStyle w:val="ListParagraph"/>
        <w:numPr>
          <w:ilvl w:val="0"/>
          <w:numId w:val="2"/>
        </w:numPr>
        <w:spacing w:after="70"/>
      </w:pPr>
      <w:r>
        <w:rPr>
          <w:sz w:val="1"/>
          <w:szCs w:val="1"/>
        </w:rPr>
        <w:t xml:space="preserve"/>
      </w:r>
      <w:r>
        <w:rPr>
          <w:rFonts w:ascii="Arial" w:cs="Arial" w:eastAsia="Arial" w:hAnsi="Arial"/>
          <w:color w:val="15202B"/>
          <w:sz w:val="20"/>
          <w:szCs w:val="20"/>
        </w:rPr>
        <w:t xml:space="preserve">Chaque version de gabarit est conservée indéfiniment ; un passeport imprimé reste associé à la version exacte utilisée au moment de son impression.</w:t>
      </w:r>
    </w:p>
    <w:p>
      <w:pPr>
        <w:pStyle w:val="ListParagraph"/>
        <w:numPr>
          <w:ilvl w:val="0"/>
          <w:numId w:val="2"/>
        </w:numPr>
        <w:spacing w:after="70"/>
      </w:pPr>
      <w:r>
        <w:rPr>
          <w:sz w:val="1"/>
          <w:szCs w:val="1"/>
        </w:rPr>
        <w:t xml:space="preserve"/>
      </w:r>
      <w:r>
        <w:rPr>
          <w:rFonts w:ascii="Arial" w:cs="Arial" w:eastAsia="Arial" w:hAnsi="Arial"/>
          <w:color w:val="15202B"/>
          <w:sz w:val="20"/>
          <w:szCs w:val="20"/>
        </w:rPr>
        <w:t xml:space="preserve">Toute action (proposition, validation, rejet) est journalisée dans la piste d’audit, avec identité de l’auteur et horodatage.</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0B6B3A" w:sz="4"/>
              <w:left w:val="single" w:color="0B6B3A" w:sz="4"/>
              <w:bottom w:val="single" w:color="0B6B3A" w:sz="4"/>
              <w:right w:val="single" w:color="0B6B3A" w:sz="4"/>
            </w:tcBorders>
            <w:shd w:fill="0B6B3A" w:val="clear"/>
            <w:tcMar>
              <w:top w:type="dxa" w:w="160"/>
              <w:left w:type="dxa" w:w="220"/>
              <w:bottom w:type="dxa" w:w="160"/>
              <w:right w:type="dxa" w:w="220"/>
            </w:tcMar>
          </w:tcPr>
          <w:p>
            <w:r>
              <w:rPr>
                <w:rFonts w:ascii="Arial" w:cs="Arial" w:eastAsia="Arial" w:hAnsi="Arial"/>
                <w:b/>
                <w:bCs/>
                <w:color w:val="F5C518"/>
                <w:sz w:val="30"/>
                <w:szCs w:val="30"/>
              </w:rPr>
              <w:t xml:space="preserve">5.  </w:t>
            </w:r>
            <w:r>
              <w:rPr>
                <w:rFonts w:ascii="Arial" w:cs="Arial" w:eastAsia="Arial" w:hAnsi="Arial"/>
                <w:b/>
                <w:bCs/>
                <w:color w:val="FFFFFF"/>
                <w:sz w:val="30"/>
                <w:szCs w:val="30"/>
              </w:rPr>
              <w:t xml:space="preserve">Module transversal — Exploitation statistique</w:t>
            </w:r>
          </w:p>
        </w:tc>
      </w:tr>
    </w:tbl>
    <w:p>
      <w:pPr>
        <w:spacing w:after="140"/>
      </w:pPr>
    </w:p>
    <w:p>
      <w:pPr>
        <w:spacing w:after="130"/>
      </w:pPr>
      <w:r>
        <w:rPr>
          <w:rFonts w:ascii="Arial" w:cs="Arial" w:eastAsia="Arial" w:hAnsi="Arial"/>
          <w:b w:val="false"/>
          <w:bCs w:val="false"/>
          <w:i w:val="false"/>
          <w:iCs w:val="false"/>
          <w:color w:val="15202B"/>
          <w:sz w:val="20"/>
          <w:szCs w:val="20"/>
        </w:rPr>
        <w:t xml:space="preserve">Alimenté en continu par les synchronisations des modules Impression, Scan et Contrôle.</w:t>
      </w:r>
    </w:p>
    <w:p>
      <w:pPr>
        <w:pBdr>
          <w:bottom w:val="single" w:color="F5C518" w:sz="8"/>
        </w:pBdr>
        <w:spacing w:after="120" w:before="220"/>
      </w:pPr>
      <w:r>
        <w:rPr>
          <w:rFonts w:ascii="Arial" w:cs="Arial" w:eastAsia="Arial" w:hAnsi="Arial"/>
          <w:b/>
          <w:bCs/>
          <w:color w:val="15202B"/>
          <w:sz w:val="22"/>
          <w:szCs w:val="22"/>
        </w:rPr>
        <w:t xml:space="preserve">Fonctionnalités</w:t>
      </w:r>
    </w:p>
    <w:p>
      <w:pPr>
        <w:pStyle w:val="ListParagraph"/>
        <w:numPr>
          <w:ilvl w:val="0"/>
          <w:numId w:val="2"/>
        </w:numPr>
        <w:spacing w:after="70"/>
      </w:pPr>
      <w:r>
        <w:rPr>
          <w:sz w:val="1"/>
          <w:szCs w:val="1"/>
        </w:rPr>
        <w:t xml:space="preserve"/>
      </w:r>
      <w:r>
        <w:rPr>
          <w:rFonts w:ascii="Arial" w:cs="Arial" w:eastAsia="Arial" w:hAnsi="Arial"/>
          <w:color w:val="15202B"/>
          <w:sz w:val="20"/>
          <w:szCs w:val="20"/>
        </w:rPr>
        <w:t xml:space="preserve">Tableaux de bord en temps réel par pays et par poste.</w:t>
      </w:r>
    </w:p>
    <w:p>
      <w:pPr>
        <w:pStyle w:val="ListParagraph"/>
        <w:numPr>
          <w:ilvl w:val="0"/>
          <w:numId w:val="2"/>
        </w:numPr>
        <w:spacing w:after="70"/>
      </w:pPr>
      <w:r>
        <w:rPr>
          <w:sz w:val="1"/>
          <w:szCs w:val="1"/>
        </w:rPr>
        <w:t xml:space="preserve"/>
      </w:r>
      <w:r>
        <w:rPr>
          <w:rFonts w:ascii="Arial" w:cs="Arial" w:eastAsia="Arial" w:hAnsi="Arial"/>
          <w:color w:val="15202B"/>
          <w:sz w:val="20"/>
          <w:szCs w:val="20"/>
        </w:rPr>
        <w:t xml:space="preserve">Cartographie des mouvements transfrontaliers (Leaflet.js).</w:t>
      </w:r>
    </w:p>
    <w:p>
      <w:pPr>
        <w:pStyle w:val="ListParagraph"/>
        <w:numPr>
          <w:ilvl w:val="0"/>
          <w:numId w:val="2"/>
        </w:numPr>
        <w:spacing w:after="70"/>
      </w:pPr>
      <w:r>
        <w:rPr>
          <w:sz w:val="1"/>
          <w:szCs w:val="1"/>
        </w:rPr>
        <w:t xml:space="preserve"/>
      </w:r>
      <w:r>
        <w:rPr>
          <w:rFonts w:ascii="Arial" w:cs="Arial" w:eastAsia="Arial" w:hAnsi="Arial"/>
          <w:color w:val="15202B"/>
          <w:sz w:val="20"/>
          <w:szCs w:val="20"/>
        </w:rPr>
        <w:t xml:space="preserve">Export PDF / Excel / CSV et alertes automatiques.</w:t>
      </w:r>
    </w:p>
    <w:p>
      <w:pPr>
        <w:pBdr>
          <w:bottom w:val="single" w:color="F5C518" w:sz="8"/>
        </w:pBdr>
        <w:spacing w:after="120" w:before="220"/>
      </w:pPr>
      <w:r>
        <w:rPr>
          <w:rFonts w:ascii="Arial" w:cs="Arial" w:eastAsia="Arial" w:hAnsi="Arial"/>
          <w:b/>
          <w:bCs/>
          <w:color w:val="15202B"/>
          <w:sz w:val="22"/>
          <w:szCs w:val="22"/>
        </w:rPr>
        <w:t xml:space="preserve">Statistiques de ventes (nombre et montant)</w:t>
      </w:r>
    </w:p>
    <w:p>
      <w:pPr>
        <w:spacing w:after="130"/>
      </w:pPr>
      <w:r>
        <w:rPr>
          <w:rFonts w:ascii="Arial" w:cs="Arial" w:eastAsia="Arial" w:hAnsi="Arial"/>
          <w:b w:val="false"/>
          <w:bCs w:val="false"/>
          <w:i w:val="false"/>
          <w:iCs w:val="false"/>
          <w:color w:val="15202B"/>
          <w:sz w:val="20"/>
          <w:szCs w:val="20"/>
        </w:rPr>
        <w:t xml:space="preserve">Le tableau de bord du Super Administrateur et de l'Admin National affiche, sous forme de graphiques, le nombre de PPB vendus et le montant total encaissé, ventilés par période (jour/mois/année) et par pays. Ces indicateurs se construisent à partir des paiements au statut « validé » (Module 2), qu'ils proviennent du paiement en ligne ou du paiement en présentiel.</w:t>
      </w:r>
    </w:p>
    <w:p>
      <w:pPr>
        <w:pStyle w:val="ListParagraph"/>
        <w:numPr>
          <w:ilvl w:val="0"/>
          <w:numId w:val="2"/>
        </w:numPr>
        <w:spacing w:after="70"/>
      </w:pPr>
      <w:r>
        <w:rPr>
          <w:sz w:val="1"/>
          <w:szCs w:val="1"/>
        </w:rPr>
        <w:t xml:space="preserve"/>
      </w:r>
      <w:r>
        <w:rPr>
          <w:rFonts w:ascii="Arial" w:cs="Arial" w:eastAsia="Arial" w:hAnsi="Arial"/>
          <w:color w:val="15202B"/>
          <w:sz w:val="20"/>
          <w:szCs w:val="20"/>
        </w:rPr>
        <w:t xml:space="preserve">Histogramme du nombre de PPB vendus par mois, avec filtre par pays et par mode de paiement.</w:t>
      </w:r>
    </w:p>
    <w:p>
      <w:pPr>
        <w:pStyle w:val="ListParagraph"/>
        <w:numPr>
          <w:ilvl w:val="0"/>
          <w:numId w:val="2"/>
        </w:numPr>
        <w:spacing w:after="70"/>
      </w:pPr>
      <w:r>
        <w:rPr>
          <w:sz w:val="1"/>
          <w:szCs w:val="1"/>
        </w:rPr>
        <w:t xml:space="preserve"/>
      </w:r>
      <w:r>
        <w:rPr>
          <w:rFonts w:ascii="Arial" w:cs="Arial" w:eastAsia="Arial" w:hAnsi="Arial"/>
          <w:color w:val="15202B"/>
          <w:sz w:val="20"/>
          <w:szCs w:val="20"/>
        </w:rPr>
        <w:t xml:space="preserve">Courbe du montant total encaissé (cumulé ou par période), en Franc CFA (XAF).</w:t>
      </w:r>
    </w:p>
    <w:p>
      <w:pPr>
        <w:pStyle w:val="ListParagraph"/>
        <w:numPr>
          <w:ilvl w:val="0"/>
          <w:numId w:val="2"/>
        </w:numPr>
        <w:spacing w:after="70"/>
      </w:pPr>
      <w:r>
        <w:rPr>
          <w:sz w:val="1"/>
          <w:szCs w:val="1"/>
        </w:rPr>
        <w:t xml:space="preserve"/>
      </w:r>
      <w:r>
        <w:rPr>
          <w:rFonts w:ascii="Arial" w:cs="Arial" w:eastAsia="Arial" w:hAnsi="Arial"/>
          <w:color w:val="15202B"/>
          <w:sz w:val="20"/>
          <w:szCs w:val="20"/>
        </w:rPr>
        <w:t xml:space="preserve">Comparaison paiement en ligne / présentiel, pour suivre l’adoption du canal en ligne dans le temps.</w:t>
      </w:r>
    </w:p>
    <w:p>
      <w:pPr>
        <w:spacing w:after="40" w:before="120"/>
        <w:jc w:val="center"/>
      </w:pPr>
      <w:r>
        <w:drawing>
          <wp:inline distT="0" distB="0" distL="0" distR="0">
            <wp:extent cx="447675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1685925"/>
                    </a:xfrm>
                    <a:prstGeom prst="rect">
                      <a:avLst/>
                    </a:prstGeom>
                  </pic:spPr>
                </pic:pic>
              </a:graphicData>
            </a:graphic>
          </wp:inline>
        </w:drawing>
      </w:r>
    </w:p>
    <w:p>
      <w:pPr>
        <w:spacing w:after="160"/>
        <w:jc w:val="center"/>
      </w:pPr>
      <w:r>
        <w:rPr>
          <w:rFonts w:ascii="Arial" w:cs="Arial" w:eastAsia="Arial" w:hAnsi="Arial"/>
          <w:i/>
          <w:iCs/>
          <w:color w:val="5A6575"/>
          <w:sz w:val="16"/>
          <w:szCs w:val="16"/>
        </w:rPr>
        <w:t xml:space="preserve">Exemple de rendu — PPB vendus par mois et montant total encaissé</w:t>
      </w:r>
    </w:p>
    <w:p>
      <w:pPr>
        <w:pBdr>
          <w:bottom w:val="single" w:color="F5C518" w:sz="8"/>
        </w:pBdr>
        <w:spacing w:after="120" w:before="220"/>
      </w:pPr>
      <w:r>
        <w:rPr>
          <w:rFonts w:ascii="Arial" w:cs="Arial" w:eastAsia="Arial" w:hAnsi="Arial"/>
          <w:b/>
          <w:bCs/>
          <w:color w:val="15202B"/>
          <w:sz w:val="22"/>
          <w:szCs w:val="22"/>
        </w:rPr>
        <w:t xml:space="preserve">Endpoints API</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3600"/>
        <w:gridCol w:w="5006"/>
      </w:tblGrid>
      <w:tr>
        <w:tc>
          <w:tcPr>
            <w:tcW w:type="dxa" w:w="1300"/>
            <w:tcBorders>
              <w:top w:val="single" w:color="1E3A6E" w:sz="4"/>
              <w:left w:val="single" w:color="1E3A6E" w:sz="4"/>
              <w:bottom w:val="single" w:color="1E3A6E" w:sz="4"/>
              <w:right w:val="single" w:color="1E3A6E" w:sz="4"/>
            </w:tcBorders>
            <w:shd w:fill="1E3A6E" w:val="clear"/>
            <w:tcMar>
              <w:top w:type="dxa" w:w="80"/>
              <w:left w:type="dxa" w:w="110"/>
              <w:bottom w:type="dxa" w:w="80"/>
              <w:right w:type="dxa" w:w="110"/>
            </w:tcMar>
          </w:tcPr>
          <w:p>
            <w:r>
              <w:rPr>
                <w:rFonts w:ascii="Arial" w:cs="Arial" w:eastAsia="Arial" w:hAnsi="Arial"/>
                <w:b/>
                <w:bCs/>
                <w:color w:val="FFFFFF"/>
                <w:sz w:val="17"/>
                <w:szCs w:val="17"/>
              </w:rPr>
              <w:t xml:space="preserve">Méthode</w:t>
            </w:r>
          </w:p>
        </w:tc>
        <w:tc>
          <w:tcPr>
            <w:tcW w:type="dxa" w:w="3600"/>
            <w:tcBorders>
              <w:top w:val="single" w:color="1E3A6E" w:sz="4"/>
              <w:left w:val="single" w:color="1E3A6E" w:sz="4"/>
              <w:bottom w:val="single" w:color="1E3A6E" w:sz="4"/>
              <w:right w:val="single" w:color="1E3A6E" w:sz="4"/>
            </w:tcBorders>
            <w:shd w:fill="1E3A6E" w:val="clear"/>
            <w:tcMar>
              <w:top w:type="dxa" w:w="80"/>
              <w:left w:type="dxa" w:w="110"/>
              <w:bottom w:type="dxa" w:w="80"/>
              <w:right w:type="dxa" w:w="110"/>
            </w:tcMar>
          </w:tcPr>
          <w:p>
            <w:r>
              <w:rPr>
                <w:rFonts w:ascii="Arial" w:cs="Arial" w:eastAsia="Arial" w:hAnsi="Arial"/>
                <w:b/>
                <w:bCs/>
                <w:color w:val="FFFFFF"/>
                <w:sz w:val="17"/>
                <w:szCs w:val="17"/>
              </w:rPr>
              <w:t xml:space="preserve">Endpoint</w:t>
            </w:r>
          </w:p>
        </w:tc>
        <w:tc>
          <w:tcPr>
            <w:tcW w:type="dxa" w:w="5006"/>
            <w:tcBorders>
              <w:top w:val="single" w:color="1E3A6E" w:sz="4"/>
              <w:left w:val="single" w:color="1E3A6E" w:sz="4"/>
              <w:bottom w:val="single" w:color="1E3A6E" w:sz="4"/>
              <w:right w:val="single" w:color="1E3A6E" w:sz="4"/>
            </w:tcBorders>
            <w:shd w:fill="1E3A6E" w:val="clear"/>
            <w:tcMar>
              <w:top w:type="dxa" w:w="80"/>
              <w:left w:type="dxa" w:w="110"/>
              <w:bottom w:type="dxa" w:w="80"/>
              <w:right w:type="dxa" w:w="110"/>
            </w:tcMar>
          </w:tcPr>
          <w:p>
            <w:r>
              <w:rPr>
                <w:rFonts w:ascii="Arial" w:cs="Arial" w:eastAsia="Arial" w:hAnsi="Arial"/>
                <w:b/>
                <w:bCs/>
                <w:color w:val="FFFFFF"/>
                <w:sz w:val="17"/>
                <w:szCs w:val="17"/>
              </w:rPr>
              <w:t xml:space="preserve">Description</w:t>
            </w:r>
          </w:p>
        </w:tc>
      </w:tr>
      <w:tr>
        <w:tc>
          <w:tcPr>
            <w:tcW w:type="dxa" w:w="13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Consolas" w:cs="Consolas" w:eastAsia="Consolas" w:hAnsi="Consolas"/>
                <w:b/>
                <w:bCs/>
                <w:color w:val="0B6B3A"/>
                <w:sz w:val="16"/>
                <w:szCs w:val="16"/>
              </w:rPr>
              <w:t xml:space="preserve">GET</w:t>
            </w:r>
          </w:p>
        </w:tc>
        <w:tc>
          <w:tcPr>
            <w:tcW w:type="dxa" w:w="36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Consolas" w:cs="Consolas" w:eastAsia="Consolas" w:hAnsi="Consolas"/>
                <w:color w:val="15202B"/>
                <w:sz w:val="16"/>
                <w:szCs w:val="16"/>
              </w:rPr>
              <w:t xml:space="preserve">/api/v1/statistiques/tableau-bord</w:t>
            </w:r>
          </w:p>
        </w:tc>
        <w:tc>
          <w:tcPr>
            <w:tcW w:type="dxa" w:w="50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color w:val="15202B"/>
                <w:sz w:val="16"/>
                <w:szCs w:val="16"/>
              </w:rPr>
              <w:t xml:space="preserve">Indicateurs consolidés par pays et par phase</w:t>
            </w:r>
          </w:p>
        </w:tc>
      </w:tr>
      <w:tr>
        <w:tc>
          <w:tcPr>
            <w:tcW w:type="dxa" w:w="13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Consolas" w:cs="Consolas" w:eastAsia="Consolas" w:hAnsi="Consolas"/>
                <w:b/>
                <w:bCs/>
                <w:color w:val="0B6B3A"/>
                <w:sz w:val="16"/>
                <w:szCs w:val="16"/>
              </w:rPr>
              <w:t xml:space="preserve">GET</w:t>
            </w:r>
          </w:p>
        </w:tc>
        <w:tc>
          <w:tcPr>
            <w:tcW w:type="dxa" w:w="36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Consolas" w:cs="Consolas" w:eastAsia="Consolas" w:hAnsi="Consolas"/>
                <w:color w:val="15202B"/>
                <w:sz w:val="16"/>
                <w:szCs w:val="16"/>
              </w:rPr>
              <w:t xml:space="preserve">/api/v1/statistiques/ventes</w:t>
            </w:r>
          </w:p>
        </w:tc>
        <w:tc>
          <w:tcPr>
            <w:tcW w:type="dxa" w:w="50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color w:val="15202B"/>
                <w:sz w:val="16"/>
                <w:szCs w:val="16"/>
              </w:rPr>
              <w:t xml:space="preserve">Nombre de PPB vendus et montant total encaissé, par période/pays/mode de paiement</w:t>
            </w:r>
          </w:p>
        </w:tc>
      </w:tr>
      <w:tr>
        <w:tc>
          <w:tcPr>
            <w:tcW w:type="dxa" w:w="13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Consolas" w:cs="Consolas" w:eastAsia="Consolas" w:hAnsi="Consolas"/>
                <w:b/>
                <w:bCs/>
                <w:color w:val="0B6B3A"/>
                <w:sz w:val="16"/>
                <w:szCs w:val="16"/>
              </w:rPr>
              <w:t xml:space="preserve">GET</w:t>
            </w:r>
          </w:p>
        </w:tc>
        <w:tc>
          <w:tcPr>
            <w:tcW w:type="dxa" w:w="36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Consolas" w:cs="Consolas" w:eastAsia="Consolas" w:hAnsi="Consolas"/>
                <w:color w:val="15202B"/>
                <w:sz w:val="16"/>
                <w:szCs w:val="16"/>
              </w:rPr>
              <w:t xml:space="preserve">/api/v1/statistiques/carte-mouvements</w:t>
            </w:r>
          </w:p>
        </w:tc>
        <w:tc>
          <w:tcPr>
            <w:tcW w:type="dxa" w:w="50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color w:val="15202B"/>
                <w:sz w:val="16"/>
                <w:szCs w:val="16"/>
              </w:rPr>
              <w:t xml:space="preserve">Données géospatiales des mouvements de troupeaux</w:t>
            </w:r>
          </w:p>
        </w:tc>
      </w:tr>
      <w:tr>
        <w:tc>
          <w:tcPr>
            <w:tcW w:type="dxa" w:w="13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Consolas" w:cs="Consolas" w:eastAsia="Consolas" w:hAnsi="Consolas"/>
                <w:b/>
                <w:bCs/>
                <w:color w:val="0B6B3A"/>
                <w:sz w:val="16"/>
                <w:szCs w:val="16"/>
              </w:rPr>
              <w:t xml:space="preserve">GET</w:t>
            </w:r>
          </w:p>
        </w:tc>
        <w:tc>
          <w:tcPr>
            <w:tcW w:type="dxa" w:w="36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Consolas" w:cs="Consolas" w:eastAsia="Consolas" w:hAnsi="Consolas"/>
                <w:color w:val="15202B"/>
                <w:sz w:val="16"/>
                <w:szCs w:val="16"/>
              </w:rPr>
              <w:t xml:space="preserve">/api/v1/statistiques/export</w:t>
            </w:r>
          </w:p>
        </w:tc>
        <w:tc>
          <w:tcPr>
            <w:tcW w:type="dxa" w:w="50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color w:val="15202B"/>
                <w:sz w:val="16"/>
                <w:szCs w:val="16"/>
              </w:rPr>
              <w:t xml:space="preserve">Export PDF / Excel / CSV</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0B6B3A" w:sz="4"/>
              <w:left w:val="single" w:color="0B6B3A" w:sz="4"/>
              <w:bottom w:val="single" w:color="0B6B3A" w:sz="4"/>
              <w:right w:val="single" w:color="0B6B3A" w:sz="4"/>
            </w:tcBorders>
            <w:shd w:fill="0B6B3A" w:val="clear"/>
            <w:tcMar>
              <w:top w:type="dxa" w:w="160"/>
              <w:left w:type="dxa" w:w="220"/>
              <w:bottom w:type="dxa" w:w="160"/>
              <w:right w:type="dxa" w:w="220"/>
            </w:tcMar>
          </w:tcPr>
          <w:p>
            <w:r>
              <w:rPr>
                <w:rFonts w:ascii="Arial" w:cs="Arial" w:eastAsia="Arial" w:hAnsi="Arial"/>
                <w:b/>
                <w:bCs/>
                <w:color w:val="F5C518"/>
                <w:sz w:val="30"/>
                <w:szCs w:val="30"/>
              </w:rPr>
              <w:t xml:space="preserve">6.  </w:t>
            </w:r>
            <w:r>
              <w:rPr>
                <w:rFonts w:ascii="Arial" w:cs="Arial" w:eastAsia="Arial" w:hAnsi="Arial"/>
                <w:b/>
                <w:bCs/>
                <w:color w:val="FFFFFF"/>
                <w:sz w:val="30"/>
                <w:szCs w:val="30"/>
              </w:rPr>
              <w:t xml:space="preserve">Sécurité transversale</w:t>
            </w:r>
          </w:p>
        </w:tc>
      </w:tr>
    </w:tbl>
    <w:p>
      <w:pPr>
        <w:spacing w:after="14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306"/>
      </w:tblGrid>
      <w:tr>
        <w:tc>
          <w:tcPr>
            <w:tcW w:type="dxa" w:w="2600"/>
            <w:tcBorders>
              <w:top w:val="single" w:color="0B6B3A" w:sz="4"/>
              <w:left w:val="single" w:color="0B6B3A" w:sz="4"/>
              <w:bottom w:val="single" w:color="0B6B3A" w:sz="4"/>
              <w:right w:val="single" w:color="0B6B3A" w:sz="4"/>
            </w:tcBorders>
            <w:shd w:fill="0B6B3A" w:val="clear"/>
            <w:tcMar>
              <w:top w:type="dxa" w:w="80"/>
              <w:left w:type="dxa" w:w="110"/>
              <w:bottom w:type="dxa" w:w="80"/>
              <w:right w:type="dxa" w:w="110"/>
            </w:tcMar>
          </w:tcPr>
          <w:p>
            <w:r>
              <w:rPr>
                <w:rFonts w:ascii="Arial" w:cs="Arial" w:eastAsia="Arial" w:hAnsi="Arial"/>
                <w:b/>
                <w:bCs/>
                <w:color w:val="FFFFFF"/>
                <w:sz w:val="17"/>
                <w:szCs w:val="17"/>
              </w:rPr>
              <w:t xml:space="preserve">Aspect</w:t>
            </w:r>
          </w:p>
        </w:tc>
        <w:tc>
          <w:tcPr>
            <w:tcW w:type="dxa" w:w="7306"/>
            <w:tcBorders>
              <w:top w:val="single" w:color="0B6B3A" w:sz="4"/>
              <w:left w:val="single" w:color="0B6B3A" w:sz="4"/>
              <w:bottom w:val="single" w:color="0B6B3A" w:sz="4"/>
              <w:right w:val="single" w:color="0B6B3A" w:sz="4"/>
            </w:tcBorders>
            <w:shd w:fill="0B6B3A" w:val="clear"/>
            <w:tcMar>
              <w:top w:type="dxa" w:w="80"/>
              <w:left w:type="dxa" w:w="110"/>
              <w:bottom w:type="dxa" w:w="80"/>
              <w:right w:type="dxa" w:w="110"/>
            </w:tcMar>
          </w:tcPr>
          <w:p>
            <w:r>
              <w:rPr>
                <w:rFonts w:ascii="Arial" w:cs="Arial" w:eastAsia="Arial" w:hAnsi="Arial"/>
                <w:b/>
                <w:bCs/>
                <w:color w:val="FFFFFF"/>
                <w:sz w:val="17"/>
                <w:szCs w:val="17"/>
              </w:rPr>
              <w:t xml:space="preserve">Mécanisme</w:t>
            </w:r>
          </w:p>
        </w:tc>
      </w:tr>
      <w:tr>
        <w:tc>
          <w:tcPr>
            <w:tcW w:type="dxa" w:w="26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Authentification</w:t>
            </w:r>
          </w:p>
        </w:tc>
        <w:tc>
          <w:tcPr>
            <w:tcW w:type="dxa" w:w="73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JWT (access token 15 min, refresh token 7 jours)</w:t>
            </w:r>
          </w:p>
        </w:tc>
      </w:tr>
      <w:tr>
        <w:tc>
          <w:tcPr>
            <w:tcW w:type="dxa" w:w="26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Autorisation</w:t>
            </w:r>
          </w:p>
        </w:tc>
        <w:tc>
          <w:tcPr>
            <w:tcW w:type="dxa" w:w="73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RBAC — 6 rôles (Super Admin, Admin National, Agent émission, Agent contrôle, Vétérinaire, Consultation)</w:t>
            </w:r>
          </w:p>
        </w:tc>
      </w:tr>
      <w:tr>
        <w:tc>
          <w:tcPr>
            <w:tcW w:type="dxa" w:w="26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Mots de passe</w:t>
            </w:r>
          </w:p>
        </w:tc>
        <w:tc>
          <w:tcPr>
            <w:tcW w:type="dxa" w:w="73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bcrypt (coût 12), politique de complexité, rotation recommandée à 90 jours</w:t>
            </w:r>
          </w:p>
        </w:tc>
      </w:tr>
      <w:tr>
        <w:tc>
          <w:tcPr>
            <w:tcW w:type="dxa" w:w="26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Transport</w:t>
            </w:r>
          </w:p>
        </w:tc>
        <w:tc>
          <w:tcPr>
            <w:tcW w:type="dxa" w:w="73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TLS 1.2+ obligatoire sur toutes les API</w:t>
            </w:r>
          </w:p>
        </w:tc>
      </w:tr>
      <w:tr>
        <w:tc>
          <w:tcPr>
            <w:tcW w:type="dxa" w:w="26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Signature des PPB</w:t>
            </w:r>
          </w:p>
        </w:tc>
        <w:tc>
          <w:tcPr>
            <w:tcW w:type="dxa" w:w="73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RSA-2048 ou ECDSA P-256, clé privée détenue exclusivement par la CEBEVIRHA</w:t>
            </w:r>
          </w:p>
        </w:tc>
      </w:tr>
      <w:tr>
        <w:tc>
          <w:tcPr>
            <w:tcW w:type="dxa" w:w="26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Audit</w:t>
            </w:r>
          </w:p>
        </w:tc>
        <w:tc>
          <w:tcPr>
            <w:tcW w:type="dxa" w:w="73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Journalisation immuable de toute opération sensible (attribution, impression, contrôle, remboursement, configuration dynamique)</w:t>
            </w:r>
          </w:p>
        </w:tc>
      </w:tr>
      <w:tr>
        <w:tc>
          <w:tcPr>
            <w:tcW w:type="dxa" w:w="26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Paiement</w:t>
            </w:r>
          </w:p>
        </w:tc>
        <w:tc>
          <w:tcPr>
            <w:tcW w:type="dxa" w:w="73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Aucune donnée bancaire stockée ; page de paiement hébergée par le PSP</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0B6B3A" w:sz="4"/>
              <w:left w:val="single" w:color="0B6B3A" w:sz="4"/>
              <w:bottom w:val="single" w:color="0B6B3A" w:sz="4"/>
              <w:right w:val="single" w:color="0B6B3A" w:sz="4"/>
            </w:tcBorders>
            <w:shd w:fill="0B6B3A" w:val="clear"/>
            <w:tcMar>
              <w:top w:type="dxa" w:w="160"/>
              <w:left w:type="dxa" w:w="220"/>
              <w:bottom w:type="dxa" w:w="160"/>
              <w:right w:type="dxa" w:w="220"/>
            </w:tcMar>
          </w:tcPr>
          <w:p>
            <w:r>
              <w:rPr>
                <w:rFonts w:ascii="Arial" w:cs="Arial" w:eastAsia="Arial" w:hAnsi="Arial"/>
                <w:b/>
                <w:bCs/>
                <w:color w:val="F5C518"/>
                <w:sz w:val="30"/>
                <w:szCs w:val="30"/>
              </w:rPr>
              <w:t xml:space="preserve">7.  </w:t>
            </w:r>
            <w:r>
              <w:rPr>
                <w:rFonts w:ascii="Arial" w:cs="Arial" w:eastAsia="Arial" w:hAnsi="Arial"/>
                <w:b/>
                <w:bCs/>
                <w:color w:val="FFFFFF"/>
                <w:sz w:val="30"/>
                <w:szCs w:val="30"/>
              </w:rPr>
              <w:t xml:space="preserve">Environnements et déploiement</w:t>
            </w:r>
          </w:p>
        </w:tc>
      </w:tr>
    </w:tbl>
    <w:p>
      <w:pPr>
        <w:spacing w:after="14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306"/>
      </w:tblGrid>
      <w:tr>
        <w:tc>
          <w:tcPr>
            <w:tcW w:type="dxa" w:w="2600"/>
            <w:tcBorders>
              <w:top w:val="single" w:color="0B6B3A" w:sz="4"/>
              <w:left w:val="single" w:color="0B6B3A" w:sz="4"/>
              <w:bottom w:val="single" w:color="0B6B3A" w:sz="4"/>
              <w:right w:val="single" w:color="0B6B3A" w:sz="4"/>
            </w:tcBorders>
            <w:shd w:fill="0B6B3A" w:val="clear"/>
            <w:tcMar>
              <w:top w:type="dxa" w:w="80"/>
              <w:left w:type="dxa" w:w="110"/>
              <w:bottom w:type="dxa" w:w="80"/>
              <w:right w:type="dxa" w:w="110"/>
            </w:tcMar>
          </w:tcPr>
          <w:p>
            <w:r>
              <w:rPr>
                <w:rFonts w:ascii="Arial" w:cs="Arial" w:eastAsia="Arial" w:hAnsi="Arial"/>
                <w:b/>
                <w:bCs/>
                <w:color w:val="FFFFFF"/>
                <w:sz w:val="17"/>
                <w:szCs w:val="17"/>
              </w:rPr>
              <w:t xml:space="preserve">Environnement</w:t>
            </w:r>
          </w:p>
        </w:tc>
        <w:tc>
          <w:tcPr>
            <w:tcW w:type="dxa" w:w="7306"/>
            <w:tcBorders>
              <w:top w:val="single" w:color="0B6B3A" w:sz="4"/>
              <w:left w:val="single" w:color="0B6B3A" w:sz="4"/>
              <w:bottom w:val="single" w:color="0B6B3A" w:sz="4"/>
              <w:right w:val="single" w:color="0B6B3A" w:sz="4"/>
            </w:tcBorders>
            <w:shd w:fill="0B6B3A" w:val="clear"/>
            <w:tcMar>
              <w:top w:type="dxa" w:w="80"/>
              <w:left w:type="dxa" w:w="110"/>
              <w:bottom w:type="dxa" w:w="80"/>
              <w:right w:type="dxa" w:w="110"/>
            </w:tcMar>
          </w:tcPr>
          <w:p>
            <w:r>
              <w:rPr>
                <w:rFonts w:ascii="Arial" w:cs="Arial" w:eastAsia="Arial" w:hAnsi="Arial"/>
                <w:b/>
                <w:bCs/>
                <w:color w:val="FFFFFF"/>
                <w:sz w:val="17"/>
                <w:szCs w:val="17"/>
              </w:rPr>
              <w:t xml:space="preserve">Usage</w:t>
            </w:r>
          </w:p>
        </w:tc>
      </w:tr>
      <w:tr>
        <w:tc>
          <w:tcPr>
            <w:tcW w:type="dxa" w:w="26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Développement</w:t>
            </w:r>
          </w:p>
        </w:tc>
        <w:tc>
          <w:tcPr>
            <w:tcW w:type="dxa" w:w="73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Développement local, données factices</w:t>
            </w:r>
          </w:p>
        </w:tc>
      </w:tr>
      <w:tr>
        <w:tc>
          <w:tcPr>
            <w:tcW w:type="dxa" w:w="26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Sandbox / Recette</w:t>
            </w:r>
          </w:p>
        </w:tc>
        <w:tc>
          <w:tcPr>
            <w:tcW w:type="dxa" w:w="73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Tests d’intégration, sandbox du PSP, validation CEBEVIRHA</w:t>
            </w:r>
          </w:p>
        </w:tc>
      </w:tr>
      <w:tr>
        <w:tc>
          <w:tcPr>
            <w:tcW w:type="dxa" w:w="26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Production</w:t>
            </w:r>
          </w:p>
        </w:tc>
        <w:tc>
          <w:tcPr>
            <w:tcW w:type="dxa" w:w="73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Environnement final, données réelles, sauvegardes quotidiennes</w:t>
            </w:r>
          </w:p>
        </w:tc>
      </w:tr>
    </w:tbl>
    <w:p>
      <w:pPr>
        <w:spacing w:after="120"/>
      </w:pPr>
    </w:p>
    <w:p>
      <w:pPr>
        <w:pBdr>
          <w:bottom w:val="single" w:color="F5C518" w:sz="8"/>
        </w:pBdr>
        <w:spacing w:after="120" w:before="220"/>
      </w:pPr>
      <w:r>
        <w:rPr>
          <w:rFonts w:ascii="Arial" w:cs="Arial" w:eastAsia="Arial" w:hAnsi="Arial"/>
          <w:b/>
          <w:bCs/>
          <w:color w:val="15202B"/>
          <w:sz w:val="22"/>
          <w:szCs w:val="22"/>
        </w:rPr>
        <w:t xml:space="preserve">Exemple de configuration (extrait)</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shd w:fill="15202B" w:val="clear"/>
            <w:tcMar>
              <w:top w:type="dxa" w:w="130"/>
              <w:left w:type="dxa" w:w="180"/>
              <w:bottom w:type="dxa" w:w="130"/>
              <w:right w:type="dxa" w:w="180"/>
            </w:tcMar>
          </w:tcPr>
          <w:p>
            <w:pPr>
              <w:spacing w:after="40"/>
            </w:pPr>
            <w:r>
              <w:rPr>
                <w:rFonts w:ascii="Consolas" w:cs="Consolas" w:eastAsia="Consolas" w:hAnsi="Consolas"/>
                <w:color w:val="9FE6BE"/>
                <w:sz w:val="18"/>
                <w:szCs w:val="18"/>
              </w:rPr>
              <w:t xml:space="preserve"># .env.production (extrait — valeurs réelles hors dépôt)</w:t>
            </w:r>
          </w:p>
          <w:p>
            <w:pPr>
              <w:spacing w:after="40"/>
            </w:pPr>
            <w:r>
              <w:rPr>
                <w:rFonts w:ascii="Consolas" w:cs="Consolas" w:eastAsia="Consolas" w:hAnsi="Consolas"/>
                <w:color w:val="9FE6BE"/>
                <w:sz w:val="18"/>
                <w:szCs w:val="18"/>
              </w:rPr>
              <w:t xml:space="preserve">DATABASE_URL=postgresql://ppb_user:***@db-prod:5432/ppb</w:t>
            </w:r>
          </w:p>
          <w:p>
            <w:pPr>
              <w:spacing w:after="40"/>
            </w:pPr>
            <w:r>
              <w:rPr>
                <w:rFonts w:ascii="Consolas" w:cs="Consolas" w:eastAsia="Consolas" w:hAnsi="Consolas"/>
                <w:color w:val="9FE6BE"/>
                <w:sz w:val="18"/>
                <w:szCs w:val="18"/>
              </w:rPr>
              <w:t xml:space="preserve">JWT_SECRET=***</w:t>
            </w:r>
          </w:p>
          <w:p>
            <w:pPr>
              <w:spacing w:after="40"/>
            </w:pPr>
            <w:r>
              <w:rPr>
                <w:rFonts w:ascii="Consolas" w:cs="Consolas" w:eastAsia="Consolas" w:hAnsi="Consolas"/>
                <w:color w:val="9FE6BE"/>
                <w:sz w:val="18"/>
                <w:szCs w:val="18"/>
              </w:rPr>
              <w:t xml:space="preserve">PSP_WEBHOOK_SECRET=***</w:t>
            </w:r>
          </w:p>
          <w:p>
            <w:pPr>
              <w:spacing w:after="40"/>
            </w:pPr>
            <w:r>
              <w:rPr>
                <w:rFonts w:ascii="Consolas" w:cs="Consolas" w:eastAsia="Consolas" w:hAnsi="Consolas"/>
                <w:color w:val="9FE6BE"/>
                <w:sz w:val="18"/>
                <w:szCs w:val="18"/>
              </w:rPr>
              <w:t xml:space="preserve">QR_SIGNING_KEY_PATH=/secrets/ppb_signing_key.pem</w:t>
            </w:r>
          </w:p>
          <w:p>
            <w:pPr>
              <w:spacing w:after="40"/>
            </w:pPr>
            <w:r>
              <w:rPr>
                <w:rFonts w:ascii="Consolas" w:cs="Consolas" w:eastAsia="Consolas" w:hAnsi="Consolas"/>
                <w:color w:val="9FE6BE"/>
                <w:sz w:val="18"/>
                <w:szCs w:val="18"/>
              </w:rPr>
              <w:t xml:space="preserve">STORAGE_BUCKET=ppb-documents-prod</w:t>
            </w:r>
          </w:p>
          <w:p>
            <w:pPr>
              <w:spacing w:after="0"/>
            </w:pPr>
            <w:r>
              <w:rPr>
                <w:rFonts w:ascii="Consolas" w:cs="Consolas" w:eastAsia="Consolas" w:hAnsi="Consolas"/>
                <w:color w:val="9FE6BE"/>
                <w:sz w:val="18"/>
                <w:szCs w:val="18"/>
              </w:rPr>
              <w:t xml:space="preserve">OFFLINE_CACHE_TTL_DAYS=60</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0B6B3A" w:sz="4"/>
              <w:left w:val="single" w:color="0B6B3A" w:sz="4"/>
              <w:bottom w:val="single" w:color="0B6B3A" w:sz="4"/>
              <w:right w:val="single" w:color="0B6B3A" w:sz="4"/>
            </w:tcBorders>
            <w:shd w:fill="0B6B3A" w:val="clear"/>
            <w:tcMar>
              <w:top w:type="dxa" w:w="160"/>
              <w:left w:type="dxa" w:w="220"/>
              <w:bottom w:type="dxa" w:w="160"/>
              <w:right w:type="dxa" w:w="220"/>
            </w:tcMar>
          </w:tcPr>
          <w:p>
            <w:r>
              <w:rPr>
                <w:rFonts w:ascii="Arial" w:cs="Arial" w:eastAsia="Arial" w:hAnsi="Arial"/>
                <w:b/>
                <w:bCs/>
                <w:color w:val="F5C518"/>
                <w:sz w:val="30"/>
                <w:szCs w:val="30"/>
              </w:rPr>
              <w:t xml:space="preserve">8.  </w:t>
            </w:r>
            <w:r>
              <w:rPr>
                <w:rFonts w:ascii="Arial" w:cs="Arial" w:eastAsia="Arial" w:hAnsi="Arial"/>
                <w:b/>
                <w:bCs/>
                <w:color w:val="FFFFFF"/>
                <w:sz w:val="30"/>
                <w:szCs w:val="30"/>
              </w:rPr>
              <w:t xml:space="preserve">Plan de tests par module</w:t>
            </w:r>
          </w:p>
        </w:tc>
      </w:tr>
    </w:tbl>
    <w:p>
      <w:pPr>
        <w:spacing w:after="14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506"/>
      </w:tblGrid>
      <w:tr>
        <w:tc>
          <w:tcPr>
            <w:tcW w:type="dxa" w:w="2400"/>
            <w:tcBorders>
              <w:top w:val="single" w:color="0B6B3A" w:sz="4"/>
              <w:left w:val="single" w:color="0B6B3A" w:sz="4"/>
              <w:bottom w:val="single" w:color="0B6B3A" w:sz="4"/>
              <w:right w:val="single" w:color="0B6B3A" w:sz="4"/>
            </w:tcBorders>
            <w:shd w:fill="0B6B3A" w:val="clear"/>
            <w:tcMar>
              <w:top w:type="dxa" w:w="80"/>
              <w:left w:type="dxa" w:w="110"/>
              <w:bottom w:type="dxa" w:w="80"/>
              <w:right w:type="dxa" w:w="110"/>
            </w:tcMar>
          </w:tcPr>
          <w:p>
            <w:r>
              <w:rPr>
                <w:rFonts w:ascii="Arial" w:cs="Arial" w:eastAsia="Arial" w:hAnsi="Arial"/>
                <w:b/>
                <w:bCs/>
                <w:color w:val="FFFFFF"/>
                <w:sz w:val="17"/>
                <w:szCs w:val="17"/>
              </w:rPr>
              <w:t xml:space="preserve">Module</w:t>
            </w:r>
          </w:p>
        </w:tc>
        <w:tc>
          <w:tcPr>
            <w:tcW w:type="dxa" w:w="7506"/>
            <w:tcBorders>
              <w:top w:val="single" w:color="0B6B3A" w:sz="4"/>
              <w:left w:val="single" w:color="0B6B3A" w:sz="4"/>
              <w:bottom w:val="single" w:color="0B6B3A" w:sz="4"/>
              <w:right w:val="single" w:color="0B6B3A" w:sz="4"/>
            </w:tcBorders>
            <w:shd w:fill="0B6B3A" w:val="clear"/>
            <w:tcMar>
              <w:top w:type="dxa" w:w="80"/>
              <w:left w:type="dxa" w:w="110"/>
              <w:bottom w:type="dxa" w:w="80"/>
              <w:right w:type="dxa" w:w="110"/>
            </w:tcMar>
          </w:tcPr>
          <w:p>
            <w:r>
              <w:rPr>
                <w:rFonts w:ascii="Arial" w:cs="Arial" w:eastAsia="Arial" w:hAnsi="Arial"/>
                <w:b/>
                <w:bCs/>
                <w:color w:val="FFFFFF"/>
                <w:sz w:val="17"/>
                <w:szCs w:val="17"/>
              </w:rPr>
              <w:t xml:space="preserve">Scénarios de test clés</w:t>
            </w:r>
          </w:p>
        </w:tc>
      </w:tr>
      <w:tr>
        <w:tc>
          <w:tcPr>
            <w:tcW w:type="dxa" w:w="24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Commande</w:t>
            </w:r>
          </w:p>
        </w:tc>
        <w:tc>
          <w:tcPr>
            <w:tcW w:type="dxa" w:w="75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Consolas" w:cs="Consolas" w:eastAsia="Consolas" w:hAnsi="Consolas"/>
                <w:b w:val="false"/>
                <w:bCs w:val="false"/>
                <w:color w:val="15202B"/>
                <w:sz w:val="16"/>
                <w:szCs w:val="16"/>
              </w:rPr>
              <w:t xml:space="preserve">Quantités limites, version linguistique FR/EN ou FR/AR par défaut selon le pays, choix du mode d’impression, expiration à 30 jours</w:t>
            </w:r>
          </w:p>
        </w:tc>
      </w:tr>
      <w:tr>
        <w:tc>
          <w:tcPr>
            <w:tcW w:type="dxa" w:w="24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Paiement</w:t>
            </w:r>
          </w:p>
        </w:tc>
        <w:tc>
          <w:tcPr>
            <w:tcW w:type="dxa" w:w="75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Consolas" w:cs="Consolas" w:eastAsia="Consolas" w:hAnsi="Consolas"/>
                <w:b w:val="false"/>
                <w:bCs w:val="false"/>
                <w:color w:val="15202B"/>
                <w:sz w:val="16"/>
                <w:szCs w:val="16"/>
              </w:rPr>
              <w:t xml:space="preserve">Paiement en ligne réussi (déclenchement automatique), refus au-delà du plafond, refusé, timeout, double tentative, webhook manquant, validation agent en présentiel/virement, génération et téléchargement du reçu, remboursement</w:t>
            </w:r>
          </w:p>
        </w:tc>
      </w:tr>
      <w:tr>
        <w:tc>
          <w:tcPr>
            <w:tcW w:type="dxa" w:w="24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Impression</w:t>
            </w:r>
          </w:p>
        </w:tc>
        <w:tc>
          <w:tcPr>
            <w:tcW w:type="dxa" w:w="75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Attribution automatique, impression centralisée, décentralisée, dépassement de plage</w:t>
            </w:r>
          </w:p>
        </w:tc>
      </w:tr>
      <w:tr>
        <w:tc>
          <w:tcPr>
            <w:tcW w:type="dxa" w:w="24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Scan</w:t>
            </w:r>
          </w:p>
        </w:tc>
        <w:tc>
          <w:tcPr>
            <w:tcW w:type="dxa" w:w="75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Vérification page par page en ligne, hors-ligne, correction avant validation, synchronisation différée</w:t>
            </w:r>
          </w:p>
        </w:tc>
      </w:tr>
      <w:tr>
        <w:tc>
          <w:tcPr>
            <w:tcW w:type="dxa" w:w="24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Contrôle</w:t>
            </w:r>
          </w:p>
        </w:tc>
        <w:tc>
          <w:tcPr>
            <w:tcW w:type="dxa" w:w="75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Vérification en ligne, hors-ligne, passeport falsifié, cache expiré, trajet non conforme à l’itinéraire déclaré</w:t>
            </w:r>
          </w:p>
        </w:tc>
      </w:tr>
      <w:tr>
        <w:tc>
          <w:tcPr>
            <w:tcW w:type="dxa" w:w="24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Administration</w:t>
            </w:r>
          </w:p>
        </w:tc>
        <w:tc>
          <w:tcPr>
            <w:tcW w:type="dxa" w:w="75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Consolas" w:cs="Consolas" w:eastAsia="Consolas" w:hAnsi="Consolas"/>
                <w:b w:val="false"/>
                <w:bCs w:val="false"/>
                <w:color w:val="15202B"/>
                <w:sz w:val="16"/>
                <w:szCs w:val="16"/>
              </w:rPr>
              <w:t xml:space="preserve">Ajout/modification/désactivation d’un champ, non-régression des données historiques, refus si rôle insuffisant, propagation du schéma aux applications</w:t>
            </w:r>
          </w:p>
        </w:tc>
      </w:tr>
    </w:tbl>
    <w:p>
      <w:pPr>
        <w:spacing w:after="300"/>
      </w:pPr>
    </w:p>
    <w:p>
      <w:pPr>
        <w:jc w:val="center"/>
      </w:pPr>
      <w:r>
        <w:rPr>
          <w:rFonts w:ascii="Arial" w:cs="Arial" w:eastAsia="Arial" w:hAnsi="Arial"/>
          <w:color w:val="5A6575"/>
          <w:sz w:val="17"/>
          <w:szCs w:val="17"/>
        </w:rPr>
        <w:t xml:space="preserve">CEBEVIRHA — Commission Économique du Bétail, de la Viande et des Ressources Halieutiques</w:t>
      </w:r>
    </w:p>
    <w:sectPr>
      <w:footerReference w:type="default" r:id="rId7"/>
      <w:pgSz w:w="11906" w:h="16838" w:orient="portrait"/>
      <w:pgMar w:top="1000" w:right="1000" w:bottom="1000" w:left="100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4DA" w:sz="4"/>
      </w:pBdr>
      <w:tabs>
        <w:tab w:val="right" w:pos="9906"/>
      </w:tabs>
      <w:spacing w:before="120"/>
    </w:pPr>
    <w:r>
      <w:rPr>
        <w:rFonts w:ascii="Arial" w:cs="Arial" w:eastAsia="Arial" w:hAnsi="Arial"/>
        <w:color w:val="5A6575"/>
        <w:sz w:val="16"/>
        <w:szCs w:val="16"/>
      </w:rPr>
      <w:t xml:space="preserve">CEBEVIRHA — Document technique d’implémentation PPB</w:t>
    </w:r>
    <w:r>
      <w:rPr>
        <w:rFonts w:ascii="Arial" w:cs="Arial" w:eastAsia="Arial" w:hAnsi="Arial"/>
        <w:sz w:val="16"/>
        <w:szCs w:val="16"/>
      </w:rPr>
      <w:t xml:space="preserve">	</w:t>
    </w:r>
    <w:r>
      <w:rPr>
        <w:rFonts w:ascii="Arial" w:cs="Arial" w:eastAsia="Arial" w:hAnsi="Arial"/>
        <w:color w:val="5A6575"/>
        <w:sz w:val="16"/>
        <w:szCs w:val="16"/>
      </w:rPr>
      <w:fldChar w:fldCharType="begin"/>
      <w:instrText xml:space="preserve">PAGE</w:instrText>
      <w:fldChar w:fldCharType="separate"/>
      <w:fldChar w:fldCharType="end"/>
    </w:r>
    <w:r>
      <w:rPr>
        <w:rFonts w:ascii="Arial" w:cs="Arial" w:eastAsia="Arial" w:hAnsi="Arial"/>
        <w:color w:val="5A6575"/>
        <w:sz w:val="16"/>
        <w:szCs w:val="16"/>
      </w:rPr>
      <w:t xml:space="preserve"> / </w:t>
    </w:r>
    <w:r>
      <w:rPr>
        <w:rFonts w:ascii="Arial" w:cs="Arial" w:eastAsia="Arial" w:hAnsi="Arial"/>
        <w:color w:val="5A657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abstractNum w:abstractNumId="7" w15:restartNumberingAfterBreak="0">
    <w:multiLevelType w:val="hybridMultilevel"/>
    <w:lvl w:ilvl="0" w15:tentative="1">
      <w:start w:val="1"/>
      <w:numFmt w:val="decimal"/>
      <w:lvlText w:val="%1."/>
      <w:lvlJc w:val="left"/>
      <w:pPr>
        <w:ind w:left="420" w:hanging="260"/>
      </w:pPr>
    </w:lvl>
  </w:abstractNum>
  <w:abstractNum w:abstractNumId="8" w15:restartNumberingAfterBreak="0">
    <w:multiLevelType w:val="hybridMultilevel"/>
    <w:lvl w:ilvl="0" w15:tentative="1">
      <w:start w:val="1"/>
      <w:numFmt w:val="decimal"/>
      <w:lvlText w:val="%1."/>
      <w:lvlJc w:val="left"/>
      <w:pPr>
        <w:ind w:left="420" w:hanging="260"/>
      </w:pPr>
    </w:lvl>
  </w:abstractNum>
  <w:abstractNum w:abstractNumId="9" w15:restartNumberingAfterBreak="0">
    <w:multiLevelType w:val="hybridMultilevel"/>
    <w:lvl w:ilvl="0" w15:tentative="1">
      <w:start w:val="1"/>
      <w:numFmt w:val="decimal"/>
      <w:lvlText w:val="%1."/>
      <w:lvlJc w:val="left"/>
      <w:pPr>
        <w:ind w:left="420" w:hanging="260"/>
      </w:pPr>
    </w:lvl>
  </w:abstractNum>
  <w:abstractNum w:abstractNumId="10" w15:restartNumberingAfterBreak="0">
    <w:multiLevelType w:val="hybridMultilevel"/>
    <w:lvl w:ilvl="0" w15:tentative="1">
      <w:start w:val="1"/>
      <w:numFmt w:val="decimal"/>
      <w:lvlText w:val="%1."/>
      <w:lvlJc w:val="left"/>
      <w:pPr>
        <w:ind w:left="420" w:hanging="260"/>
      </w:pPr>
    </w:lvl>
  </w:abstractNum>
  <w:abstractNum w:abstractNumId="11" w15:restartNumberingAfterBreak="0">
    <w:multiLevelType w:val="hybridMultilevel"/>
    <w:lvl w:ilvl="0" w15:tentative="1">
      <w:start w:val="1"/>
      <w:numFmt w:val="decimal"/>
      <w:lvlText w:val="%1."/>
      <w:lvlJc w:val="left"/>
      <w:pPr>
        <w:ind w:left="420" w:hanging="260"/>
      </w:pPr>
    </w:lvl>
  </w:abstractNum>
  <w:abstractNum w:abstractNumId="12"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10"/>
    <w:lvlOverride w:ilvl="0">
      <w:startOverride w:val="1"/>
    </w:lvlOverride>
  </w:num>
  <w:num w:numId="6">
    <w:abstractNumId w:val="5"/>
    <w:lvlOverride w:ilvl="0">
      <w:startOverride w:val="1"/>
    </w:lvlOverride>
  </w:num>
  <w:num w:numId="7">
    <w:abstractNumId w:val="6"/>
    <w:lvlOverride w:ilvl="0">
      <w:startOverride w:val="1"/>
    </w:lvlOverride>
  </w:num>
  <w:num w:numId="8">
    <w:abstractNumId w:val="8"/>
    <w:lvlOverride w:ilvl="0">
      <w:startOverride w:val="1"/>
    </w:lvlOverride>
  </w:num>
  <w:num w:numId="9">
    <w:abstractNumId w:val="7"/>
    <w:lvlOverride w:ilvl="0">
      <w:startOverride w:val="1"/>
    </w:lvlOverride>
  </w:num>
  <w:num w:numId="10">
    <w:abstractNumId w:val="11"/>
    <w:lvlOverride w:ilvl="0">
      <w:startOverride w:val="1"/>
    </w:lvlOverride>
  </w:num>
  <w:num w:numId="11">
    <w:abstractNumId w:val="9"/>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08edaae70b8936216e0bd8f5719d78463d30d43.png"/><Relationship Id="rId9" Type="http://schemas.openxmlformats.org/officeDocument/2006/relationships/image" Target="media/054a33f8f07a566a3ca814c763ff11e60125b68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2026-08-13T12:04:18.475Z</dcterms:created>
  <dcterms:modified xsi:type="dcterms:W3CDTF">2026-08-13T12:04:18.488Z</dcterms:modified>
</cp:coreProperties>
</file>

<file path=docProps/custom.xml><?xml version="1.0" encoding="utf-8"?>
<Properties xmlns="http://schemas.openxmlformats.org/officeDocument/2006/custom-properties" xmlns:vt="http://schemas.openxmlformats.org/officeDocument/2006/docPropsVTypes"/>
</file>