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0572" w:rsidRDefault="00B00572">
      <w:pPr>
        <w:spacing w:after="120"/>
        <w:jc w:val="center"/>
      </w:pPr>
    </w:p>
    <w:p w:rsidR="00B00572" w:rsidRDefault="00EB0408" w:rsidP="00EB0408">
      <w:pPr>
        <w:tabs>
          <w:tab w:val="left" w:pos="1320"/>
        </w:tabs>
        <w:spacing w:after="120"/>
      </w:pPr>
      <w:r>
        <w:tab/>
      </w:r>
    </w:p>
    <w:p w:rsidR="00B00572" w:rsidRDefault="00B00572">
      <w:pPr>
        <w:spacing w:after="120"/>
        <w:jc w:val="left"/>
      </w:pPr>
    </w:p>
    <w:tbl>
      <w:tblPr>
        <w:tblW w:w="99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906"/>
      </w:tblGrid>
      <w:tr w:rsidR="00B00572">
        <w:tc>
          <w:tcPr>
            <w:tcW w:w="9906" w:type="dxa"/>
            <w:shd w:val="clear" w:color="auto" w:fill="0B6B3A"/>
            <w:tcMar>
              <w:top w:w="160" w:type="dxa"/>
              <w:left w:w="220" w:type="dxa"/>
              <w:bottom w:w="160" w:type="dxa"/>
              <w:right w:w="220" w:type="dxa"/>
            </w:tcMar>
          </w:tcPr>
          <w:p w:rsidR="00B00572" w:rsidRDefault="008B2FD9">
            <w:pPr>
              <w:spacing w:after="60"/>
              <w:jc w:val="center"/>
            </w:pPr>
            <w:r>
              <w:rPr>
                <w:rFonts w:ascii="Calibri" w:eastAsia="Calibri" w:hAnsi="Calibri" w:cs="Calibri"/>
                <w:b/>
                <w:bCs/>
                <w:color w:val="FFFFFF"/>
                <w:sz w:val="30"/>
                <w:szCs w:val="30"/>
              </w:rPr>
              <w:t>RAPPORT TECHNIQUE</w:t>
            </w:r>
          </w:p>
          <w:p w:rsidR="00B00572" w:rsidRDefault="008B2FD9">
            <w:pPr>
              <w:jc w:val="center"/>
            </w:pPr>
            <w:r>
              <w:rPr>
                <w:rFonts w:ascii="Calibri" w:eastAsia="Calibri" w:hAnsi="Calibri" w:cs="Calibri"/>
                <w:b/>
                <w:bCs/>
                <w:color w:val="F5C518"/>
                <w:sz w:val="22"/>
                <w:szCs w:val="22"/>
              </w:rPr>
              <w:t>PLATEFORME NUMÉRIQUE DU PASSEPORT POUR BÉTAIL (PPB) — PROJET FLUVIAC</w:t>
            </w:r>
          </w:p>
        </w:tc>
      </w:tr>
    </w:tbl>
    <w:p w:rsidR="00B00572" w:rsidRDefault="00B00572">
      <w:pPr>
        <w:spacing w:after="160"/>
      </w:pPr>
    </w:p>
    <w:p w:rsidR="00B00572" w:rsidRDefault="00B00572">
      <w:pPr>
        <w:spacing w:after="160"/>
      </w:pPr>
    </w:p>
    <w:tbl>
      <w:tblPr>
        <w:tblW w:w="9906" w:type="dxa"/>
        <w:tblLook w:val="04A0"/>
      </w:tblPr>
      <w:tblGrid>
        <w:gridCol w:w="2200"/>
        <w:gridCol w:w="7706"/>
      </w:tblGrid>
      <w:tr>
        <w:tc>
          <w:tcPr>
            <w:tcW w:w="2200" w:type="dxa"/>
            <w:tcBorders>
              <w:top w:val="single" w:sz="4" w:space="0" w:color="0F1F3D"/>
              <w:left w:val="single" w:sz="4" w:space="0" w:color="0F1F3D"/>
              <w:bottom w:val="single" w:sz="4" w:space="0" w:color="0F1F3D"/>
              <w:right w:val="single" w:sz="4" w:space="0" w:color="0F1F3D"/>
            </w:tcBorders>
            <w:shd w:val="clear" w:color="auto" w:fill="0F1F3D"/>
            <w:tcMar>
              <w:top w:w="90" w:type="dxa"/>
              <w:left w:w="140" w:type="dxa"/>
              <w:bottom w:w="90" w:type="dxa"/>
              <w:right w:w="100" w:type="dxa"/>
            </w:tcMar>
            <w:vAlign w:val="center"/>
          </w:tcPr>
          <w:p>
            <w:r>
              <w:rPr>
                <w:rFonts w:ascii="Calibri" w:eastAsia="Calibri" w:hAnsi="Calibri" w:cs="Calibri"/>
                <w:b/>
                <w:bCs/>
                <w:color w:val="FFFFFF"/>
                <w:sz w:val="19"/>
                <w:szCs w:val="19"/>
              </w:rPr>
              <w:t>Référence</w:t>
            </w:r>
          </w:p>
        </w:tc>
        <w:tc>
          <w:tcPr>
            <w:tcW w:w="7706" w:type="dxa"/>
            <w:tcBorders>
              <w:top w:val="single" w:sz="4" w:space="0" w:color="D9D2C0"/>
              <w:left w:val="single" w:sz="4" w:space="0" w:color="D9D2C0"/>
              <w:bottom w:val="single" w:sz="4" w:space="0" w:color="D9D2C0"/>
              <w:right w:val="single" w:sz="4" w:space="0" w:color="D9D2C0"/>
            </w:tcBorders>
            <w:shd w:val="clear" w:color="auto" w:fill="FFFFFF"/>
            <w:tcMar>
              <w:top w:w="90" w:type="dxa"/>
              <w:left w:w="140" w:type="dxa"/>
              <w:bottom w:w="90" w:type="dxa"/>
              <w:right w:w="100" w:type="dxa"/>
            </w:tcMar>
            <w:vAlign w:val="center"/>
          </w:tcPr>
          <w:p>
            <w:r>
              <w:rPr>
                <w:rFonts w:ascii="Calibri" w:eastAsia="Calibri" w:hAnsi="Calibri" w:cs="Calibri"/>
                <w:color w:val="15202B"/>
                <w:sz w:val="19"/>
                <w:szCs w:val="19"/>
              </w:rPr>
              <w:t xml:space="preserve">AMI/CEBEVIRHA/FLUVIAC/PPB/2026</w:t>
            </w:r>
          </w:p>
        </w:tc>
      </w:tr>
      <w:tr>
        <w:tc>
          <w:tcPr>
            <w:tcW w:w="2200" w:type="dxa"/>
            <w:tcBorders>
              <w:top w:val="single" w:sz="4" w:space="0" w:color="0F1F3D"/>
              <w:left w:val="single" w:sz="4" w:space="0" w:color="0F1F3D"/>
              <w:bottom w:val="single" w:sz="4" w:space="0" w:color="0F1F3D"/>
              <w:right w:val="single" w:sz="4" w:space="0" w:color="0F1F3D"/>
            </w:tcBorders>
            <w:shd w:val="clear" w:color="auto" w:fill="0F1F3D"/>
            <w:tcMar>
              <w:top w:w="90" w:type="dxa"/>
              <w:left w:w="140" w:type="dxa"/>
              <w:bottom w:w="90" w:type="dxa"/>
              <w:right w:w="100" w:type="dxa"/>
            </w:tcMar>
            <w:vAlign w:val="center"/>
          </w:tcPr>
          <w:p>
            <w:r>
              <w:rPr>
                <w:rFonts w:ascii="Calibri" w:eastAsia="Calibri" w:hAnsi="Calibri" w:cs="Calibri"/>
                <w:b/>
                <w:bCs/>
                <w:color w:val="FFFFFF"/>
                <w:sz w:val="19"/>
                <w:szCs w:val="19"/>
              </w:rPr>
              <w:t>Date</w:t>
            </w:r>
          </w:p>
        </w:tc>
        <w:tc>
          <w:tcPr>
            <w:tcW w:w="7706" w:type="dxa"/>
            <w:tcBorders>
              <w:top w:val="single" w:sz="4" w:space="0" w:color="D9D2C0"/>
              <w:left w:val="single" w:sz="4" w:space="0" w:color="D9D2C0"/>
              <w:bottom w:val="single" w:sz="4" w:space="0" w:color="D9D2C0"/>
              <w:right w:val="single" w:sz="4" w:space="0" w:color="D9D2C0"/>
            </w:tcBorders>
            <w:shd w:val="clear" w:color="auto" w:fill="FFFFFF"/>
            <w:tcMar>
              <w:top w:w="90" w:type="dxa"/>
              <w:left w:w="140" w:type="dxa"/>
              <w:bottom w:w="90" w:type="dxa"/>
              <w:right w:w="100" w:type="dxa"/>
            </w:tcMar>
            <w:vAlign w:val="center"/>
          </w:tcPr>
          <w:p>
            <w:r>
              <w:rPr>
                <w:rFonts w:ascii="Calibri" w:eastAsia="Calibri" w:hAnsi="Calibri" w:cs="Calibri"/>
                <w:color w:val="15202B"/>
                <w:sz w:val="19"/>
                <w:szCs w:val="19"/>
              </w:rPr>
              <w:t xml:space="preserve">04/09/2026</w:t>
            </w:r>
          </w:p>
        </w:tc>
      </w:tr>
      <w:tr>
        <w:tc>
          <w:tcPr>
            <w:tcW w:w="2200" w:type="dxa"/>
            <w:tcBorders>
              <w:top w:val="single" w:sz="4" w:space="0" w:color="0F1F3D"/>
              <w:left w:val="single" w:sz="4" w:space="0" w:color="0F1F3D"/>
              <w:bottom w:val="single" w:sz="4" w:space="0" w:color="0F1F3D"/>
              <w:right w:val="single" w:sz="4" w:space="0" w:color="0F1F3D"/>
            </w:tcBorders>
            <w:shd w:val="clear" w:color="auto" w:fill="0F1F3D"/>
            <w:tcMar>
              <w:top w:w="90" w:type="dxa"/>
              <w:left w:w="140" w:type="dxa"/>
              <w:bottom w:w="90" w:type="dxa"/>
              <w:right w:w="100" w:type="dxa"/>
            </w:tcMar>
            <w:vAlign w:val="center"/>
          </w:tcPr>
          <w:p>
            <w:r>
              <w:rPr>
                <w:rFonts w:ascii="Calibri" w:eastAsia="Calibri" w:hAnsi="Calibri" w:cs="Calibri"/>
                <w:b/>
                <w:bCs/>
                <w:color w:val="FFFFFF"/>
                <w:sz w:val="19"/>
                <w:szCs w:val="19"/>
              </w:rPr>
              <w:t>Version</w:t>
            </w:r>
          </w:p>
        </w:tc>
        <w:tc>
          <w:tcPr>
            <w:tcW w:w="7706" w:type="dxa"/>
            <w:tcBorders>
              <w:top w:val="single" w:sz="4" w:space="0" w:color="D9D2C0"/>
              <w:left w:val="single" w:sz="4" w:space="0" w:color="D9D2C0"/>
              <w:bottom w:val="single" w:sz="4" w:space="0" w:color="D9D2C0"/>
              <w:right w:val="single" w:sz="4" w:space="0" w:color="D9D2C0"/>
            </w:tcBorders>
            <w:shd w:val="clear" w:color="auto" w:fill="FFFFFF"/>
            <w:tcMar>
              <w:top w:w="90" w:type="dxa"/>
              <w:left w:w="140" w:type="dxa"/>
              <w:bottom w:w="90" w:type="dxa"/>
              <w:right w:w="100" w:type="dxa"/>
            </w:tcMar>
            <w:vAlign w:val="center"/>
          </w:tcPr>
          <w:p>
            <w:r>
              <w:rPr>
                <w:rFonts w:ascii="Calibri" w:eastAsia="Calibri" w:hAnsi="Calibri" w:cs="Calibri"/>
                <w:color w:val="15202B"/>
                <w:sz w:val="19"/>
                <w:szCs w:val="19"/>
              </w:rPr>
              <w:t xml:space="preserve">1.0</w:t>
            </w:r>
          </w:p>
        </w:tc>
      </w:tr>
      <w:tr>
        <w:tc>
          <w:tcPr>
            <w:tcW w:w="2200" w:type="dxa"/>
            <w:tcBorders>
              <w:top w:val="single" w:sz="4" w:space="0" w:color="0F1F3D"/>
              <w:left w:val="single" w:sz="4" w:space="0" w:color="0F1F3D"/>
              <w:bottom w:val="single" w:sz="4" w:space="0" w:color="0F1F3D"/>
              <w:right w:val="single" w:sz="4" w:space="0" w:color="0F1F3D"/>
            </w:tcBorders>
            <w:shd w:val="clear" w:color="auto" w:fill="0F1F3D"/>
            <w:tcMar>
              <w:top w:w="90" w:type="dxa"/>
              <w:left w:w="140" w:type="dxa"/>
              <w:bottom w:w="90" w:type="dxa"/>
              <w:right w:w="100" w:type="dxa"/>
            </w:tcMar>
            <w:vAlign w:val="center"/>
          </w:tcPr>
          <w:p>
            <w:r>
              <w:rPr>
                <w:rFonts w:ascii="Calibri" w:eastAsia="Calibri" w:hAnsi="Calibri" w:cs="Calibri"/>
                <w:b/>
                <w:bCs/>
                <w:color w:val="FFFFFF"/>
                <w:sz w:val="19"/>
                <w:szCs w:val="19"/>
              </w:rPr>
              <w:t>Rédigé par</w:t>
            </w:r>
          </w:p>
        </w:tc>
        <w:tc>
          <w:tcPr>
            <w:tcW w:w="7706" w:type="dxa"/>
            <w:tcBorders>
              <w:top w:val="single" w:sz="4" w:space="0" w:color="D9D2C0"/>
              <w:left w:val="single" w:sz="4" w:space="0" w:color="D9D2C0"/>
              <w:bottom w:val="single" w:sz="4" w:space="0" w:color="D9D2C0"/>
              <w:right w:val="single" w:sz="4" w:space="0" w:color="D9D2C0"/>
            </w:tcBorders>
            <w:shd w:val="clear" w:color="auto" w:fill="FFFFFF"/>
            <w:tcMar>
              <w:top w:w="90" w:type="dxa"/>
              <w:left w:w="140" w:type="dxa"/>
              <w:bottom w:w="90" w:type="dxa"/>
              <w:right w:w="100" w:type="dxa"/>
            </w:tcMar>
            <w:vAlign w:val="center"/>
          </w:tcPr>
          <w:p>
            <w:r>
              <w:rPr>
                <w:rFonts w:ascii="Calibri" w:eastAsia="Calibri" w:hAnsi="Calibri" w:cs="Calibri"/>
                <w:color w:val="15202B"/>
                <w:sz w:val="19"/>
                <w:szCs w:val="19"/>
              </w:rPr>
              <w:t xml:space="preserve">BRAHIM ABDELKHANI ISMAIL, Consultant</w:t>
            </w:r>
          </w:p>
        </w:tc>
      </w:tr>
      <w:tr>
        <w:tc>
          <w:tcPr>
            <w:tcW w:w="2200" w:type="dxa"/>
            <w:tcBorders>
              <w:top w:val="single" w:sz="4" w:space="0" w:color="0F1F3D"/>
              <w:left w:val="single" w:sz="4" w:space="0" w:color="0F1F3D"/>
              <w:bottom w:val="single" w:sz="4" w:space="0" w:color="0F1F3D"/>
              <w:right w:val="single" w:sz="4" w:space="0" w:color="0F1F3D"/>
            </w:tcBorders>
            <w:shd w:val="clear" w:color="auto" w:fill="0F1F3D"/>
            <w:tcMar>
              <w:top w:w="90" w:type="dxa"/>
              <w:left w:w="140" w:type="dxa"/>
              <w:bottom w:w="90" w:type="dxa"/>
              <w:right w:w="100" w:type="dxa"/>
            </w:tcMar>
            <w:vAlign w:val="center"/>
          </w:tcPr>
          <w:p>
            <w:r>
              <w:rPr>
                <w:rFonts w:ascii="Calibri" w:eastAsia="Calibri" w:hAnsi="Calibri" w:cs="Calibri"/>
                <w:b/>
                <w:bCs/>
                <w:color w:val="FFFFFF"/>
                <w:sz w:val="19"/>
                <w:szCs w:val="19"/>
              </w:rPr>
              <w:t>Objet</w:t>
            </w:r>
          </w:p>
        </w:tc>
        <w:tc>
          <w:tcPr>
            <w:tcW w:w="7706" w:type="dxa"/>
            <w:tcBorders>
              <w:top w:val="single" w:sz="4" w:space="0" w:color="D9D2C0"/>
              <w:left w:val="single" w:sz="4" w:space="0" w:color="D9D2C0"/>
              <w:bottom w:val="single" w:sz="4" w:space="0" w:color="D9D2C0"/>
              <w:right w:val="single" w:sz="4" w:space="0" w:color="D9D2C0"/>
            </w:tcBorders>
            <w:shd w:val="clear" w:color="auto" w:fill="FFFFFF"/>
            <w:tcMar>
              <w:top w:w="90" w:type="dxa"/>
              <w:left w:w="140" w:type="dxa"/>
              <w:bottom w:w="90" w:type="dxa"/>
              <w:right w:w="100" w:type="dxa"/>
            </w:tcMar>
            <w:vAlign w:val="center"/>
          </w:tcPr>
          <w:p>
            <w:r>
              <w:rPr>
                <w:rFonts w:ascii="Calibri" w:eastAsia="Calibri" w:hAnsi="Calibri" w:cs="Calibri"/>
                <w:color w:val="15202B"/>
                <w:sz w:val="19"/>
                <w:szCs w:val="19"/>
              </w:rPr>
              <w:t xml:space="preserve">Rapport technique de la plateforme numérique du Passeport Pour Bétail (PPB) — architecture, modules fonctionnels, sécurité et points d'attention</w:t>
            </w:r>
          </w:p>
        </w:tc>
      </w:tr>
    </w:tbl>
    <w:p w:rsidR="00B00572" w:rsidRDefault="00B00572">
      <w:pPr>
        <w:spacing w:after="160"/>
      </w:pPr>
    </w:p>
    <w:p>
      <w:pPr>
        <w:spacing w:before="260" w:after="140"/>
      </w:pPr>
      <w:r>
        <w:rPr>
          <w:rFonts w:ascii="Calibri" w:eastAsia="Calibri" w:hAnsi="Calibri" w:cs="Calibri"/>
          <w:b/>
          <w:bCs/>
          <w:color w:val="0B6B3A"/>
          <w:sz w:val="26"/>
          <w:szCs w:val="26"/>
        </w:rPr>
        <w:t>Sommaire</w:t>
      </w:r>
    </w:p>
    <w:p>
      <w:pPr>
        <w:pStyle w:val="Paragraphedeliste"/>
        <w:numPr>
          <w:ilvl w:val="0"/>
          <w:numId w:val="1"/>
        </w:numPr>
        <w:spacing w:after="70"/>
      </w:pPr>
      <w:r>
        <w:rPr>
          <w:rFonts w:ascii="Calibri" w:eastAsia="Calibri" w:hAnsi="Calibri" w:cs="Calibri"/>
          <w:color w:val="15202B"/>
          <w:sz w:val="21"/>
          <w:szCs w:val="21"/>
        </w:rPr>
        <w:t xml:space="preserve">1. Contexte et objectifs du projet</w:t>
      </w:r>
    </w:p>
    <w:p>
      <w:pPr>
        <w:pStyle w:val="Paragraphedeliste"/>
        <w:numPr>
          <w:ilvl w:val="0"/>
          <w:numId w:val="1"/>
        </w:numPr>
        <w:spacing w:after="70"/>
      </w:pPr>
      <w:r>
        <w:rPr>
          <w:rFonts w:ascii="Calibri" w:eastAsia="Calibri" w:hAnsi="Calibri" w:cs="Calibri"/>
          <w:color w:val="15202B"/>
          <w:sz w:val="21"/>
          <w:szCs w:val="21"/>
        </w:rPr>
        <w:t xml:space="preserve">2. Architecture générale de la plateforme</w:t>
      </w:r>
    </w:p>
    <w:p>
      <w:pPr>
        <w:pStyle w:val="Paragraphedeliste"/>
        <w:numPr>
          <w:ilvl w:val="0"/>
          <w:numId w:val="1"/>
        </w:numPr>
        <w:spacing w:after="70"/>
      </w:pPr>
      <w:r>
        <w:rPr>
          <w:rFonts w:ascii="Calibri" w:eastAsia="Calibri" w:hAnsi="Calibri" w:cs="Calibri"/>
          <w:color w:val="15202B"/>
          <w:sz w:val="21"/>
          <w:szCs w:val="21"/>
        </w:rPr>
        <w:t xml:space="preserve">3. Modèle de données</w:t>
      </w:r>
    </w:p>
    <w:p>
      <w:pPr>
        <w:pStyle w:val="Paragraphedeliste"/>
        <w:numPr>
          <w:ilvl w:val="0"/>
          <w:numId w:val="1"/>
        </w:numPr>
        <w:spacing w:after="70"/>
      </w:pPr>
      <w:r>
        <w:rPr>
          <w:rFonts w:ascii="Calibri" w:eastAsia="Calibri" w:hAnsi="Calibri" w:cs="Calibri"/>
          <w:color w:val="15202B"/>
          <w:sz w:val="21"/>
          <w:szCs w:val="21"/>
        </w:rPr>
        <w:t xml:space="preserve">4. Rôles et permissions</w:t>
      </w:r>
    </w:p>
    <w:p>
      <w:pPr>
        <w:pStyle w:val="Paragraphedeliste"/>
        <w:numPr>
          <w:ilvl w:val="0"/>
          <w:numId w:val="1"/>
        </w:numPr>
        <w:spacing w:after="70"/>
      </w:pPr>
      <w:r>
        <w:rPr>
          <w:rFonts w:ascii="Calibri" w:eastAsia="Calibri" w:hAnsi="Calibri" w:cs="Calibri"/>
          <w:color w:val="15202B"/>
          <w:sz w:val="21"/>
          <w:szCs w:val="21"/>
        </w:rPr>
        <w:t xml:space="preserve">5. Cycle de vie du Passeport Pour Bétail</w:t>
      </w:r>
    </w:p>
    <w:p>
      <w:pPr>
        <w:pStyle w:val="Paragraphedeliste"/>
        <w:numPr>
          <w:ilvl w:val="0"/>
          <w:numId w:val="1"/>
        </w:numPr>
        <w:spacing w:after="70"/>
      </w:pPr>
      <w:r>
        <w:rPr>
          <w:rFonts w:ascii="Calibri" w:eastAsia="Calibri" w:hAnsi="Calibri" w:cs="Calibri"/>
          <w:color w:val="15202B"/>
          <w:sz w:val="21"/>
          <w:szCs w:val="21"/>
        </w:rPr>
        <w:t xml:space="preserve">6. Sécurité du document et garde-fous anti-fraude</w:t>
      </w:r>
    </w:p>
    <w:p>
      <w:pPr>
        <w:pStyle w:val="Paragraphedeliste"/>
        <w:numPr>
          <w:ilvl w:val="0"/>
          <w:numId w:val="1"/>
        </w:numPr>
        <w:spacing w:after="70"/>
      </w:pPr>
      <w:r>
        <w:rPr>
          <w:rFonts w:ascii="Calibri" w:eastAsia="Calibri" w:hAnsi="Calibri" w:cs="Calibri"/>
          <w:color w:val="15202B"/>
          <w:sz w:val="21"/>
          <w:szCs w:val="21"/>
        </w:rPr>
        <w:t xml:space="preserve">7. Fonctionnement hors-ligne (application mobile)</w:t>
      </w:r>
    </w:p>
    <w:p>
      <w:pPr>
        <w:pStyle w:val="Paragraphedeliste"/>
        <w:numPr>
          <w:ilvl w:val="0"/>
          <w:numId w:val="1"/>
        </w:numPr>
        <w:spacing w:after="70"/>
      </w:pPr>
      <w:r>
        <w:rPr>
          <w:rFonts w:ascii="Calibri" w:eastAsia="Calibri" w:hAnsi="Calibri" w:cs="Calibri"/>
          <w:color w:val="15202B"/>
          <w:sz w:val="21"/>
          <w:szCs w:val="21"/>
        </w:rPr>
        <w:t xml:space="preserve">8. Support multilingue</w:t>
      </w:r>
    </w:p>
    <w:p>
      <w:pPr>
        <w:pStyle w:val="Paragraphedeliste"/>
        <w:numPr>
          <w:ilvl w:val="0"/>
          <w:numId w:val="1"/>
        </w:numPr>
        <w:spacing w:after="70"/>
      </w:pPr>
      <w:r>
        <w:rPr>
          <w:rFonts w:ascii="Calibri" w:eastAsia="Calibri" w:hAnsi="Calibri" w:cs="Calibri"/>
          <w:color w:val="15202B"/>
          <w:sz w:val="21"/>
          <w:szCs w:val="21"/>
        </w:rPr>
        <w:t xml:space="preserve">9. Documents générés</w:t>
      </w:r>
    </w:p>
    <w:p>
      <w:pPr>
        <w:pStyle w:val="Paragraphedeliste"/>
        <w:numPr>
          <w:ilvl w:val="0"/>
          <w:numId w:val="1"/>
        </w:numPr>
        <w:spacing w:after="70"/>
      </w:pPr>
      <w:r>
        <w:rPr>
          <w:rFonts w:ascii="Calibri" w:eastAsia="Calibri" w:hAnsi="Calibri" w:cs="Calibri"/>
          <w:color w:val="15202B"/>
          <w:sz w:val="21"/>
          <w:szCs w:val="21"/>
        </w:rPr>
        <w:t xml:space="preserve">10. Personnalisation de la plateforme</w:t>
      </w:r>
    </w:p>
    <w:p>
      <w:pPr>
        <w:pStyle w:val="Paragraphedeliste"/>
        <w:numPr>
          <w:ilvl w:val="0"/>
          <w:numId w:val="1"/>
        </w:numPr>
        <w:spacing w:after="70"/>
      </w:pPr>
      <w:r>
        <w:rPr>
          <w:rFonts w:ascii="Calibri" w:eastAsia="Calibri" w:hAnsi="Calibri" w:cs="Calibri"/>
          <w:color w:val="15202B"/>
          <w:sz w:val="21"/>
          <w:szCs w:val="21"/>
        </w:rPr>
        <w:t xml:space="preserve">11. Notifications</w:t>
      </w:r>
    </w:p>
    <w:p>
      <w:pPr>
        <w:pStyle w:val="Paragraphedeliste"/>
        <w:numPr>
          <w:ilvl w:val="0"/>
          <w:numId w:val="1"/>
        </w:numPr>
        <w:spacing w:after="70"/>
      </w:pPr>
      <w:r>
        <w:rPr>
          <w:rFonts w:ascii="Calibri" w:eastAsia="Calibri" w:hAnsi="Calibri" w:cs="Calibri"/>
          <w:color w:val="15202B"/>
          <w:sz w:val="21"/>
          <w:szCs w:val="21"/>
        </w:rPr>
        <w:t xml:space="preserve">12. Points d'attention et recommandations</w:t>
      </w:r>
    </w:p>
    <w:p>
      <w:pPr>
        <w:pStyle w:val="Paragraphedeliste"/>
        <w:numPr>
          <w:ilvl w:val="0"/>
          <w:numId w:val="1"/>
        </w:numPr>
        <w:spacing w:after="70"/>
      </w:pPr>
      <w:r>
        <w:rPr>
          <w:rFonts w:ascii="Calibri" w:eastAsia="Calibri" w:hAnsi="Calibri" w:cs="Calibri"/>
          <w:color w:val="15202B"/>
          <w:sz w:val="21"/>
          <w:szCs w:val="21"/>
        </w:rPr>
        <w:t xml:space="preserve">13. Infrastructure de déploiement</w:t>
      </w:r>
    </w:p>
    <w:p>
      <w:pPr>
        <w:pStyle w:val="Paragraphedeliste"/>
        <w:numPr>
          <w:ilvl w:val="0"/>
          <w:numId w:val="1"/>
        </w:numPr>
        <w:spacing w:after="70"/>
      </w:pPr>
      <w:r>
        <w:rPr>
          <w:rFonts w:ascii="Calibri" w:eastAsia="Calibri" w:hAnsi="Calibri" w:cs="Calibri"/>
          <w:color w:val="15202B"/>
          <w:sz w:val="21"/>
          <w:szCs w:val="21"/>
        </w:rPr>
        <w:t xml:space="preserve">14. Conclusion et perspectives</w:t>
      </w:r>
    </w:p>
    <w:p>
      <w:pPr>
        <w:spacing w:after="200"/>
      </w:pPr>
    </w:p>
    <w:p>
      <w:pPr>
        <w:spacing w:before="260" w:after="140"/>
      </w:pPr>
      <w:r>
        <w:rPr>
          <w:rFonts w:ascii="Calibri" w:eastAsia="Calibri" w:hAnsi="Calibri" w:cs="Calibri"/>
          <w:b/>
          <w:bCs/>
          <w:color w:val="0B6B3A"/>
          <w:sz w:val="26"/>
          <w:szCs w:val="26"/>
        </w:rPr>
        <w:t>1. Contexte et objectifs du projet</w:t>
      </w:r>
    </w:p>
    <w:p>
      <w:pPr>
        <w:spacing w:after="140"/>
      </w:pPr>
      <w:r>
        <w:rPr>
          <w:rFonts w:ascii="Calibri" w:eastAsia="Calibri" w:hAnsi="Calibri" w:cs="Calibri"/>
          <w:color w:val="15202B"/>
          <w:sz w:val="21"/>
          <w:szCs w:val="21"/>
        </w:rPr>
        <w:t xml:space="preserve">Le Passeport Pour Bétail (PPB) est un document obligatoire pour la circulation du bétail à des buts commerciaux au sein de l'espace CEMAC (Cameroun, Centrafrique, Congo, Gabon, Guinée Équatoriale, Tchad), sur les corridors transfrontaliers. Sa création et sa mise en circulation sont encadrées par l'Acte N° 31/84-UDEAC-413 du 19 décembre 1984, puis par la Décision N° 1/94-CEBEVIRHA-018-CE-29 du 16 mars 1994. Il est émis par la CEBEVIRHA et délivré aux usagers des six États membres.</w:t>
      </w:r>
    </w:p>
    <w:p>
      <w:pPr>
        <w:spacing w:after="140"/>
      </w:pPr>
      <w:r>
        <w:rPr>
          <w:rFonts w:ascii="Calibri" w:eastAsia="Calibri" w:hAnsi="Calibri" w:cs="Calibri"/>
          <w:color w:val="15202B"/>
          <w:sz w:val="21"/>
          <w:szCs w:val="21"/>
        </w:rPr>
        <w:t xml:space="preserve">Le projet FLUVIAC a pour objectif de moderniser ce dispositif : concevoir une nouvelle mouture physique du PPB sécurisée, et bâtir l'architecture numérique permettant de le commander, le délivrer, l'émettre et le contrôler de bout en bout, tout en restant utilisable sur le terrain dans des zones à connectivité limitée ou intermittente. Deux contraintes structurent l'ensemble de l'architecture : cette connectivité intermittente sur le terrain, et un besoin de configuration évolutive (champs de formulaires, paramètres système) sans nouveau cycle de développement à chaque ajustement.</w:t>
      </w:r>
    </w:p>
    <w:p>
      <w:pPr>
        <w:spacing w:before="180" w:after="80"/>
      </w:pPr>
      <w:r>
        <w:rPr>
          <w:rFonts w:ascii="Calibri" w:eastAsia="Calibri" w:hAnsi="Calibri" w:cs="Calibri"/>
          <w:b/>
          <w:bCs/>
          <w:color w:val="B8860B"/>
          <w:sz w:val="22"/>
          <w:szCs w:val="22"/>
        </w:rPr>
        <w:t>1.1 Principes directeurs</w:t>
      </w:r>
    </w:p>
    <w:p>
      <w:pPr>
        <w:pStyle w:val="Paragraphedeliste"/>
        <w:numPr>
          <w:ilvl w:val="0"/>
          <w:numId w:val="1"/>
        </w:numPr>
        <w:spacing w:after="70"/>
      </w:pPr>
      <w:r>
        <w:rPr>
          <w:rFonts w:ascii="Calibri" w:eastAsia="Calibri" w:hAnsi="Calibri" w:cs="Calibri"/>
          <w:b/>
          <w:bCs/>
          <w:color w:val="15202B"/>
          <w:sz w:val="21"/>
          <w:szCs w:val="21"/>
        </w:rPr>
        <w:t xml:space="preserve">Hors-ligne par conception — </w:t>
      </w:r>
      <w:r>
        <w:rPr>
          <w:rFonts w:ascii="Calibri" w:eastAsia="Calibri" w:hAnsi="Calibri" w:cs="Calibri"/>
          <w:color w:val="15202B"/>
          <w:sz w:val="21"/>
          <w:szCs w:val="21"/>
        </w:rPr>
        <w:t xml:space="preserve">Chaque poste terrain (émission, contrôle) reste pleinement opérationnel sans réseau, avec synchronisation automatique différée.</w:t>
      </w:r>
    </w:p>
    <w:p>
      <w:pPr>
        <w:pStyle w:val="Paragraphedeliste"/>
        <w:numPr>
          <w:ilvl w:val="0"/>
          <w:numId w:val="1"/>
        </w:numPr>
        <w:spacing w:after="70"/>
      </w:pPr>
      <w:r>
        <w:rPr>
          <w:rFonts w:ascii="Calibri" w:eastAsia="Calibri" w:hAnsi="Calibri" w:cs="Calibri"/>
          <w:b/>
          <w:bCs/>
          <w:color w:val="15202B"/>
          <w:sz w:val="21"/>
          <w:szCs w:val="21"/>
        </w:rPr>
        <w:t xml:space="preserve">Configurable sans code — </w:t>
      </w:r>
      <w:r>
        <w:rPr>
          <w:rFonts w:ascii="Calibri" w:eastAsia="Calibri" w:hAnsi="Calibri" w:cs="Calibri"/>
          <w:color w:val="15202B"/>
          <w:sz w:val="21"/>
          <w:szCs w:val="21"/>
        </w:rPr>
        <w:t xml:space="preserve">Les champs des formulaires métier et les paramètres système (prix, plafonds) sont pilotés par des données de configuration, jamais codés en dur.</w:t>
      </w:r>
    </w:p>
    <w:p>
      <w:pPr>
        <w:pStyle w:val="Paragraphedeliste"/>
        <w:numPr>
          <w:ilvl w:val="0"/>
          <w:numId w:val="1"/>
        </w:numPr>
        <w:spacing w:after="70"/>
      </w:pPr>
      <w:r>
        <w:rPr>
          <w:rFonts w:ascii="Calibri" w:eastAsia="Calibri" w:hAnsi="Calibri" w:cs="Calibri"/>
          <w:b/>
          <w:bCs/>
          <w:color w:val="15202B"/>
          <w:sz w:val="21"/>
          <w:szCs w:val="21"/>
        </w:rPr>
        <w:t xml:space="preserve">Sécurité par conception — </w:t>
      </w:r>
      <w:r>
        <w:rPr>
          <w:rFonts w:ascii="Calibri" w:eastAsia="Calibri" w:hAnsi="Calibri" w:cs="Calibri"/>
          <w:color w:val="15202B"/>
          <w:sz w:val="21"/>
          <w:szCs w:val="21"/>
        </w:rPr>
        <w:t xml:space="preserve">Authentification, autorisation, signature et audit sont intégrés dès la conception de chaque module, non ajoutés après coup.</w:t>
      </w:r>
    </w:p>
    <w:p>
      <w:pPr>
        <w:pStyle w:val="Paragraphedeliste"/>
        <w:numPr>
          <w:ilvl w:val="0"/>
          <w:numId w:val="1"/>
        </w:numPr>
        <w:spacing w:after="70"/>
      </w:pPr>
      <w:r>
        <w:rPr>
          <w:rFonts w:ascii="Calibri" w:eastAsia="Calibri" w:hAnsi="Calibri" w:cs="Calibri"/>
          <w:b/>
          <w:bCs/>
          <w:color w:val="15202B"/>
          <w:sz w:val="21"/>
          <w:szCs w:val="21"/>
        </w:rPr>
        <w:t xml:space="preserve">Modularité — </w:t>
      </w:r>
      <w:r>
        <w:rPr>
          <w:rFonts w:ascii="Calibri" w:eastAsia="Calibri" w:hAnsi="Calibri" w:cs="Calibri"/>
          <w:color w:val="15202B"/>
          <w:sz w:val="21"/>
          <w:szCs w:val="21"/>
        </w:rPr>
        <w:t xml:space="preserve">Six modules faiblement couplés, chacun exposant une API REST versionnée, pouvant évoluer et être testés indépendamment.</w:t>
      </w:r>
    </w:p>
    <w:p>
      <w:pPr>
        <w:pStyle w:val="Paragraphedeliste"/>
        <w:numPr>
          <w:ilvl w:val="0"/>
          <w:numId w:val="1"/>
        </w:numPr>
        <w:spacing w:after="70"/>
      </w:pPr>
      <w:r>
        <w:rPr>
          <w:rFonts w:ascii="Calibri" w:eastAsia="Calibri" w:hAnsi="Calibri" w:cs="Calibri"/>
          <w:b/>
          <w:bCs/>
          <w:color w:val="15202B"/>
          <w:sz w:val="21"/>
          <w:szCs w:val="21"/>
        </w:rPr>
        <w:t xml:space="preserve">Traçabilité — </w:t>
      </w:r>
      <w:r>
        <w:rPr>
          <w:rFonts w:ascii="Calibri" w:eastAsia="Calibri" w:hAnsi="Calibri" w:cs="Calibri"/>
          <w:color w:val="15202B"/>
          <w:sz w:val="21"/>
          <w:szCs w:val="21"/>
        </w:rPr>
        <w:t xml:space="preserve">Toute donnée ou automatisation critique (numérotation, synchronisation, validation de paiement) reste vérifiable et journalisée.</w:t>
      </w:r>
    </w:p>
    <w:p>
      <w:pPr>
        <w:spacing w:after="140"/>
      </w:pPr>
      <w:r>
        <w:rPr>
          <w:rFonts w:ascii="Calibri" w:eastAsia="Calibri" w:hAnsi="Calibri" w:cs="Calibri"/>
          <w:color w:val="15202B"/>
          <w:sz w:val="21"/>
          <w:szCs w:val="21"/>
        </w:rPr>
        <w:t xml:space="preserve">Ce rapport documente l'état technique de la plateforme telle que livrée, en s'appuyant sur le document d'architecture technique, le document de conception (UML) et le document technique d'implémentation par module, actualisés des évolutions survenues en cours de projet — notamment le choix définitif de l'hébergeur et l'évolution de la couverture du prestataire de paiement (voir sections 12 et 13).</w:t>
      </w:r>
    </w:p>
    <w:p>
      <w:pPr>
        <w:spacing w:after="120"/>
      </w:pPr>
    </w:p>
    <w:p>
      <w:pPr>
        <w:spacing w:before="260" w:after="140"/>
      </w:pPr>
      <w:r>
        <w:rPr>
          <w:rFonts w:ascii="Calibri" w:eastAsia="Calibri" w:hAnsi="Calibri" w:cs="Calibri"/>
          <w:b/>
          <w:bCs/>
          <w:color w:val="0B6B3A"/>
          <w:sz w:val="26"/>
          <w:szCs w:val="26"/>
        </w:rPr>
        <w:t>2. Architecture générale de la plateforme</w:t>
      </w:r>
    </w:p>
    <w:p>
      <w:pPr>
        <w:spacing w:after="140"/>
      </w:pPr>
      <w:r>
        <w:rPr>
          <w:rFonts w:ascii="Calibri" w:eastAsia="Calibri" w:hAnsi="Calibri" w:cs="Calibri"/>
          <w:color w:val="15202B"/>
          <w:sz w:val="21"/>
          <w:szCs w:val="21"/>
        </w:rPr>
        <w:t xml:space="preserve">La plateforme suit une architecture en couches — présentation, API, services métier, données — organisée autour de six modules fonctionnels et d'un module transversal de configuration dynamique. Trois surfaces applicatives distinctes partagent ce même backend et cette même base de données :</w:t>
      </w:r>
    </w:p>
    <w:p>
      <w:pPr>
        <w:pStyle w:val="Paragraphedeliste"/>
        <w:numPr>
          <w:ilvl w:val="0"/>
          <w:numId w:val="1"/>
        </w:numPr>
        <w:spacing w:after="70"/>
      </w:pPr>
      <w:r>
        <w:rPr>
          <w:rFonts w:ascii="Calibri" w:eastAsia="Calibri" w:hAnsi="Calibri" w:cs="Calibri"/>
          <w:b/>
          <w:bCs/>
          <w:color w:val="15202B"/>
          <w:sz w:val="21"/>
          <w:szCs w:val="21"/>
        </w:rPr>
        <w:t xml:space="preserve">Web Admin — </w:t>
      </w:r>
      <w:r>
        <w:rPr>
          <w:rFonts w:ascii="Calibri" w:eastAsia="Calibri" w:hAnsi="Calibri" w:cs="Calibri"/>
          <w:color w:val="15202B"/>
          <w:sz w:val="21"/>
          <w:szCs w:val="21"/>
        </w:rPr>
        <w:t xml:space="preserve">Application web d'administration (ppb.cebevirha.org) — pilotage : commandes, paiements, impression, statistiques, gestion des utilisateurs et personnalisation.</w:t>
      </w:r>
    </w:p>
    <w:p>
      <w:pPr>
        <w:pStyle w:val="Paragraphedeliste"/>
        <w:numPr>
          <w:ilvl w:val="0"/>
          <w:numId w:val="1"/>
        </w:numPr>
        <w:spacing w:after="70"/>
      </w:pPr>
      <w:r>
        <w:rPr>
          <w:rFonts w:ascii="Calibri" w:eastAsia="Calibri" w:hAnsi="Calibri" w:cs="Calibri"/>
          <w:b/>
          <w:bCs/>
          <w:color w:val="15202B"/>
          <w:sz w:val="21"/>
          <w:szCs w:val="21"/>
        </w:rPr>
        <w:t xml:space="preserve">Mobile Émission — </w:t>
      </w:r>
      <w:r>
        <w:rPr>
          <w:rFonts w:ascii="Calibri" w:eastAsia="Calibri" w:hAnsi="Calibri" w:cs="Calibri"/>
          <w:color w:val="15202B"/>
          <w:sz w:val="21"/>
          <w:szCs w:val="21"/>
        </w:rPr>
        <w:t xml:space="preserve">Application mobile terrain (emission.cebevirha.org) — émission d'un PPB sur le terrain, fonctionnant hors connexion.</w:t>
      </w:r>
    </w:p>
    <w:p>
      <w:pPr>
        <w:pStyle w:val="Paragraphedeliste"/>
        <w:numPr>
          <w:ilvl w:val="0"/>
          <w:numId w:val="1"/>
        </w:numPr>
        <w:spacing w:after="70"/>
      </w:pPr>
      <w:r>
        <w:rPr>
          <w:rFonts w:ascii="Calibri" w:eastAsia="Calibri" w:hAnsi="Calibri" w:cs="Calibri"/>
          <w:b/>
          <w:bCs/>
          <w:color w:val="15202B"/>
          <w:sz w:val="21"/>
          <w:szCs w:val="21"/>
        </w:rPr>
        <w:t xml:space="preserve">Écran de contrôle frontière — </w:t>
      </w:r>
      <w:r>
        <w:rPr>
          <w:rFonts w:ascii="Calibri" w:eastAsia="Calibri" w:hAnsi="Calibri" w:cs="Calibri"/>
          <w:color w:val="15202B"/>
          <w:sz w:val="21"/>
          <w:szCs w:val="21"/>
        </w:rPr>
        <w:t xml:space="preserve">Vérification d'un PPB déjà émis, accessible depuis le web et depuis l'application mobile, avec les mêmes garanties de sécurité des deux côtés.</w:t>
      </w:r>
    </w:p>
    <w:p>
      <w:pPr>
        <w:spacing w:before="120" w:after="60"/>
        <w:jc w:val="center"/>
      </w:pPr>
      <w:r>
        <w:drawing>
          <wp:inline xmlns:wp="http://schemas.openxmlformats.org/drawingml/2006/wordprocessingDrawing" distT="0" distB="0" distL="0" distR="0">
            <wp:extent cx="5943600" cy="1956915"/>
            <wp:docPr id="1" name="Schema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hemaArchitecture"/>
                    <pic:cNvPicPr/>
                  </pic:nvPicPr>
                  <pic:blipFill>
                    <a:blip xmlns:r="http://schemas.openxmlformats.org/officeDocument/2006/relationships" r:embed="rId11"/>
                    <a:stretch>
                      <a:fillRect/>
                    </a:stretch>
                  </pic:blipFill>
                  <pic:spPr>
                    <a:xfrm>
                      <a:off x="0" y="0"/>
                      <a:ext cx="5943600" cy="1956915"/>
                    </a:xfrm>
                    <a:prstGeom prst="rect">
                      <a:avLst/>
                    </a:prstGeom>
                  </pic:spPr>
                </pic:pic>
              </a:graphicData>
            </a:graphic>
          </wp:inline>
        </w:drawing>
      </w:r>
    </w:p>
    <w:p>
      <w:pPr>
        <w:spacing w:after="160"/>
        <w:jc w:val="center"/>
      </w:pPr>
      <w:r>
        <w:rPr>
          <w:rFonts w:ascii="Calibri" w:eastAsia="Calibri" w:hAnsi="Calibri" w:cs="Calibri"/>
          <w:i/>
          <w:iCs/>
          <w:color w:val="5A6575"/>
          <w:sz w:val="18"/>
          <w:szCs w:val="18"/>
        </w:rPr>
        <w:t xml:space="preserve">Architecture générale — clients, API, services métier, données, services externes</w:t>
      </w:r>
    </w:p>
    <w:p>
      <w:pPr>
        <w:spacing w:before="180" w:after="80"/>
      </w:pPr>
      <w:r>
        <w:rPr>
          <w:rFonts w:ascii="Calibri" w:eastAsia="Calibri" w:hAnsi="Calibri" w:cs="Calibri"/>
          <w:b/>
          <w:bCs/>
          <w:color w:val="B8860B"/>
          <w:sz w:val="22"/>
          <w:szCs w:val="22"/>
        </w:rPr>
        <w:t>2.1 Pile technique</w:t>
      </w:r>
    </w:p>
    <w:tbl>
      <w:tblPr>
        <w:tblW w:w="9500" w:type="dxa"/>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Look w:val="04A0"/>
      </w:tblPr>
      <w:tblGrid>
        <w:gridCol w:w="3000"/>
        <w:gridCol w:w="6500"/>
      </w:tblGrid>
      <w:tr>
        <w:tc>
          <w:tcPr>
            <w:tcW w:w="3000" w:type="dxa"/>
            <w:tcBorders>
              <w:top w:val="single" w:sz="4" w:space="0" w:color="E8E4DA"/>
              <w:left w:val="single" w:sz="4" w:space="0" w:color="E8E4DA"/>
              <w:bottom w:val="single" w:sz="4" w:space="0" w:color="E8E4DA"/>
              <w:right w:val="single" w:sz="4" w:space="0" w:color="E8E4DA"/>
            </w:tcBorders>
            <w:shd w:val="clear" w:color="auto" w:fill="0B6B3A"/>
            <w:tcMar>
              <w:top w:w="90" w:type="dxa"/>
              <w:left w:w="120" w:type="dxa"/>
              <w:bottom w:w="90" w:type="dxa"/>
              <w:right w:w="120" w:type="dxa"/>
            </w:tcMar>
            <w:vAlign w:val="center"/>
          </w:tcPr>
          <w:p>
            <w:pPr>
              <w:jc w:val="center"/>
            </w:pPr>
            <w:r>
              <w:rPr>
                <w:rFonts w:ascii="Calibri" w:eastAsia="Calibri" w:hAnsi="Calibri" w:cs="Calibri"/>
                <w:b/>
                <w:bCs/>
                <w:color w:val="FFFFFF"/>
                <w:sz w:val="19"/>
                <w:szCs w:val="19"/>
              </w:rPr>
              <w:t xml:space="preserve">Composant</w:t>
            </w:r>
          </w:p>
        </w:tc>
        <w:tc>
          <w:tcPr>
            <w:tcW w:w="6500" w:type="dxa"/>
            <w:tcBorders>
              <w:top w:val="single" w:sz="4" w:space="0" w:color="E8E4DA"/>
              <w:left w:val="single" w:sz="4" w:space="0" w:color="E8E4DA"/>
              <w:bottom w:val="single" w:sz="4" w:space="0" w:color="E8E4DA"/>
              <w:right w:val="single" w:sz="4" w:space="0" w:color="E8E4DA"/>
            </w:tcBorders>
            <w:shd w:val="clear" w:color="auto" w:fill="0B6B3A"/>
            <w:tcMar>
              <w:top w:w="90" w:type="dxa"/>
              <w:left w:w="120" w:type="dxa"/>
              <w:bottom w:w="90" w:type="dxa"/>
              <w:right w:w="120" w:type="dxa"/>
            </w:tcMar>
            <w:vAlign w:val="center"/>
          </w:tcPr>
          <w:p>
            <w:pPr>
              <w:jc w:val="center"/>
            </w:pPr>
            <w:r>
              <w:rPr>
                <w:rFonts w:ascii="Calibri" w:eastAsia="Calibri" w:hAnsi="Calibri" w:cs="Calibri"/>
                <w:b/>
                <w:bCs/>
                <w:color w:val="FFFFFF"/>
                <w:sz w:val="19"/>
                <w:szCs w:val="19"/>
              </w:rPr>
              <w:t xml:space="preserve">Choix retenu</w:t>
            </w:r>
          </w:p>
        </w:tc>
      </w:tr>
      <w:tr>
        <w:tc>
          <w:tcPr>
            <w:tcW w:w="3000"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pPr>
              <w:jc w:val="center"/>
            </w:pPr>
            <w:r>
              <w:rPr>
                <w:rFonts w:ascii="Calibri" w:eastAsia="Calibri" w:hAnsi="Calibri" w:cs="Calibri"/>
                <w:b/>
                <w:bCs/>
                <w:color w:val="15202B"/>
                <w:sz w:val="19"/>
                <w:szCs w:val="19"/>
              </w:rPr>
              <w:t xml:space="preserve">Frontend web</w:t>
            </w:r>
          </w:p>
        </w:tc>
        <w:tc>
          <w:tcPr>
            <w:tcW w:w="6500"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pPr/>
            <w:r>
              <w:rPr>
                <w:rFonts w:ascii="Calibri" w:eastAsia="Calibri" w:hAnsi="Calibri" w:cs="Calibri"/>
                <w:color w:val="15202B"/>
                <w:sz w:val="19"/>
                <w:szCs w:val="19"/>
              </w:rPr>
              <w:t xml:space="preserve">React.js + TypeScript + Tailwind CSS</w:t>
            </w:r>
          </w:p>
        </w:tc>
      </w:tr>
      <w:tr>
        <w:tc>
          <w:tcPr>
            <w:tcW w:w="3000" w:type="dxa"/>
            <w:tcBorders>
              <w:top w:val="single" w:sz="4" w:space="0" w:color="E8E4DA"/>
              <w:left w:val="single" w:sz="4" w:space="0" w:color="E8E4DA"/>
              <w:bottom w:val="single" w:sz="4" w:space="0" w:color="E8E4DA"/>
              <w:right w:val="single" w:sz="4" w:space="0" w:color="E8E4DA"/>
            </w:tcBorders>
            <w:shd w:val="clear" w:color="auto" w:fill="FFFFFF"/>
            <w:tcMar>
              <w:top w:w="90" w:type="dxa"/>
              <w:left w:w="120" w:type="dxa"/>
              <w:bottom w:w="90" w:type="dxa"/>
              <w:right w:w="120" w:type="dxa"/>
            </w:tcMar>
            <w:vAlign w:val="center"/>
          </w:tcPr>
          <w:p>
            <w:pPr>
              <w:jc w:val="center"/>
            </w:pPr>
            <w:r>
              <w:rPr>
                <w:rFonts w:ascii="Calibri" w:eastAsia="Calibri" w:hAnsi="Calibri" w:cs="Calibri"/>
                <w:b/>
                <w:bCs/>
                <w:color w:val="15202B"/>
                <w:sz w:val="19"/>
                <w:szCs w:val="19"/>
              </w:rPr>
              <w:t xml:space="preserve">Application mobile terrain</w:t>
            </w:r>
          </w:p>
        </w:tc>
        <w:tc>
          <w:tcPr>
            <w:tcW w:w="6500" w:type="dxa"/>
            <w:tcBorders>
              <w:top w:val="single" w:sz="4" w:space="0" w:color="E8E4DA"/>
              <w:left w:val="single" w:sz="4" w:space="0" w:color="E8E4DA"/>
              <w:bottom w:val="single" w:sz="4" w:space="0" w:color="E8E4DA"/>
              <w:right w:val="single" w:sz="4" w:space="0" w:color="E8E4DA"/>
            </w:tcBorders>
            <w:shd w:val="clear" w:color="auto" w:fill="FFFFFF"/>
            <w:tcMar>
              <w:top w:w="90" w:type="dxa"/>
              <w:left w:w="120" w:type="dxa"/>
              <w:bottom w:w="90" w:type="dxa"/>
              <w:right w:w="120" w:type="dxa"/>
            </w:tcMar>
            <w:vAlign w:val="center"/>
          </w:tcPr>
          <w:p>
            <w:pPr/>
            <w:r>
              <w:rPr>
                <w:rFonts w:ascii="Calibri" w:eastAsia="Calibri" w:hAnsi="Calibri" w:cs="Calibri"/>
                <w:color w:val="15202B"/>
                <w:sz w:val="19"/>
                <w:szCs w:val="19"/>
              </w:rPr>
              <w:t xml:space="preserve">React + Vite — PWA (Progressive Web App), IndexedDB, Service Worker</w:t>
            </w:r>
          </w:p>
        </w:tc>
      </w:tr>
      <w:tr>
        <w:tc>
          <w:tcPr>
            <w:tcW w:w="3000"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pPr>
              <w:jc w:val="center"/>
            </w:pPr>
            <w:r>
              <w:rPr>
                <w:rFonts w:ascii="Calibri" w:eastAsia="Calibri" w:hAnsi="Calibri" w:cs="Calibri"/>
                <w:b/>
                <w:bCs/>
                <w:color w:val="15202B"/>
                <w:sz w:val="19"/>
                <w:szCs w:val="19"/>
              </w:rPr>
              <w:t xml:space="preserve">Backend API</w:t>
            </w:r>
          </w:p>
        </w:tc>
        <w:tc>
          <w:tcPr>
            <w:tcW w:w="6500"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pPr/>
            <w:r>
              <w:rPr>
                <w:rFonts w:ascii="Calibri" w:eastAsia="Calibri" w:hAnsi="Calibri" w:cs="Calibri"/>
                <w:color w:val="15202B"/>
                <w:sz w:val="19"/>
                <w:szCs w:val="19"/>
              </w:rPr>
              <w:t xml:space="preserve">Python (FastAPI), API REST versionnée (préfixe /api/v1), asynchrone de bout en bout</w:t>
            </w:r>
          </w:p>
        </w:tc>
      </w:tr>
      <w:tr>
        <w:tc>
          <w:tcPr>
            <w:tcW w:w="3000" w:type="dxa"/>
            <w:tcBorders>
              <w:top w:val="single" w:sz="4" w:space="0" w:color="E8E4DA"/>
              <w:left w:val="single" w:sz="4" w:space="0" w:color="E8E4DA"/>
              <w:bottom w:val="single" w:sz="4" w:space="0" w:color="E8E4DA"/>
              <w:right w:val="single" w:sz="4" w:space="0" w:color="E8E4DA"/>
            </w:tcBorders>
            <w:shd w:val="clear" w:color="auto" w:fill="FFFFFF"/>
            <w:tcMar>
              <w:top w:w="90" w:type="dxa"/>
              <w:left w:w="120" w:type="dxa"/>
              <w:bottom w:w="90" w:type="dxa"/>
              <w:right w:w="120" w:type="dxa"/>
            </w:tcMar>
            <w:vAlign w:val="center"/>
          </w:tcPr>
          <w:p>
            <w:pPr>
              <w:jc w:val="center"/>
            </w:pPr>
            <w:r>
              <w:rPr>
                <w:rFonts w:ascii="Calibri" w:eastAsia="Calibri" w:hAnsi="Calibri" w:cs="Calibri"/>
                <w:b/>
                <w:bCs/>
                <w:color w:val="15202B"/>
                <w:sz w:val="19"/>
                <w:szCs w:val="19"/>
              </w:rPr>
              <w:t xml:space="preserve">Base de données</w:t>
            </w:r>
          </w:p>
        </w:tc>
        <w:tc>
          <w:tcPr>
            <w:tcW w:w="6500" w:type="dxa"/>
            <w:tcBorders>
              <w:top w:val="single" w:sz="4" w:space="0" w:color="E8E4DA"/>
              <w:left w:val="single" w:sz="4" w:space="0" w:color="E8E4DA"/>
              <w:bottom w:val="single" w:sz="4" w:space="0" w:color="E8E4DA"/>
              <w:right w:val="single" w:sz="4" w:space="0" w:color="E8E4DA"/>
            </w:tcBorders>
            <w:shd w:val="clear" w:color="auto" w:fill="FFFFFF"/>
            <w:tcMar>
              <w:top w:w="90" w:type="dxa"/>
              <w:left w:w="120" w:type="dxa"/>
              <w:bottom w:w="90" w:type="dxa"/>
              <w:right w:w="120" w:type="dxa"/>
            </w:tcMar>
            <w:vAlign w:val="center"/>
          </w:tcPr>
          <w:p>
            <w:pPr/>
            <w:r>
              <w:rPr>
                <w:rFonts w:ascii="Calibri" w:eastAsia="Calibri" w:hAnsi="Calibri" w:cs="Calibri"/>
                <w:color w:val="15202B"/>
                <w:sz w:val="19"/>
                <w:szCs w:val="19"/>
              </w:rPr>
              <w:t xml:space="preserve">PostgreSQL</w:t>
            </w:r>
          </w:p>
        </w:tc>
      </w:tr>
      <w:tr>
        <w:tc>
          <w:tcPr>
            <w:tcW w:w="3000"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pPr>
              <w:jc w:val="center"/>
            </w:pPr>
            <w:r>
              <w:rPr>
                <w:rFonts w:ascii="Calibri" w:eastAsia="Calibri" w:hAnsi="Calibri" w:cs="Calibri"/>
                <w:b/>
                <w:bCs/>
                <w:color w:val="15202B"/>
                <w:sz w:val="19"/>
                <w:szCs w:val="19"/>
              </w:rPr>
              <w:t xml:space="preserve">Stockage des fichiers (logo, cachet)</w:t>
            </w:r>
          </w:p>
        </w:tc>
        <w:tc>
          <w:tcPr>
            <w:tcW w:w="6500"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pPr/>
            <w:r>
              <w:rPr>
                <w:rFonts w:ascii="Calibri" w:eastAsia="Calibri" w:hAnsi="Calibri" w:cs="Calibri"/>
                <w:color w:val="15202B"/>
                <w:sz w:val="19"/>
                <w:szCs w:val="19"/>
              </w:rPr>
              <w:t xml:space="preserve">En base de données (colonnes binaires) — aucun fichier sur disque, cohérent avec un hébergement à système de fichiers éphémère</w:t>
            </w:r>
          </w:p>
        </w:tc>
      </w:tr>
      <w:tr>
        <w:tc>
          <w:tcPr>
            <w:tcW w:w="3000" w:type="dxa"/>
            <w:tcBorders>
              <w:top w:val="single" w:sz="4" w:space="0" w:color="E8E4DA"/>
              <w:left w:val="single" w:sz="4" w:space="0" w:color="E8E4DA"/>
              <w:bottom w:val="single" w:sz="4" w:space="0" w:color="E8E4DA"/>
              <w:right w:val="single" w:sz="4" w:space="0" w:color="E8E4DA"/>
            </w:tcBorders>
            <w:shd w:val="clear" w:color="auto" w:fill="FFFFFF"/>
            <w:tcMar>
              <w:top w:w="90" w:type="dxa"/>
              <w:left w:w="120" w:type="dxa"/>
              <w:bottom w:w="90" w:type="dxa"/>
              <w:right w:w="120" w:type="dxa"/>
            </w:tcMar>
            <w:vAlign w:val="center"/>
          </w:tcPr>
          <w:p>
            <w:pPr>
              <w:jc w:val="center"/>
            </w:pPr>
            <w:r>
              <w:rPr>
                <w:rFonts w:ascii="Calibri" w:eastAsia="Calibri" w:hAnsi="Calibri" w:cs="Calibri"/>
                <w:b/>
                <w:bCs/>
                <w:color w:val="15202B"/>
                <w:sz w:val="19"/>
                <w:szCs w:val="19"/>
              </w:rPr>
              <w:t xml:space="preserve">Authentification</w:t>
            </w:r>
          </w:p>
        </w:tc>
        <w:tc>
          <w:tcPr>
            <w:tcW w:w="6500" w:type="dxa"/>
            <w:tcBorders>
              <w:top w:val="single" w:sz="4" w:space="0" w:color="E8E4DA"/>
              <w:left w:val="single" w:sz="4" w:space="0" w:color="E8E4DA"/>
              <w:bottom w:val="single" w:sz="4" w:space="0" w:color="E8E4DA"/>
              <w:right w:val="single" w:sz="4" w:space="0" w:color="E8E4DA"/>
            </w:tcBorders>
            <w:shd w:val="clear" w:color="auto" w:fill="FFFFFF"/>
            <w:tcMar>
              <w:top w:w="90" w:type="dxa"/>
              <w:left w:w="120" w:type="dxa"/>
              <w:bottom w:w="90" w:type="dxa"/>
              <w:right w:w="120" w:type="dxa"/>
            </w:tcMar>
            <w:vAlign w:val="center"/>
          </w:tcPr>
          <w:p>
            <w:pPr/>
            <w:r>
              <w:rPr>
                <w:rFonts w:ascii="Calibri" w:eastAsia="Calibri" w:hAnsi="Calibri" w:cs="Calibri"/>
                <w:color w:val="15202B"/>
                <w:sz w:val="19"/>
                <w:szCs w:val="19"/>
              </w:rPr>
              <w:t xml:space="preserve">JWT (jeton d'accès 15 min, jeton de rafraîchissement 7 jours) + bcrypt (coût 12) + RBAC à 6 rôles</w:t>
            </w:r>
          </w:p>
        </w:tc>
      </w:tr>
      <w:tr>
        <w:tc>
          <w:tcPr>
            <w:tcW w:w="3000"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pPr>
              <w:jc w:val="center"/>
            </w:pPr>
            <w:r>
              <w:rPr>
                <w:rFonts w:ascii="Calibri" w:eastAsia="Calibri" w:hAnsi="Calibri" w:cs="Calibri"/>
                <w:b/>
                <w:bCs/>
                <w:color w:val="15202B"/>
                <w:sz w:val="19"/>
                <w:szCs w:val="19"/>
              </w:rPr>
              <w:t xml:space="preserve">Transport</w:t>
            </w:r>
          </w:p>
        </w:tc>
        <w:tc>
          <w:tcPr>
            <w:tcW w:w="6500"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pPr/>
            <w:r>
              <w:rPr>
                <w:rFonts w:ascii="Calibri" w:eastAsia="Calibri" w:hAnsi="Calibri" w:cs="Calibri"/>
                <w:color w:val="15202B"/>
                <w:sz w:val="19"/>
                <w:szCs w:val="19"/>
              </w:rPr>
              <w:t xml:space="preserve">TLS 1.2 ou supérieur, obligatoire sur l'ensemble des échanges API</w:t>
            </w:r>
          </w:p>
        </w:tc>
      </w:tr>
      <w:tr>
        <w:tc>
          <w:tcPr>
            <w:tcW w:w="3000" w:type="dxa"/>
            <w:tcBorders>
              <w:top w:val="single" w:sz="4" w:space="0" w:color="E8E4DA"/>
              <w:left w:val="single" w:sz="4" w:space="0" w:color="E8E4DA"/>
              <w:bottom w:val="single" w:sz="4" w:space="0" w:color="E8E4DA"/>
              <w:right w:val="single" w:sz="4" w:space="0" w:color="E8E4DA"/>
            </w:tcBorders>
            <w:shd w:val="clear" w:color="auto" w:fill="FFFFFF"/>
            <w:tcMar>
              <w:top w:w="90" w:type="dxa"/>
              <w:left w:w="120" w:type="dxa"/>
              <w:bottom w:w="90" w:type="dxa"/>
              <w:right w:w="120" w:type="dxa"/>
            </w:tcMar>
            <w:vAlign w:val="center"/>
          </w:tcPr>
          <w:p>
            <w:pPr>
              <w:jc w:val="center"/>
            </w:pPr>
            <w:r>
              <w:rPr>
                <w:rFonts w:ascii="Calibri" w:eastAsia="Calibri" w:hAnsi="Calibri" w:cs="Calibri"/>
                <w:b/>
                <w:bCs/>
                <w:color w:val="15202B"/>
                <w:sz w:val="19"/>
                <w:szCs w:val="19"/>
              </w:rPr>
              <w:t xml:space="preserve">QR Code</w:t>
            </w:r>
          </w:p>
        </w:tc>
        <w:tc>
          <w:tcPr>
            <w:tcW w:w="6500" w:type="dxa"/>
            <w:tcBorders>
              <w:top w:val="single" w:sz="4" w:space="0" w:color="E8E4DA"/>
              <w:left w:val="single" w:sz="4" w:space="0" w:color="E8E4DA"/>
              <w:bottom w:val="single" w:sz="4" w:space="0" w:color="E8E4DA"/>
              <w:right w:val="single" w:sz="4" w:space="0" w:color="E8E4DA"/>
            </w:tcBorders>
            <w:shd w:val="clear" w:color="auto" w:fill="FFFFFF"/>
            <w:tcMar>
              <w:top w:w="90" w:type="dxa"/>
              <w:left w:w="120" w:type="dxa"/>
              <w:bottom w:w="90" w:type="dxa"/>
              <w:right w:w="120" w:type="dxa"/>
            </w:tcMar>
            <w:vAlign w:val="center"/>
          </w:tcPr>
          <w:p>
            <w:pPr/>
            <w:r>
              <w:rPr>
                <w:rFonts w:ascii="Calibri" w:eastAsia="Calibri" w:hAnsi="Calibri" w:cs="Calibri"/>
                <w:color w:val="15202B"/>
                <w:sz w:val="19"/>
                <w:szCs w:val="19"/>
              </w:rPr>
              <w:t xml:space="preserve">Génération et lecture par bibliothèques dédiées (génération à l'émission, lecture à la consultation/au contrôle)</w:t>
            </w:r>
          </w:p>
        </w:tc>
      </w:tr>
      <w:tr>
        <w:tc>
          <w:tcPr>
            <w:tcW w:w="3000"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pPr>
              <w:jc w:val="center"/>
            </w:pPr>
            <w:r>
              <w:rPr>
                <w:rFonts w:ascii="Calibri" w:eastAsia="Calibri" w:hAnsi="Calibri" w:cs="Calibri"/>
                <w:b/>
                <w:bCs/>
                <w:color w:val="15202B"/>
                <w:sz w:val="19"/>
                <w:szCs w:val="19"/>
              </w:rPr>
              <w:t xml:space="preserve">Signature numérique</w:t>
            </w:r>
          </w:p>
        </w:tc>
        <w:tc>
          <w:tcPr>
            <w:tcW w:w="6500"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pPr/>
            <w:r>
              <w:rPr>
                <w:rFonts w:ascii="Calibri" w:eastAsia="Calibri" w:hAnsi="Calibri" w:cs="Calibri"/>
                <w:color w:val="15202B"/>
                <w:sz w:val="19"/>
                <w:szCs w:val="19"/>
              </w:rPr>
              <w:t xml:space="preserve">RSA-2048 ou ECDSA P-256 — clé privée détenue exclusivement par la CEBEVIRHA</w:t>
            </w:r>
          </w:p>
        </w:tc>
      </w:tr>
      <w:tr>
        <w:tc>
          <w:tcPr>
            <w:tcW w:w="3000" w:type="dxa"/>
            <w:tcBorders>
              <w:top w:val="single" w:sz="4" w:space="0" w:color="E8E4DA"/>
              <w:left w:val="single" w:sz="4" w:space="0" w:color="E8E4DA"/>
              <w:bottom w:val="single" w:sz="4" w:space="0" w:color="E8E4DA"/>
              <w:right w:val="single" w:sz="4" w:space="0" w:color="E8E4DA"/>
            </w:tcBorders>
            <w:shd w:val="clear" w:color="auto" w:fill="FFFFFF"/>
            <w:tcMar>
              <w:top w:w="90" w:type="dxa"/>
              <w:left w:w="120" w:type="dxa"/>
              <w:bottom w:w="90" w:type="dxa"/>
              <w:right w:w="120" w:type="dxa"/>
            </w:tcMar>
            <w:vAlign w:val="center"/>
          </w:tcPr>
          <w:p>
            <w:pPr>
              <w:jc w:val="center"/>
            </w:pPr>
            <w:r>
              <w:rPr>
                <w:rFonts w:ascii="Calibri" w:eastAsia="Calibri" w:hAnsi="Calibri" w:cs="Calibri"/>
                <w:b/>
                <w:bCs/>
                <w:color w:val="15202B"/>
                <w:sz w:val="19"/>
                <w:szCs w:val="19"/>
              </w:rPr>
              <w:t xml:space="preserve">Génération de documents</w:t>
            </w:r>
          </w:p>
        </w:tc>
        <w:tc>
          <w:tcPr>
            <w:tcW w:w="6500" w:type="dxa"/>
            <w:tcBorders>
              <w:top w:val="single" w:sz="4" w:space="0" w:color="E8E4DA"/>
              <w:left w:val="single" w:sz="4" w:space="0" w:color="E8E4DA"/>
              <w:bottom w:val="single" w:sz="4" w:space="0" w:color="E8E4DA"/>
              <w:right w:val="single" w:sz="4" w:space="0" w:color="E8E4DA"/>
            </w:tcBorders>
            <w:shd w:val="clear" w:color="auto" w:fill="FFFFFF"/>
            <w:tcMar>
              <w:top w:w="90" w:type="dxa"/>
              <w:left w:w="120" w:type="dxa"/>
              <w:bottom w:w="90" w:type="dxa"/>
              <w:right w:w="120" w:type="dxa"/>
            </w:tcMar>
            <w:vAlign w:val="center"/>
          </w:tcPr>
          <w:p>
            <w:pPr/>
            <w:r>
              <w:rPr>
                <w:rFonts w:ascii="Calibri" w:eastAsia="Calibri" w:hAnsi="Calibri" w:cs="Calibri"/>
                <w:color w:val="15202B"/>
                <w:sz w:val="19"/>
                <w:szCs w:val="19"/>
              </w:rPr>
              <w:t xml:space="preserve">ReportLab (PDF passeport, facture, bon de commande)</w:t>
            </w:r>
          </w:p>
        </w:tc>
      </w:tr>
      <w:tr>
        <w:tc>
          <w:tcPr>
            <w:tcW w:w="3000"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pPr>
              <w:jc w:val="center"/>
            </w:pPr>
            <w:r>
              <w:rPr>
                <w:rFonts w:ascii="Calibri" w:eastAsia="Calibri" w:hAnsi="Calibri" w:cs="Calibri"/>
                <w:b/>
                <w:bCs/>
                <w:color w:val="15202B"/>
                <w:sz w:val="19"/>
                <w:szCs w:val="19"/>
              </w:rPr>
              <w:t xml:space="preserve">Hébergement</w:t>
            </w:r>
          </w:p>
        </w:tc>
        <w:tc>
          <w:tcPr>
            <w:tcW w:w="6500"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pPr/>
            <w:r>
              <w:rPr>
                <w:rFonts w:ascii="Calibri" w:eastAsia="Calibri" w:hAnsi="Calibri" w:cs="Calibri"/>
                <w:color w:val="15202B"/>
                <w:sz w:val="19"/>
                <w:szCs w:val="19"/>
              </w:rPr>
              <w:t xml:space="preserve">Railway — un conteneur Docker par service, HTTPS automatique par domaine, déploiement continu</w:t>
            </w:r>
          </w:p>
        </w:tc>
      </w:tr>
    </w:tbl>
    <w:p>
      <w:pPr>
        <w:spacing w:after="120"/>
      </w:pPr>
    </w:p>
    <w:p>
      <w:pPr>
        <w:spacing w:before="180" w:after="80"/>
      </w:pPr>
      <w:r>
        <w:rPr>
          <w:rFonts w:ascii="Calibri" w:eastAsia="Calibri" w:hAnsi="Calibri" w:cs="Calibri"/>
          <w:b/>
          <w:bCs/>
          <w:color w:val="B8860B"/>
          <w:sz w:val="22"/>
          <w:szCs w:val="22"/>
        </w:rPr>
        <w:t>2.2 Principe de moindre confiance sur le terrain</w:t>
      </w:r>
    </w:p>
    <w:p>
      <w:pPr>
        <w:spacing w:after="140"/>
      </w:pPr>
      <w:r>
        <w:rPr>
          <w:rFonts w:ascii="Calibri" w:eastAsia="Calibri" w:hAnsi="Calibri" w:cs="Calibri"/>
          <w:color w:val="15202B"/>
          <w:sz w:val="21"/>
          <w:szCs w:val="21"/>
        </w:rPr>
        <w:t xml:space="preserve">Les applications de contrôle ne détiennent jamais la clé privée de signature — seule la clé publique est déployée localement, permettant la vérification hors-ligne sans exposer le secret de signature. Le principe s'étend à la capture de données du module d'émission : chaque page photographiée est traitée localement, transformée en formulaire structuré validé par l'agent, puis l'image source est supprimée avant toute synchronisation — seules les données structurées quittent le terminal.</w:t>
      </w:r>
    </w:p>
    <w:p>
      <w:pPr>
        <w:spacing w:after="120"/>
      </w:pPr>
    </w:p>
    <w:p>
      <w:pPr>
        <w:spacing w:before="260" w:after="140"/>
      </w:pPr>
      <w:r>
        <w:rPr>
          <w:rFonts w:ascii="Calibri" w:eastAsia="Calibri" w:hAnsi="Calibri" w:cs="Calibri"/>
          <w:b/>
          <w:bCs/>
          <w:color w:val="0B6B3A"/>
          <w:sz w:val="26"/>
          <w:szCs w:val="26"/>
        </w:rPr>
        <w:t>3. Modèle de données</w:t>
      </w:r>
    </w:p>
    <w:p>
      <w:pPr>
        <w:spacing w:after="140"/>
      </w:pPr>
      <w:r>
        <w:rPr>
          <w:rFonts w:ascii="Calibri" w:eastAsia="Calibri" w:hAnsi="Calibri" w:cs="Calibri"/>
          <w:color w:val="15202B"/>
          <w:sz w:val="21"/>
          <w:szCs w:val="21"/>
        </w:rPr>
        <w:t xml:space="preserve">Le modèle de données combine des entités relationnelles classiques et un mécanisme de configuration dynamique (colonne JSONB indexée, plutôt qu'un modèle Entité-Attribut-Valeur classique) pour répondre au besoin d'évolutivité sans redéploiement. Il compte 17 entités principales, réparties en trois familles :</w:t>
      </w:r>
    </w:p>
    <w:p>
      <w:pPr>
        <w:spacing w:before="120" w:after="60"/>
        <w:jc w:val="center"/>
      </w:pPr>
      <w:r>
        <w:drawing>
          <wp:inline xmlns:wp="http://schemas.openxmlformats.org/drawingml/2006/wordprocessingDrawing" distT="0" distB="0" distL="0" distR="0">
            <wp:extent cx="5943600" cy="1999846"/>
            <wp:docPr id="2" name="Schema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hemaERD"/>
                    <pic:cNvPicPr/>
                  </pic:nvPicPr>
                  <pic:blipFill>
                    <a:blip xmlns:r="http://schemas.openxmlformats.org/officeDocument/2006/relationships" r:embed="rId13"/>
                    <a:stretch>
                      <a:fillRect/>
                    </a:stretch>
                  </pic:blipFill>
                  <pic:spPr>
                    <a:xfrm>
                      <a:off x="0" y="0"/>
                      <a:ext cx="5943600" cy="1999846"/>
                    </a:xfrm>
                    <a:prstGeom prst="rect">
                      <a:avLst/>
                    </a:prstGeom>
                  </pic:spPr>
                </pic:pic>
              </a:graphicData>
            </a:graphic>
          </wp:inline>
        </w:drawing>
      </w:r>
    </w:p>
    <w:p>
      <w:pPr>
        <w:spacing w:after="160"/>
        <w:jc w:val="center"/>
      </w:pPr>
      <w:r>
        <w:rPr>
          <w:rFonts w:ascii="Calibri" w:eastAsia="Calibri" w:hAnsi="Calibri" w:cs="Calibri"/>
          <w:i/>
          <w:iCs/>
          <w:color w:val="5A6575"/>
          <w:sz w:val="18"/>
          <w:szCs w:val="18"/>
        </w:rPr>
        <w:t xml:space="preserve">Modèle de données — commande/paiement/impression, terrain, configuration</w:t>
      </w:r>
    </w:p>
    <w:tbl>
      <w:tblPr>
        <w:tblW w:w="9500" w:type="dxa"/>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Look w:val="04A0"/>
      </w:tblPr>
      <w:tblGrid>
        <w:gridCol w:w="2800"/>
        <w:gridCol w:w="6700"/>
      </w:tblGrid>
      <w:tr>
        <w:tc>
          <w:tcPr>
            <w:tcW w:w="2800" w:type="dxa"/>
            <w:tcBorders>
              <w:top w:val="single" w:sz="4" w:space="0" w:color="E8E4DA"/>
              <w:left w:val="single" w:sz="4" w:space="0" w:color="E8E4DA"/>
              <w:bottom w:val="single" w:sz="4" w:space="0" w:color="E8E4DA"/>
              <w:right w:val="single" w:sz="4" w:space="0" w:color="E8E4DA"/>
            </w:tcBorders>
            <w:shd w:val="clear" w:color="auto" w:fill="0B6B3A"/>
            <w:tcMar>
              <w:top w:w="90" w:type="dxa"/>
              <w:left w:w="120" w:type="dxa"/>
              <w:bottom w:w="90" w:type="dxa"/>
              <w:right w:w="120" w:type="dxa"/>
            </w:tcMar>
            <w:vAlign w:val="center"/>
          </w:tcPr>
          <w:p>
            <w:pPr>
              <w:jc w:val="center"/>
            </w:pPr>
            <w:r>
              <w:rPr>
                <w:rFonts w:ascii="Calibri" w:eastAsia="Calibri" w:hAnsi="Calibri" w:cs="Calibri"/>
                <w:b/>
                <w:bCs/>
                <w:color w:val="FFFFFF"/>
                <w:sz w:val="19"/>
                <w:szCs w:val="19"/>
              </w:rPr>
              <w:t xml:space="preserve">Famille</w:t>
            </w:r>
          </w:p>
        </w:tc>
        <w:tc>
          <w:tcPr>
            <w:tcW w:w="6700" w:type="dxa"/>
            <w:tcBorders>
              <w:top w:val="single" w:sz="4" w:space="0" w:color="E8E4DA"/>
              <w:left w:val="single" w:sz="4" w:space="0" w:color="E8E4DA"/>
              <w:bottom w:val="single" w:sz="4" w:space="0" w:color="E8E4DA"/>
              <w:right w:val="single" w:sz="4" w:space="0" w:color="E8E4DA"/>
            </w:tcBorders>
            <w:shd w:val="clear" w:color="auto" w:fill="0B6B3A"/>
            <w:tcMar>
              <w:top w:w="90" w:type="dxa"/>
              <w:left w:w="120" w:type="dxa"/>
              <w:bottom w:w="90" w:type="dxa"/>
              <w:right w:w="120" w:type="dxa"/>
            </w:tcMar>
            <w:vAlign w:val="center"/>
          </w:tcPr>
          <w:p>
            <w:pPr>
              <w:jc w:val="center"/>
            </w:pPr>
            <w:r>
              <w:rPr>
                <w:rFonts w:ascii="Calibri" w:eastAsia="Calibri" w:hAnsi="Calibri" w:cs="Calibri"/>
                <w:b/>
                <w:bCs/>
                <w:color w:val="FFFFFF"/>
                <w:sz w:val="19"/>
                <w:szCs w:val="19"/>
              </w:rPr>
              <w:t xml:space="preserve">Entités</w:t>
            </w:r>
          </w:p>
        </w:tc>
      </w:tr>
      <w:tr>
        <w:tc>
          <w:tcPr>
            <w:tcW w:w="2800"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pPr>
              <w:jc w:val="center"/>
            </w:pPr>
            <w:r>
              <w:rPr>
                <w:rFonts w:ascii="Calibri" w:eastAsia="Calibri" w:hAnsi="Calibri" w:cs="Calibri"/>
                <w:b/>
                <w:bCs/>
                <w:color w:val="15202B"/>
                <w:sz w:val="19"/>
                <w:szCs w:val="19"/>
              </w:rPr>
              <w:t xml:space="preserve">Commande, paiement, impression</w:t>
            </w:r>
          </w:p>
        </w:tc>
        <w:tc>
          <w:tcPr>
            <w:tcW w:w="6700"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pPr/>
            <w:r>
              <w:rPr>
                <w:rFonts w:ascii="Calibri" w:eastAsia="Calibri" w:hAnsi="Calibri" w:cs="Calibri"/>
                <w:color w:val="15202B"/>
                <w:sz w:val="19"/>
                <w:szCs w:val="19"/>
              </w:rPr>
              <w:t xml:space="preserve">Pays, Utilisateur, Commande, Paiement, Passeport, AutorisationImpression</w:t>
            </w:r>
          </w:p>
        </w:tc>
      </w:tr>
      <w:tr>
        <w:tc>
          <w:tcPr>
            <w:tcW w:w="2800" w:type="dxa"/>
            <w:tcBorders>
              <w:top w:val="single" w:sz="4" w:space="0" w:color="E8E4DA"/>
              <w:left w:val="single" w:sz="4" w:space="0" w:color="E8E4DA"/>
              <w:bottom w:val="single" w:sz="4" w:space="0" w:color="E8E4DA"/>
              <w:right w:val="single" w:sz="4" w:space="0" w:color="E8E4DA"/>
            </w:tcBorders>
            <w:shd w:val="clear" w:color="auto" w:fill="FFFFFF"/>
            <w:tcMar>
              <w:top w:w="90" w:type="dxa"/>
              <w:left w:w="120" w:type="dxa"/>
              <w:bottom w:w="90" w:type="dxa"/>
              <w:right w:w="120" w:type="dxa"/>
            </w:tcMar>
            <w:vAlign w:val="center"/>
          </w:tcPr>
          <w:p>
            <w:pPr>
              <w:jc w:val="center"/>
            </w:pPr>
            <w:r>
              <w:rPr>
                <w:rFonts w:ascii="Calibri" w:eastAsia="Calibri" w:hAnsi="Calibri" w:cs="Calibri"/>
                <w:b/>
                <w:bCs/>
                <w:color w:val="15202B"/>
                <w:sz w:val="19"/>
                <w:szCs w:val="19"/>
              </w:rPr>
              <w:t xml:space="preserve">Terrain — émission et contrôle</w:t>
            </w:r>
          </w:p>
        </w:tc>
        <w:tc>
          <w:tcPr>
            <w:tcW w:w="6700" w:type="dxa"/>
            <w:tcBorders>
              <w:top w:val="single" w:sz="4" w:space="0" w:color="E8E4DA"/>
              <w:left w:val="single" w:sz="4" w:space="0" w:color="E8E4DA"/>
              <w:bottom w:val="single" w:sz="4" w:space="0" w:color="E8E4DA"/>
              <w:right w:val="single" w:sz="4" w:space="0" w:color="E8E4DA"/>
            </w:tcBorders>
            <w:shd w:val="clear" w:color="auto" w:fill="FFFFFF"/>
            <w:tcMar>
              <w:top w:w="90" w:type="dxa"/>
              <w:left w:w="120" w:type="dxa"/>
              <w:bottom w:w="90" w:type="dxa"/>
              <w:right w:w="120" w:type="dxa"/>
            </w:tcMar>
            <w:vAlign w:val="center"/>
          </w:tcPr>
          <w:p>
            <w:pPr/>
            <w:r>
              <w:rPr>
                <w:rFonts w:ascii="Calibri" w:eastAsia="Calibri" w:hAnsi="Calibri" w:cs="Calibri"/>
                <w:color w:val="15202B"/>
                <w:sz w:val="19"/>
                <w:szCs w:val="19"/>
              </w:rPr>
              <w:t xml:space="preserve">Eleveur, Convoyeur, Troupeau, TroupeauEspece, Vaccination, Itineraire, Controle, Poste</w:t>
            </w:r>
          </w:p>
        </w:tc>
      </w:tr>
      <w:tr>
        <w:tc>
          <w:tcPr>
            <w:tcW w:w="2800"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pPr>
              <w:jc w:val="center"/>
            </w:pPr>
            <w:r>
              <w:rPr>
                <w:rFonts w:ascii="Calibri" w:eastAsia="Calibri" w:hAnsi="Calibri" w:cs="Calibri"/>
                <w:b/>
                <w:bCs/>
                <w:color w:val="15202B"/>
                <w:sz w:val="19"/>
                <w:szCs w:val="19"/>
              </w:rPr>
              <w:t xml:space="preserve">Configuration et administration</w:t>
            </w:r>
          </w:p>
        </w:tc>
        <w:tc>
          <w:tcPr>
            <w:tcW w:w="6700"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pPr/>
            <w:r>
              <w:rPr>
                <w:rFonts w:ascii="Calibri" w:eastAsia="Calibri" w:hAnsi="Calibri" w:cs="Calibri"/>
                <w:color w:val="15202B"/>
                <w:sz w:val="19"/>
                <w:szCs w:val="19"/>
              </w:rPr>
              <w:t xml:space="preserve">DefinitionFormulaire, DefinitionChamp, Parametre, TexteGabarit, Branding, Notification</w:t>
            </w:r>
          </w:p>
        </w:tc>
      </w:tr>
    </w:tbl>
    <w:p>
      <w:pPr>
        <w:spacing w:after="120"/>
      </w:pPr>
    </w:p>
    <w:p>
      <w:pPr>
        <w:spacing w:after="140"/>
      </w:pPr>
      <w:r>
        <w:rPr>
          <w:rFonts w:ascii="Calibri" w:eastAsia="Calibri" w:hAnsi="Calibri" w:cs="Calibri"/>
          <w:color w:val="15202B"/>
          <w:sz w:val="21"/>
          <w:szCs w:val="21"/>
        </w:rPr>
        <w:t xml:space="preserve">Le trajet déclaré (entité Itineraire) n'est ni prédéfini à la commande, ni connu à l'attribution du QR code : il est déclaré oralement par l'éleveur ou le convoyeur à l'agent d'émission, sur le terrain. Sa vérification par un poste de contrôle dépend donc d'une double synchronisation (émission → serveur → contrôle) potentiellement différée — voir section 7.</w:t>
      </w:r>
    </w:p>
    <w:p>
      <w:pPr>
        <w:spacing w:after="120"/>
      </w:pPr>
    </w:p>
    <w:p>
      <w:pPr>
        <w:spacing w:before="260" w:after="140"/>
      </w:pPr>
      <w:r>
        <w:rPr>
          <w:rFonts w:ascii="Calibri" w:eastAsia="Calibri" w:hAnsi="Calibri" w:cs="Calibri"/>
          <w:b/>
          <w:bCs/>
          <w:color w:val="0B6B3A"/>
          <w:sz w:val="26"/>
          <w:szCs w:val="26"/>
        </w:rPr>
        <w:t>4. Rôles et permissions</w:t>
      </w:r>
    </w:p>
    <w:p>
      <w:pPr>
        <w:spacing w:after="140"/>
      </w:pPr>
      <w:r>
        <w:rPr>
          <w:rFonts w:ascii="Calibri" w:eastAsia="Calibri" w:hAnsi="Calibri" w:cs="Calibri"/>
          <w:color w:val="15202B"/>
          <w:sz w:val="21"/>
          <w:szCs w:val="21"/>
        </w:rPr>
        <w:t xml:space="preserve">La plateforme applique un contrôle d'accès RBAC à six rôles :</w:t>
      </w:r>
    </w:p>
    <w:tbl>
      <w:tblPr>
        <w:tblW w:w="9800" w:type="dxa"/>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Look w:val="04A0"/>
      </w:tblPr>
      <w:tblGrid>
        <w:gridCol w:w="2500"/>
        <w:gridCol w:w="1600"/>
        <w:gridCol w:w="5700"/>
      </w:tblGrid>
      <w:tr>
        <w:tc>
          <w:tcPr>
            <w:tcW w:w="2500" w:type="dxa"/>
            <w:tcBorders>
              <w:top w:val="single" w:sz="4" w:space="0" w:color="E8E4DA"/>
              <w:left w:val="single" w:sz="4" w:space="0" w:color="E8E4DA"/>
              <w:bottom w:val="single" w:sz="4" w:space="0" w:color="E8E4DA"/>
              <w:right w:val="single" w:sz="4" w:space="0" w:color="E8E4DA"/>
            </w:tcBorders>
            <w:shd w:val="clear" w:color="auto" w:fill="0B6B3A"/>
            <w:tcMar>
              <w:top w:w="90" w:type="dxa"/>
              <w:left w:w="120" w:type="dxa"/>
              <w:bottom w:w="90" w:type="dxa"/>
              <w:right w:w="120" w:type="dxa"/>
            </w:tcMar>
            <w:vAlign w:val="center"/>
          </w:tcPr>
          <w:p>
            <w:pPr>
              <w:jc w:val="center"/>
            </w:pPr>
            <w:r>
              <w:rPr>
                <w:rFonts w:ascii="Calibri" w:eastAsia="Calibri" w:hAnsi="Calibri" w:cs="Calibri"/>
                <w:b/>
                <w:bCs/>
                <w:color w:val="FFFFFF"/>
                <w:sz w:val="19"/>
                <w:szCs w:val="19"/>
              </w:rPr>
              <w:t xml:space="preserve">Rôle</w:t>
            </w:r>
          </w:p>
        </w:tc>
        <w:tc>
          <w:tcPr>
            <w:tcW w:w="1600" w:type="dxa"/>
            <w:tcBorders>
              <w:top w:val="single" w:sz="4" w:space="0" w:color="E8E4DA"/>
              <w:left w:val="single" w:sz="4" w:space="0" w:color="E8E4DA"/>
              <w:bottom w:val="single" w:sz="4" w:space="0" w:color="E8E4DA"/>
              <w:right w:val="single" w:sz="4" w:space="0" w:color="E8E4DA"/>
            </w:tcBorders>
            <w:shd w:val="clear" w:color="auto" w:fill="0B6B3A"/>
            <w:tcMar>
              <w:top w:w="90" w:type="dxa"/>
              <w:left w:w="120" w:type="dxa"/>
              <w:bottom w:w="90" w:type="dxa"/>
              <w:right w:w="120" w:type="dxa"/>
            </w:tcMar>
            <w:vAlign w:val="center"/>
          </w:tcPr>
          <w:p>
            <w:pPr>
              <w:jc w:val="center"/>
            </w:pPr>
            <w:r>
              <w:rPr>
                <w:rFonts w:ascii="Calibri" w:eastAsia="Calibri" w:hAnsi="Calibri" w:cs="Calibri"/>
                <w:b/>
                <w:bCs/>
                <w:color w:val="FFFFFF"/>
                <w:sz w:val="19"/>
                <w:szCs w:val="19"/>
              </w:rPr>
              <w:t xml:space="preserve">Application</w:t>
            </w:r>
          </w:p>
        </w:tc>
        <w:tc>
          <w:tcPr>
            <w:tcW w:w="5700" w:type="dxa"/>
            <w:tcBorders>
              <w:top w:val="single" w:sz="4" w:space="0" w:color="E8E4DA"/>
              <w:left w:val="single" w:sz="4" w:space="0" w:color="E8E4DA"/>
              <w:bottom w:val="single" w:sz="4" w:space="0" w:color="E8E4DA"/>
              <w:right w:val="single" w:sz="4" w:space="0" w:color="E8E4DA"/>
            </w:tcBorders>
            <w:shd w:val="clear" w:color="auto" w:fill="0B6B3A"/>
            <w:tcMar>
              <w:top w:w="90" w:type="dxa"/>
              <w:left w:w="120" w:type="dxa"/>
              <w:bottom w:w="90" w:type="dxa"/>
              <w:right w:w="120" w:type="dxa"/>
            </w:tcMar>
            <w:vAlign w:val="center"/>
          </w:tcPr>
          <w:p>
            <w:pPr>
              <w:jc w:val="center"/>
            </w:pPr>
            <w:r>
              <w:rPr>
                <w:rFonts w:ascii="Calibri" w:eastAsia="Calibri" w:hAnsi="Calibri" w:cs="Calibri"/>
                <w:b/>
                <w:bCs/>
                <w:color w:val="FFFFFF"/>
                <w:sz w:val="19"/>
                <w:szCs w:val="19"/>
              </w:rPr>
              <w:t xml:space="preserve">Accès principal</w:t>
            </w:r>
          </w:p>
        </w:tc>
      </w:tr>
      <w:tr>
        <w:tc>
          <w:tcPr>
            <w:tcW w:w="2500"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pPr>
              <w:jc w:val="center"/>
            </w:pPr>
            <w:r>
              <w:rPr>
                <w:rFonts w:ascii="Calibri" w:eastAsia="Calibri" w:hAnsi="Calibri" w:cs="Calibri"/>
                <w:b/>
                <w:bCs/>
                <w:color w:val="15202B"/>
                <w:sz w:val="19"/>
                <w:szCs w:val="19"/>
              </w:rPr>
              <w:t xml:space="preserve">Super Administrateur</w:t>
            </w:r>
          </w:p>
        </w:tc>
        <w:tc>
          <w:tcPr>
            <w:tcW w:w="1600"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pPr/>
            <w:r>
              <w:rPr>
                <w:rFonts w:ascii="Calibri" w:eastAsia="Calibri" w:hAnsi="Calibri" w:cs="Calibri"/>
                <w:color w:val="15202B"/>
                <w:sz w:val="19"/>
                <w:szCs w:val="19"/>
              </w:rPr>
              <w:t xml:space="preserve">Web</w:t>
            </w:r>
          </w:p>
        </w:tc>
        <w:tc>
          <w:tcPr>
            <w:tcW w:w="5700"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pPr/>
            <w:r>
              <w:rPr>
                <w:rFonts w:ascii="Calibri" w:eastAsia="Calibri" w:hAnsi="Calibri" w:cs="Calibri"/>
                <w:color w:val="15202B"/>
                <w:sz w:val="19"/>
                <w:szCs w:val="19"/>
              </w:rPr>
              <w:t xml:space="preserve">Tout, pour tous les pays : Commandes, Paiements, Impression, Administration, Statistiques</w:t>
            </w:r>
          </w:p>
        </w:tc>
      </w:tr>
      <w:tr>
        <w:tc>
          <w:tcPr>
            <w:tcW w:w="2500" w:type="dxa"/>
            <w:tcBorders>
              <w:top w:val="single" w:sz="4" w:space="0" w:color="E8E4DA"/>
              <w:left w:val="single" w:sz="4" w:space="0" w:color="E8E4DA"/>
              <w:bottom w:val="single" w:sz="4" w:space="0" w:color="E8E4DA"/>
              <w:right w:val="single" w:sz="4" w:space="0" w:color="E8E4DA"/>
            </w:tcBorders>
            <w:shd w:val="clear" w:color="auto" w:fill="FFFFFF"/>
            <w:tcMar>
              <w:top w:w="90" w:type="dxa"/>
              <w:left w:w="120" w:type="dxa"/>
              <w:bottom w:w="90" w:type="dxa"/>
              <w:right w:w="120" w:type="dxa"/>
            </w:tcMar>
            <w:vAlign w:val="center"/>
          </w:tcPr>
          <w:p>
            <w:pPr>
              <w:jc w:val="center"/>
            </w:pPr>
            <w:r>
              <w:rPr>
                <w:rFonts w:ascii="Calibri" w:eastAsia="Calibri" w:hAnsi="Calibri" w:cs="Calibri"/>
                <w:b/>
                <w:bCs/>
                <w:color w:val="15202B"/>
                <w:sz w:val="19"/>
                <w:szCs w:val="19"/>
              </w:rPr>
              <w:t xml:space="preserve">Administrateur national</w:t>
            </w:r>
          </w:p>
        </w:tc>
        <w:tc>
          <w:tcPr>
            <w:tcW w:w="1600" w:type="dxa"/>
            <w:tcBorders>
              <w:top w:val="single" w:sz="4" w:space="0" w:color="E8E4DA"/>
              <w:left w:val="single" w:sz="4" w:space="0" w:color="E8E4DA"/>
              <w:bottom w:val="single" w:sz="4" w:space="0" w:color="E8E4DA"/>
              <w:right w:val="single" w:sz="4" w:space="0" w:color="E8E4DA"/>
            </w:tcBorders>
            <w:shd w:val="clear" w:color="auto" w:fill="FFFFFF"/>
            <w:tcMar>
              <w:top w:w="90" w:type="dxa"/>
              <w:left w:w="120" w:type="dxa"/>
              <w:bottom w:w="90" w:type="dxa"/>
              <w:right w:w="120" w:type="dxa"/>
            </w:tcMar>
            <w:vAlign w:val="center"/>
          </w:tcPr>
          <w:p>
            <w:pPr/>
            <w:r>
              <w:rPr>
                <w:rFonts w:ascii="Calibri" w:eastAsia="Calibri" w:hAnsi="Calibri" w:cs="Calibri"/>
                <w:color w:val="15202B"/>
                <w:sz w:val="19"/>
                <w:szCs w:val="19"/>
              </w:rPr>
              <w:t xml:space="preserve">Web</w:t>
            </w:r>
          </w:p>
        </w:tc>
        <w:tc>
          <w:tcPr>
            <w:tcW w:w="5700" w:type="dxa"/>
            <w:tcBorders>
              <w:top w:val="single" w:sz="4" w:space="0" w:color="E8E4DA"/>
              <w:left w:val="single" w:sz="4" w:space="0" w:color="E8E4DA"/>
              <w:bottom w:val="single" w:sz="4" w:space="0" w:color="E8E4DA"/>
              <w:right w:val="single" w:sz="4" w:space="0" w:color="E8E4DA"/>
            </w:tcBorders>
            <w:shd w:val="clear" w:color="auto" w:fill="FFFFFF"/>
            <w:tcMar>
              <w:top w:w="90" w:type="dxa"/>
              <w:left w:w="120" w:type="dxa"/>
              <w:bottom w:w="90" w:type="dxa"/>
              <w:right w:w="120" w:type="dxa"/>
            </w:tcMar>
            <w:vAlign w:val="center"/>
          </w:tcPr>
          <w:p>
            <w:pPr/>
            <w:r>
              <w:rPr>
                <w:rFonts w:ascii="Calibri" w:eastAsia="Calibri" w:hAnsi="Calibri" w:cs="Calibri"/>
                <w:color w:val="15202B"/>
                <w:sz w:val="19"/>
                <w:szCs w:val="19"/>
              </w:rPr>
              <w:t xml:space="preserve">Mêmes modules, limités à son propre pays</w:t>
            </w:r>
          </w:p>
        </w:tc>
      </w:tr>
      <w:tr>
        <w:tc>
          <w:tcPr>
            <w:tcW w:w="2500"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pPr>
              <w:jc w:val="center"/>
            </w:pPr>
            <w:r>
              <w:rPr>
                <w:rFonts w:ascii="Calibri" w:eastAsia="Calibri" w:hAnsi="Calibri" w:cs="Calibri"/>
                <w:b/>
                <w:bCs/>
                <w:color w:val="15202B"/>
                <w:sz w:val="19"/>
                <w:szCs w:val="19"/>
              </w:rPr>
              <w:t xml:space="preserve">Agent d'émission</w:t>
            </w:r>
          </w:p>
        </w:tc>
        <w:tc>
          <w:tcPr>
            <w:tcW w:w="1600"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pPr/>
            <w:r>
              <w:rPr>
                <w:rFonts w:ascii="Calibri" w:eastAsia="Calibri" w:hAnsi="Calibri" w:cs="Calibri"/>
                <w:color w:val="15202B"/>
                <w:sz w:val="19"/>
                <w:szCs w:val="19"/>
              </w:rPr>
              <w:t xml:space="preserve">Mobile</w:t>
            </w:r>
          </w:p>
        </w:tc>
        <w:tc>
          <w:tcPr>
            <w:tcW w:w="5700"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pPr/>
            <w:r>
              <w:rPr>
                <w:rFonts w:ascii="Calibri" w:eastAsia="Calibri" w:hAnsi="Calibri" w:cs="Calibri"/>
                <w:color w:val="15202B"/>
                <w:sz w:val="19"/>
                <w:szCs w:val="19"/>
              </w:rPr>
              <w:t xml:space="preserve">Émission d'un PPB : scan QR, photo, lecture assistée, validation</w:t>
            </w:r>
          </w:p>
        </w:tc>
      </w:tr>
      <w:tr>
        <w:tc>
          <w:tcPr>
            <w:tcW w:w="2500" w:type="dxa"/>
            <w:tcBorders>
              <w:top w:val="single" w:sz="4" w:space="0" w:color="E8E4DA"/>
              <w:left w:val="single" w:sz="4" w:space="0" w:color="E8E4DA"/>
              <w:bottom w:val="single" w:sz="4" w:space="0" w:color="E8E4DA"/>
              <w:right w:val="single" w:sz="4" w:space="0" w:color="E8E4DA"/>
            </w:tcBorders>
            <w:shd w:val="clear" w:color="auto" w:fill="FFFFFF"/>
            <w:tcMar>
              <w:top w:w="90" w:type="dxa"/>
              <w:left w:w="120" w:type="dxa"/>
              <w:bottom w:w="90" w:type="dxa"/>
              <w:right w:w="120" w:type="dxa"/>
            </w:tcMar>
            <w:vAlign w:val="center"/>
          </w:tcPr>
          <w:p>
            <w:pPr>
              <w:jc w:val="center"/>
            </w:pPr>
            <w:r>
              <w:rPr>
                <w:rFonts w:ascii="Calibri" w:eastAsia="Calibri" w:hAnsi="Calibri" w:cs="Calibri"/>
                <w:b/>
                <w:bCs/>
                <w:color w:val="15202B"/>
                <w:sz w:val="19"/>
                <w:szCs w:val="19"/>
              </w:rPr>
              <w:t xml:space="preserve">Vétérinaire</w:t>
            </w:r>
          </w:p>
        </w:tc>
        <w:tc>
          <w:tcPr>
            <w:tcW w:w="1600" w:type="dxa"/>
            <w:tcBorders>
              <w:top w:val="single" w:sz="4" w:space="0" w:color="E8E4DA"/>
              <w:left w:val="single" w:sz="4" w:space="0" w:color="E8E4DA"/>
              <w:bottom w:val="single" w:sz="4" w:space="0" w:color="E8E4DA"/>
              <w:right w:val="single" w:sz="4" w:space="0" w:color="E8E4DA"/>
            </w:tcBorders>
            <w:shd w:val="clear" w:color="auto" w:fill="FFFFFF"/>
            <w:tcMar>
              <w:top w:w="90" w:type="dxa"/>
              <w:left w:w="120" w:type="dxa"/>
              <w:bottom w:w="90" w:type="dxa"/>
              <w:right w:w="120" w:type="dxa"/>
            </w:tcMar>
            <w:vAlign w:val="center"/>
          </w:tcPr>
          <w:p>
            <w:pPr/>
            <w:r>
              <w:rPr>
                <w:rFonts w:ascii="Calibri" w:eastAsia="Calibri" w:hAnsi="Calibri" w:cs="Calibri"/>
                <w:color w:val="15202B"/>
                <w:sz w:val="19"/>
                <w:szCs w:val="19"/>
              </w:rPr>
              <w:t xml:space="preserve">Mobile</w:t>
            </w:r>
          </w:p>
        </w:tc>
        <w:tc>
          <w:tcPr>
            <w:tcW w:w="5700" w:type="dxa"/>
            <w:tcBorders>
              <w:top w:val="single" w:sz="4" w:space="0" w:color="E8E4DA"/>
              <w:left w:val="single" w:sz="4" w:space="0" w:color="E8E4DA"/>
              <w:bottom w:val="single" w:sz="4" w:space="0" w:color="E8E4DA"/>
              <w:right w:val="single" w:sz="4" w:space="0" w:color="E8E4DA"/>
            </w:tcBorders>
            <w:shd w:val="clear" w:color="auto" w:fill="FFFFFF"/>
            <w:tcMar>
              <w:top w:w="90" w:type="dxa"/>
              <w:left w:w="120" w:type="dxa"/>
              <w:bottom w:w="90" w:type="dxa"/>
              <w:right w:w="120" w:type="dxa"/>
            </w:tcMar>
            <w:vAlign w:val="center"/>
          </w:tcPr>
          <w:p>
            <w:pPr/>
            <w:r>
              <w:rPr>
                <w:rFonts w:ascii="Calibri" w:eastAsia="Calibri" w:hAnsi="Calibri" w:cs="Calibri"/>
                <w:color w:val="15202B"/>
                <w:sz w:val="19"/>
                <w:szCs w:val="19"/>
              </w:rPr>
              <w:t xml:space="preserve">Validation des informations sanitaires et vaccinations à l'émission</w:t>
            </w:r>
          </w:p>
        </w:tc>
      </w:tr>
      <w:tr>
        <w:tc>
          <w:tcPr>
            <w:tcW w:w="2500"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pPr>
              <w:jc w:val="center"/>
            </w:pPr>
            <w:r>
              <w:rPr>
                <w:rFonts w:ascii="Calibri" w:eastAsia="Calibri" w:hAnsi="Calibri" w:cs="Calibri"/>
                <w:b/>
                <w:bCs/>
                <w:color w:val="15202B"/>
                <w:sz w:val="19"/>
                <w:szCs w:val="19"/>
              </w:rPr>
              <w:t xml:space="preserve">Agent de contrôle</w:t>
            </w:r>
          </w:p>
        </w:tc>
        <w:tc>
          <w:tcPr>
            <w:tcW w:w="1600"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pPr/>
            <w:r>
              <w:rPr>
                <w:rFonts w:ascii="Calibri" w:eastAsia="Calibri" w:hAnsi="Calibri" w:cs="Calibri"/>
                <w:color w:val="15202B"/>
                <w:sz w:val="19"/>
                <w:szCs w:val="19"/>
              </w:rPr>
              <w:t xml:space="preserve">Web / Mobile</w:t>
            </w:r>
          </w:p>
        </w:tc>
        <w:tc>
          <w:tcPr>
            <w:tcW w:w="5700"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pPr/>
            <w:r>
              <w:rPr>
                <w:rFonts w:ascii="Calibri" w:eastAsia="Calibri" w:hAnsi="Calibri" w:cs="Calibri"/>
                <w:color w:val="15202B"/>
                <w:sz w:val="19"/>
                <w:szCs w:val="19"/>
              </w:rPr>
              <w:t xml:space="preserve">Contrôle d'un PPB à un poste de frontière</w:t>
            </w:r>
          </w:p>
        </w:tc>
      </w:tr>
      <w:tr>
        <w:tc>
          <w:tcPr>
            <w:tcW w:w="2500" w:type="dxa"/>
            <w:tcBorders>
              <w:top w:val="single" w:sz="4" w:space="0" w:color="E8E4DA"/>
              <w:left w:val="single" w:sz="4" w:space="0" w:color="E8E4DA"/>
              <w:bottom w:val="single" w:sz="4" w:space="0" w:color="E8E4DA"/>
              <w:right w:val="single" w:sz="4" w:space="0" w:color="E8E4DA"/>
            </w:tcBorders>
            <w:shd w:val="clear" w:color="auto" w:fill="FFFFFF"/>
            <w:tcMar>
              <w:top w:w="90" w:type="dxa"/>
              <w:left w:w="120" w:type="dxa"/>
              <w:bottom w:w="90" w:type="dxa"/>
              <w:right w:w="120" w:type="dxa"/>
            </w:tcMar>
            <w:vAlign w:val="center"/>
          </w:tcPr>
          <w:p>
            <w:pPr>
              <w:jc w:val="center"/>
            </w:pPr>
            <w:r>
              <w:rPr>
                <w:rFonts w:ascii="Calibri" w:eastAsia="Calibri" w:hAnsi="Calibri" w:cs="Calibri"/>
                <w:b/>
                <w:bCs/>
                <w:color w:val="15202B"/>
                <w:sz w:val="19"/>
                <w:szCs w:val="19"/>
              </w:rPr>
              <w:t xml:space="preserve">Consultation</w:t>
            </w:r>
          </w:p>
        </w:tc>
        <w:tc>
          <w:tcPr>
            <w:tcW w:w="1600" w:type="dxa"/>
            <w:tcBorders>
              <w:top w:val="single" w:sz="4" w:space="0" w:color="E8E4DA"/>
              <w:left w:val="single" w:sz="4" w:space="0" w:color="E8E4DA"/>
              <w:bottom w:val="single" w:sz="4" w:space="0" w:color="E8E4DA"/>
              <w:right w:val="single" w:sz="4" w:space="0" w:color="E8E4DA"/>
            </w:tcBorders>
            <w:shd w:val="clear" w:color="auto" w:fill="FFFFFF"/>
            <w:tcMar>
              <w:top w:w="90" w:type="dxa"/>
              <w:left w:w="120" w:type="dxa"/>
              <w:bottom w:w="90" w:type="dxa"/>
              <w:right w:w="120" w:type="dxa"/>
            </w:tcMar>
            <w:vAlign w:val="center"/>
          </w:tcPr>
          <w:p>
            <w:pPr/>
            <w:r>
              <w:rPr>
                <w:rFonts w:ascii="Calibri" w:eastAsia="Calibri" w:hAnsi="Calibri" w:cs="Calibri"/>
                <w:color w:val="15202B"/>
                <w:sz w:val="19"/>
                <w:szCs w:val="19"/>
              </w:rPr>
              <w:t xml:space="preserve">Web</w:t>
            </w:r>
          </w:p>
        </w:tc>
        <w:tc>
          <w:tcPr>
            <w:tcW w:w="5700" w:type="dxa"/>
            <w:tcBorders>
              <w:top w:val="single" w:sz="4" w:space="0" w:color="E8E4DA"/>
              <w:left w:val="single" w:sz="4" w:space="0" w:color="E8E4DA"/>
              <w:bottom w:val="single" w:sz="4" w:space="0" w:color="E8E4DA"/>
              <w:right w:val="single" w:sz="4" w:space="0" w:color="E8E4DA"/>
            </w:tcBorders>
            <w:shd w:val="clear" w:color="auto" w:fill="FFFFFF"/>
            <w:tcMar>
              <w:top w:w="90" w:type="dxa"/>
              <w:left w:w="120" w:type="dxa"/>
              <w:bottom w:w="90" w:type="dxa"/>
              <w:right w:w="120" w:type="dxa"/>
            </w:tcMar>
            <w:vAlign w:val="center"/>
          </w:tcPr>
          <w:p>
            <w:pPr/>
            <w:r>
              <w:rPr>
                <w:rFonts w:ascii="Calibri" w:eastAsia="Calibri" w:hAnsi="Calibri" w:cs="Calibri"/>
                <w:color w:val="15202B"/>
                <w:sz w:val="19"/>
                <w:szCs w:val="19"/>
              </w:rPr>
              <w:t xml:space="preserve">Accès en lecture seule — statistiques et suivi, sans droit de modification</w:t>
            </w:r>
          </w:p>
        </w:tc>
      </w:tr>
    </w:tbl>
    <w:p>
      <w:pPr>
        <w:spacing w:after="120"/>
      </w:pPr>
    </w:p>
    <w:p>
      <w:pPr>
        <w:spacing w:before="260" w:after="140"/>
      </w:pPr>
      <w:r>
        <w:rPr>
          <w:rFonts w:ascii="Calibri" w:eastAsia="Calibri" w:hAnsi="Calibri" w:cs="Calibri"/>
          <w:b/>
          <w:bCs/>
          <w:color w:val="0B6B3A"/>
          <w:sz w:val="26"/>
          <w:szCs w:val="26"/>
        </w:rPr>
        <w:t>5. Cycle de vie du Passeport Pour Bétail</w:t>
      </w:r>
    </w:p>
    <w:p>
      <w:pPr>
        <w:spacing w:after="140"/>
      </w:pPr>
      <w:r>
        <w:rPr>
          <w:rFonts w:ascii="Calibri" w:eastAsia="Calibri" w:hAnsi="Calibri" w:cs="Calibri"/>
          <w:color w:val="15202B"/>
          <w:sz w:val="21"/>
          <w:szCs w:val="21"/>
        </w:rPr>
        <w:t xml:space="preserve">La plateforme suit le schéma de délivrance du PPB, structuré autour de cinq étapes fonctionnelles principales : Commande, Paiement, Impression, Émission (numérisation terrain) et Contrôle.</w:t>
      </w:r>
    </w:p>
    <w:p>
      <w:pPr>
        <w:spacing w:before="120" w:after="60"/>
        <w:jc w:val="center"/>
      </w:pPr>
      <w:r>
        <w:drawing>
          <wp:inline xmlns:wp="http://schemas.openxmlformats.org/drawingml/2006/wordprocessingDrawing" distT="0" distB="0" distL="0" distR="0">
            <wp:extent cx="5943600" cy="1752758"/>
            <wp:docPr id="3" name="SchemaCycleV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hemaCycleVie"/>
                    <pic:cNvPicPr/>
                  </pic:nvPicPr>
                  <pic:blipFill>
                    <a:blip xmlns:r="http://schemas.openxmlformats.org/officeDocument/2006/relationships" r:embed="rId12"/>
                    <a:stretch>
                      <a:fillRect/>
                    </a:stretch>
                  </pic:blipFill>
                  <pic:spPr>
                    <a:xfrm>
                      <a:off x="0" y="0"/>
                      <a:ext cx="5943600" cy="1752758"/>
                    </a:xfrm>
                    <a:prstGeom prst="rect">
                      <a:avLst/>
                    </a:prstGeom>
                  </pic:spPr>
                </pic:pic>
              </a:graphicData>
            </a:graphic>
          </wp:inline>
        </w:drawing>
      </w:r>
    </w:p>
    <w:p>
      <w:pPr>
        <w:spacing w:after="160"/>
        <w:jc w:val="center"/>
      </w:pPr>
      <w:r>
        <w:rPr>
          <w:rFonts w:ascii="Calibri" w:eastAsia="Calibri" w:hAnsi="Calibri" w:cs="Calibri"/>
          <w:i/>
          <w:iCs/>
          <w:color w:val="5A6575"/>
          <w:sz w:val="18"/>
          <w:szCs w:val="18"/>
        </w:rPr>
        <w:t xml:space="preserve">Cycle de vie du PPB — de la commande au contrôle aux frontières</w:t>
      </w:r>
    </w:p>
    <w:p>
      <w:pPr>
        <w:spacing w:before="180" w:after="80"/>
      </w:pPr>
      <w:r>
        <w:rPr>
          <w:rFonts w:ascii="Calibri" w:eastAsia="Calibri" w:hAnsi="Calibri" w:cs="Calibri"/>
          <w:b/>
          <w:bCs/>
          <w:color w:val="B8860B"/>
          <w:sz w:val="22"/>
          <w:szCs w:val="22"/>
        </w:rPr>
        <w:t>5.1 Commande</w:t>
      </w:r>
    </w:p>
    <w:p>
      <w:pPr>
        <w:spacing w:after="140"/>
      </w:pPr>
      <w:r>
        <w:rPr>
          <w:rFonts w:ascii="Calibri" w:eastAsia="Calibri" w:hAnsi="Calibri" w:cs="Calibri"/>
          <w:color w:val="15202B"/>
          <w:sz w:val="21"/>
          <w:szCs w:val="21"/>
        </w:rPr>
        <w:t xml:space="preserve">Un pays commande un lot de PPB : quantité, version linguistique, mode d'impression (centralisée au siège ou décentralisée dans le pays). Le prix unitaire est un paramètre système modifiable, jamais codé en dur. La création d'une commande génère automatiquement un bon de commande PDF et une facture proforma, et déclenche une notification (cloche + email) à tous les Super Administrateurs.</w:t>
      </w:r>
    </w:p>
    <w:p>
      <w:pPr>
        <w:spacing w:before="180" w:after="80"/>
      </w:pPr>
      <w:r>
        <w:rPr>
          <w:rFonts w:ascii="Calibri" w:eastAsia="Calibri" w:hAnsi="Calibri" w:cs="Calibri"/>
          <w:b/>
          <w:bCs/>
          <w:color w:val="B8860B"/>
          <w:sz w:val="22"/>
          <w:szCs w:val="22"/>
        </w:rPr>
        <w:t>5.2 Paiement</w:t>
      </w:r>
    </w:p>
    <w:p>
      <w:pPr>
        <w:spacing w:after="140"/>
      </w:pPr>
      <w:r>
        <w:rPr>
          <w:rFonts w:ascii="Calibri" w:eastAsia="Calibri" w:hAnsi="Calibri" w:cs="Calibri"/>
          <w:color w:val="15202B"/>
          <w:sz w:val="21"/>
          <w:szCs w:val="21"/>
        </w:rPr>
        <w:t xml:space="preserve">Le paiement combine une voie automatisée (prestataire de paiement en ligne) et une voie supervisée (agent), toutes deux aboutissant au même déclenchement d'attribution. En ligne, un webhook signé du prestataire déclenche l'attribution automatiquement, sans intervention humaine. En présentiel, la saisie par un agent est validée par un Super Administrateur, seul déclencheur possible de cette voie. Dès validation, la commande passe au statut « payée », les passeports individuels sont attribués et automatiquement confirmés — aucune étape de confirmation d'impression séparée n'est requise. La facture est alors régénérée sous l'intitulé « facture définitive ».</w:t>
      </w:r>
    </w:p>
    <w:p>
      <w:pPr>
        <w:spacing w:before="180" w:after="80"/>
      </w:pPr>
      <w:r>
        <w:rPr>
          <w:rFonts w:ascii="Calibri" w:eastAsia="Calibri" w:hAnsi="Calibri" w:cs="Calibri"/>
          <w:b/>
          <w:bCs/>
          <w:color w:val="B8860B"/>
          <w:sz w:val="22"/>
          <w:szCs w:val="22"/>
        </w:rPr>
        <w:t>5.3 Impression</w:t>
      </w:r>
    </w:p>
    <w:p>
      <w:pPr>
        <w:spacing w:after="140"/>
      </w:pPr>
      <w:r>
        <w:rPr>
          <w:rFonts w:ascii="Calibri" w:eastAsia="Calibri" w:hAnsi="Calibri" w:cs="Calibri"/>
          <w:color w:val="15202B"/>
          <w:sz w:val="21"/>
          <w:szCs w:val="21"/>
        </w:rPr>
        <w:t xml:space="preserve">En mode centralisé, le document PDF regroupant les passeports d'une commande est généré au siège ; l'administrateur choisit combien de passeports afficher/imprimer à la fois. En mode décentralisé, le pays reçoit une autorisation portant sur une plage de numéros fermée (rejet automatique HTTP 422 hors plage) et doit déclarer chaque lot réellement imprimé ; la CEBEVIRHA conserve un droit de suspension de cette autorisation en cas d'anomalie.</w:t>
      </w:r>
    </w:p>
    <w:p>
      <w:pPr>
        <w:spacing w:before="180" w:after="80"/>
      </w:pPr>
      <w:r>
        <w:rPr>
          <w:rFonts w:ascii="Calibri" w:eastAsia="Calibri" w:hAnsi="Calibri" w:cs="Calibri"/>
          <w:b/>
          <w:bCs/>
          <w:color w:val="B8860B"/>
          <w:sz w:val="22"/>
          <w:szCs w:val="22"/>
        </w:rPr>
        <w:t>5.4 Émission (module Scan)</w:t>
      </w:r>
    </w:p>
    <w:p>
      <w:pPr>
        <w:spacing w:after="140"/>
      </w:pPr>
      <w:r>
        <w:rPr>
          <w:rFonts w:ascii="Calibri" w:eastAsia="Calibri" w:hAnsi="Calibri" w:cs="Calibri"/>
          <w:color w:val="15202B"/>
          <w:sz w:val="21"/>
          <w:szCs w:val="21"/>
        </w:rPr>
        <w:t xml:space="preserve">Le PPB, déjà imprimé avec son QR code, est rempli à la main par l'éleveur ou l'agent. Chaque page photographiée a un rôle précis : la première page ne fait l'objet que d'une vérification visuelle, la deuxième sélectionne le passeport via son QR code, les pages suivantes alimentent les entités métier (Éleveur, Convoyeur, Itinéraire, Troupeau, Vaccination) à partir d'un formulaire pré-rempli par lecture automatique assistée, relu et corrigé par l'agent avant validation. Le vétérinaire valide les informations sanitaires. Aucune image n'est conservée ni transmise au-delà du traitement local.</w:t>
      </w:r>
    </w:p>
    <w:p>
      <w:pPr>
        <w:spacing w:before="180" w:after="80"/>
      </w:pPr>
      <w:r>
        <w:rPr>
          <w:rFonts w:ascii="Calibri" w:eastAsia="Calibri" w:hAnsi="Calibri" w:cs="Calibri"/>
          <w:b/>
          <w:bCs/>
          <w:color w:val="B8860B"/>
          <w:sz w:val="22"/>
          <w:szCs w:val="22"/>
        </w:rPr>
        <w:t>5.5 Contrôle aux frontières</w:t>
      </w:r>
    </w:p>
    <w:p>
      <w:pPr>
        <w:spacing w:after="140"/>
      </w:pPr>
      <w:r>
        <w:rPr>
          <w:rFonts w:ascii="Calibri" w:eastAsia="Calibri" w:hAnsi="Calibri" w:cs="Calibri"/>
          <w:color w:val="15202B"/>
          <w:sz w:val="21"/>
          <w:szCs w:val="21"/>
        </w:rPr>
        <w:t xml:space="preserve">À chaque poste de contrôle, l'agent scanne le QR code du PPB ; la signature numérique est revérifiée, et la conformité au trajet déclaré est évaluée si l'itinéraire a déjà été synchronisé jusqu'à ce poste — sinon l'agent se reporte à la page manuscrite du document physique. Un même PPB étant appelé à être contrôlé à plusieurs postes successifs le long de son trajet, ce n'est pas la répétition en elle-même qui est signalée, mais un re-passage par le même poste (voir section 6.4).</w:t>
      </w:r>
    </w:p>
    <w:p>
      <w:pPr>
        <w:spacing w:after="120"/>
      </w:pPr>
    </w:p>
    <w:p>
      <w:pPr>
        <w:spacing w:before="260" w:after="140"/>
      </w:pPr>
      <w:r>
        <w:rPr>
          <w:rFonts w:ascii="Calibri" w:eastAsia="Calibri" w:hAnsi="Calibri" w:cs="Calibri"/>
          <w:b/>
          <w:bCs/>
          <w:color w:val="0B6B3A"/>
          <w:sz w:val="26"/>
          <w:szCs w:val="26"/>
        </w:rPr>
        <w:t>6. Sécurité du document et garde-fous anti-fraude</w:t>
      </w:r>
    </w:p>
    <w:p>
      <w:pPr>
        <w:spacing w:before="180" w:after="80"/>
      </w:pPr>
      <w:r>
        <w:rPr>
          <w:rFonts w:ascii="Calibri" w:eastAsia="Calibri" w:hAnsi="Calibri" w:cs="Calibri"/>
          <w:b/>
          <w:bCs/>
          <w:color w:val="B8860B"/>
          <w:sz w:val="22"/>
          <w:szCs w:val="22"/>
        </w:rPr>
        <w:t>6.1 Sécurisation du document imprimé</w:t>
      </w:r>
    </w:p>
    <w:p>
      <w:pPr>
        <w:pStyle w:val="Paragraphedeliste"/>
        <w:numPr>
          <w:ilvl w:val="0"/>
          <w:numId w:val="1"/>
        </w:numPr>
        <w:spacing w:after="70"/>
      </w:pPr>
      <w:r>
        <w:rPr>
          <w:rFonts w:ascii="Calibri" w:eastAsia="Calibri" w:hAnsi="Calibri" w:cs="Calibri"/>
          <w:color w:val="15202B"/>
          <w:sz w:val="21"/>
          <w:szCs w:val="21"/>
        </w:rPr>
        <w:t xml:space="preserve">QR code renvoyant à l'enregistrement numérique du passeport et à sa signature.</w:t>
      </w:r>
    </w:p>
    <w:p>
      <w:pPr>
        <w:pStyle w:val="Paragraphedeliste"/>
        <w:numPr>
          <w:ilvl w:val="0"/>
          <w:numId w:val="1"/>
        </w:numPr>
        <w:spacing w:after="70"/>
      </w:pPr>
      <w:r>
        <w:rPr>
          <w:rFonts w:ascii="Calibri" w:eastAsia="Calibri" w:hAnsi="Calibri" w:cs="Calibri"/>
          <w:color w:val="15202B"/>
          <w:sz w:val="21"/>
          <w:szCs w:val="21"/>
        </w:rPr>
        <w:t xml:space="preserve">Signature numérique (RSA-2048 ou ECDSA P-256) vérifiée à chaque contrôle, aussi bien en ligne que hors connexion — même formule, même clé publique des deux côtés.</w:t>
      </w:r>
    </w:p>
    <w:p>
      <w:pPr>
        <w:pStyle w:val="Paragraphedeliste"/>
        <w:numPr>
          <w:ilvl w:val="0"/>
          <w:numId w:val="1"/>
        </w:numPr>
        <w:spacing w:after="70"/>
      </w:pPr>
      <w:r>
        <w:rPr>
          <w:rFonts w:ascii="Calibri" w:eastAsia="Calibri" w:hAnsi="Calibri" w:cs="Calibri"/>
          <w:color w:val="15202B"/>
          <w:sz w:val="21"/>
          <w:szCs w:val="21"/>
        </w:rPr>
        <w:t xml:space="preserve">Fond guilloché de sécurité et cachet de la CEBEVIRHA apposé automatiquement sur la première page, ainsi que sur les factures et bons de commande.</w:t>
      </w:r>
    </w:p>
    <w:p>
      <w:pPr>
        <w:pStyle w:val="Paragraphedeliste"/>
        <w:numPr>
          <w:ilvl w:val="0"/>
          <w:numId w:val="1"/>
        </w:numPr>
        <w:spacing w:after="70"/>
      </w:pPr>
      <w:r>
        <w:rPr>
          <w:rFonts w:ascii="Calibri" w:eastAsia="Calibri" w:hAnsi="Calibri" w:cs="Calibri"/>
          <w:color w:val="15202B"/>
          <w:sz w:val="21"/>
          <w:szCs w:val="21"/>
        </w:rPr>
        <w:t xml:space="preserve">Numéro de la commande d'origine imprimé en petit caractère en pied de chaque page, pour rattacher tout exemplaire physique à son circuit d'achat.</w:t>
      </w:r>
    </w:p>
    <w:p>
      <w:pPr>
        <w:spacing w:before="180" w:after="80"/>
      </w:pPr>
      <w:r>
        <w:rPr>
          <w:rFonts w:ascii="Calibri" w:eastAsia="Calibri" w:hAnsi="Calibri" w:cs="Calibri"/>
          <w:b/>
          <w:bCs/>
          <w:color w:val="B8860B"/>
          <w:sz w:val="22"/>
          <w:szCs w:val="22"/>
        </w:rPr>
        <w:t>6.2 Garde-fous à l'impression décentralisée</w:t>
      </w:r>
    </w:p>
    <w:p>
      <w:pPr>
        <w:pStyle w:val="Paragraphedeliste"/>
        <w:numPr>
          <w:ilvl w:val="0"/>
          <w:numId w:val="1"/>
        </w:numPr>
        <w:spacing w:after="70"/>
      </w:pPr>
      <w:r>
        <w:rPr>
          <w:rFonts w:ascii="Calibri" w:eastAsia="Calibri" w:hAnsi="Calibri" w:cs="Calibri"/>
          <w:color w:val="15202B"/>
          <w:sz w:val="21"/>
          <w:szCs w:val="21"/>
        </w:rPr>
        <w:t xml:space="preserve">Plage de numéros fermée, non extensible sans nouvelle autorisation.</w:t>
      </w:r>
    </w:p>
    <w:p>
      <w:pPr>
        <w:pStyle w:val="Paragraphedeliste"/>
        <w:numPr>
          <w:ilvl w:val="0"/>
          <w:numId w:val="1"/>
        </w:numPr>
        <w:spacing w:after="70"/>
      </w:pPr>
      <w:r>
        <w:rPr>
          <w:rFonts w:ascii="Calibri" w:eastAsia="Calibri" w:hAnsi="Calibri" w:cs="Calibri"/>
          <w:color w:val="15202B"/>
          <w:sz w:val="21"/>
          <w:szCs w:val="21"/>
        </w:rPr>
        <w:t xml:space="preserve">Matériel de sécurité fourni ou validé par la CEBEVIRHA.</w:t>
      </w:r>
    </w:p>
    <w:p>
      <w:pPr>
        <w:pStyle w:val="Paragraphedeliste"/>
        <w:numPr>
          <w:ilvl w:val="0"/>
          <w:numId w:val="1"/>
        </w:numPr>
        <w:spacing w:after="70"/>
      </w:pPr>
      <w:r>
        <w:rPr>
          <w:rFonts w:ascii="Calibri" w:eastAsia="Calibri" w:hAnsi="Calibri" w:cs="Calibri"/>
          <w:color w:val="15202B"/>
          <w:sz w:val="21"/>
          <w:szCs w:val="21"/>
        </w:rPr>
        <w:t xml:space="preserve">Déclaration obligatoire de chaque lot réellement imprimé.</w:t>
      </w:r>
    </w:p>
    <w:p>
      <w:pPr>
        <w:pStyle w:val="Paragraphedeliste"/>
        <w:numPr>
          <w:ilvl w:val="0"/>
          <w:numId w:val="1"/>
        </w:numPr>
        <w:spacing w:after="70"/>
      </w:pPr>
      <w:r>
        <w:rPr>
          <w:rFonts w:ascii="Calibri" w:eastAsia="Calibri" w:hAnsi="Calibri" w:cs="Calibri"/>
          <w:color w:val="15202B"/>
          <w:sz w:val="21"/>
          <w:szCs w:val="21"/>
        </w:rPr>
        <w:t xml:space="preserve">Droit de suspension de l'autorisation par la CEBEVIRHA en cas d'anomalie constatée lors d'un audit.</w:t>
      </w:r>
    </w:p>
    <w:p>
      <w:pPr>
        <w:spacing w:before="180" w:after="80"/>
      </w:pPr>
      <w:r>
        <w:rPr>
          <w:rFonts w:ascii="Calibri" w:eastAsia="Calibri" w:hAnsi="Calibri" w:cs="Calibri"/>
          <w:b/>
          <w:bCs/>
          <w:color w:val="B8860B"/>
          <w:sz w:val="22"/>
          <w:szCs w:val="22"/>
        </w:rPr>
        <w:t>6.3 Validation des textes du gabarit</w:t>
      </w:r>
    </w:p>
    <w:p>
      <w:pPr>
        <w:spacing w:after="140"/>
      </w:pPr>
      <w:r>
        <w:rPr>
          <w:rFonts w:ascii="Calibri" w:eastAsia="Calibri" w:hAnsi="Calibri" w:cs="Calibri"/>
          <w:color w:val="15202B"/>
          <w:sz w:val="21"/>
          <w:szCs w:val="21"/>
        </w:rPr>
        <w:t xml:space="preserve">Le gabarit imprimé du PPB ne peut jamais être édité en position, mise en page ou éléments de sécurité (QR code, zone de lecture automatique, guilloché, logo). Seuls ses libellés et textes légaux sont modifiables, via un circuit à deux comptes distincts : une modification proposée par un compte doit être validée par un second compte avant application, donnant naissance à une nouvelle version numérotée du gabarit — jamais une édition en place.</w:t>
      </w:r>
    </w:p>
    <w:p>
      <w:pPr>
        <w:spacing w:before="180" w:after="80"/>
      </w:pPr>
      <w:r>
        <w:rPr>
          <w:rFonts w:ascii="Calibri" w:eastAsia="Calibri" w:hAnsi="Calibri" w:cs="Calibri"/>
          <w:b/>
          <w:bCs/>
          <w:color w:val="B8860B"/>
          <w:sz w:val="22"/>
          <w:szCs w:val="22"/>
        </w:rPr>
        <w:t>6.4 Garde-fou anti-réutilisation au contrôle</w:t>
      </w:r>
    </w:p>
    <w:p>
      <w:pPr>
        <w:spacing w:after="140"/>
      </w:pPr>
      <w:r>
        <w:rPr>
          <w:rFonts w:ascii="Calibri" w:eastAsia="Calibri" w:hAnsi="Calibri" w:cs="Calibri"/>
          <w:color w:val="15202B"/>
          <w:sz w:val="21"/>
          <w:szCs w:val="21"/>
        </w:rPr>
        <w:t xml:space="preserve">Un PPB passant légitimement par plusieurs postes le long de son trajet, la plateforme ne bloque jamais un contrôle par principe. En revanche, un re-passage par le MÊME poste déclenche un avertissement visible pour l'agent, avec le nombre de fois où ce PPB a déjà été scanné à cet endroit. Si l'écart depuis le précédent scan à ce même poste est de dix minutes ou plus, la saisie d'un motif devient obligatoire avant de pouvoir valider — appliquée aussi bien côté serveur que côté interface, pour empêcher qu'un même passeport ne serve à faire passer plusieurs troupeaux distincts. Ce garde-fou nécessite une connexion réseau ; hors connexion, le contrôle s'effectue normalement, sans cette vérification additionnelle.</w:t>
      </w:r>
    </w:p>
    <w:p>
      <w:pPr>
        <w:spacing w:before="180" w:after="80"/>
      </w:pPr>
      <w:r>
        <w:rPr>
          <w:rFonts w:ascii="Calibri" w:eastAsia="Calibri" w:hAnsi="Calibri" w:cs="Calibri"/>
          <w:b/>
          <w:bCs/>
          <w:color w:val="B8860B"/>
          <w:sz w:val="22"/>
          <w:szCs w:val="22"/>
        </w:rPr>
        <w:t>6.5 Autres mécanismes transversaux</w:t>
      </w:r>
    </w:p>
    <w:tbl>
      <w:tblPr>
        <w:tblW w:w="9500" w:type="dxa"/>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Look w:val="04A0"/>
      </w:tblPr>
      <w:tblGrid>
        <w:gridCol w:w="2200"/>
        <w:gridCol w:w="7300"/>
      </w:tblGrid>
      <w:tr>
        <w:tc>
          <w:tcPr>
            <w:tcW w:w="2200" w:type="dxa"/>
            <w:tcBorders>
              <w:top w:val="single" w:sz="4" w:space="0" w:color="E8E4DA"/>
              <w:left w:val="single" w:sz="4" w:space="0" w:color="E8E4DA"/>
              <w:bottom w:val="single" w:sz="4" w:space="0" w:color="E8E4DA"/>
              <w:right w:val="single" w:sz="4" w:space="0" w:color="E8E4DA"/>
            </w:tcBorders>
            <w:shd w:val="clear" w:color="auto" w:fill="0B6B3A"/>
            <w:tcMar>
              <w:top w:w="90" w:type="dxa"/>
              <w:left w:w="120" w:type="dxa"/>
              <w:bottom w:w="90" w:type="dxa"/>
              <w:right w:w="120" w:type="dxa"/>
            </w:tcMar>
            <w:vAlign w:val="center"/>
          </w:tcPr>
          <w:p>
            <w:pPr>
              <w:jc w:val="center"/>
            </w:pPr>
            <w:r>
              <w:rPr>
                <w:rFonts w:ascii="Calibri" w:eastAsia="Calibri" w:hAnsi="Calibri" w:cs="Calibri"/>
                <w:b/>
                <w:bCs/>
                <w:color w:val="FFFFFF"/>
                <w:sz w:val="19"/>
                <w:szCs w:val="19"/>
              </w:rPr>
              <w:t xml:space="preserve">Aspect</w:t>
            </w:r>
          </w:p>
        </w:tc>
        <w:tc>
          <w:tcPr>
            <w:tcW w:w="7300" w:type="dxa"/>
            <w:tcBorders>
              <w:top w:val="single" w:sz="4" w:space="0" w:color="E8E4DA"/>
              <w:left w:val="single" w:sz="4" w:space="0" w:color="E8E4DA"/>
              <w:bottom w:val="single" w:sz="4" w:space="0" w:color="E8E4DA"/>
              <w:right w:val="single" w:sz="4" w:space="0" w:color="E8E4DA"/>
            </w:tcBorders>
            <w:shd w:val="clear" w:color="auto" w:fill="0B6B3A"/>
            <w:tcMar>
              <w:top w:w="90" w:type="dxa"/>
              <w:left w:w="120" w:type="dxa"/>
              <w:bottom w:w="90" w:type="dxa"/>
              <w:right w:w="120" w:type="dxa"/>
            </w:tcMar>
            <w:vAlign w:val="center"/>
          </w:tcPr>
          <w:p>
            <w:pPr>
              <w:jc w:val="center"/>
            </w:pPr>
            <w:r>
              <w:rPr>
                <w:rFonts w:ascii="Calibri" w:eastAsia="Calibri" w:hAnsi="Calibri" w:cs="Calibri"/>
                <w:b/>
                <w:bCs/>
                <w:color w:val="FFFFFF"/>
                <w:sz w:val="19"/>
                <w:szCs w:val="19"/>
              </w:rPr>
              <w:t xml:space="preserve">Mécanisme</w:t>
            </w:r>
          </w:p>
        </w:tc>
      </w:tr>
      <w:tr>
        <w:tc>
          <w:tcPr>
            <w:tcW w:w="2200"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pPr>
              <w:jc w:val="center"/>
            </w:pPr>
            <w:r>
              <w:rPr>
                <w:rFonts w:ascii="Calibri" w:eastAsia="Calibri" w:hAnsi="Calibri" w:cs="Calibri"/>
                <w:b/>
                <w:bCs/>
                <w:color w:val="15202B"/>
                <w:sz w:val="19"/>
                <w:szCs w:val="19"/>
              </w:rPr>
              <w:t xml:space="preserve">Paiement</w:t>
            </w:r>
          </w:p>
        </w:tc>
        <w:tc>
          <w:tcPr>
            <w:tcW w:w="7300"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pPr/>
            <w:r>
              <w:rPr>
                <w:rFonts w:ascii="Calibri" w:eastAsia="Calibri" w:hAnsi="Calibri" w:cs="Calibri"/>
                <w:color w:val="15202B"/>
                <w:sz w:val="19"/>
                <w:szCs w:val="19"/>
              </w:rPr>
              <w:t xml:space="preserve">Aucune donnée bancaire stockée ; page de paiement hébergée par le prestataire (hors périmètre PCI-DSS)</w:t>
            </w:r>
          </w:p>
        </w:tc>
      </w:tr>
      <w:tr>
        <w:tc>
          <w:tcPr>
            <w:tcW w:w="2200" w:type="dxa"/>
            <w:tcBorders>
              <w:top w:val="single" w:sz="4" w:space="0" w:color="E8E4DA"/>
              <w:left w:val="single" w:sz="4" w:space="0" w:color="E8E4DA"/>
              <w:bottom w:val="single" w:sz="4" w:space="0" w:color="E8E4DA"/>
              <w:right w:val="single" w:sz="4" w:space="0" w:color="E8E4DA"/>
            </w:tcBorders>
            <w:shd w:val="clear" w:color="auto" w:fill="FFFFFF"/>
            <w:tcMar>
              <w:top w:w="90" w:type="dxa"/>
              <w:left w:w="120" w:type="dxa"/>
              <w:bottom w:w="90" w:type="dxa"/>
              <w:right w:w="120" w:type="dxa"/>
            </w:tcMar>
            <w:vAlign w:val="center"/>
          </w:tcPr>
          <w:p>
            <w:pPr>
              <w:jc w:val="center"/>
            </w:pPr>
            <w:r>
              <w:rPr>
                <w:rFonts w:ascii="Calibri" w:eastAsia="Calibri" w:hAnsi="Calibri" w:cs="Calibri"/>
                <w:b/>
                <w:bCs/>
                <w:color w:val="15202B"/>
                <w:sz w:val="19"/>
                <w:szCs w:val="19"/>
              </w:rPr>
              <w:t xml:space="preserve">Audit</w:t>
            </w:r>
          </w:p>
        </w:tc>
        <w:tc>
          <w:tcPr>
            <w:tcW w:w="7300" w:type="dxa"/>
            <w:tcBorders>
              <w:top w:val="single" w:sz="4" w:space="0" w:color="E8E4DA"/>
              <w:left w:val="single" w:sz="4" w:space="0" w:color="E8E4DA"/>
              <w:bottom w:val="single" w:sz="4" w:space="0" w:color="E8E4DA"/>
              <w:right w:val="single" w:sz="4" w:space="0" w:color="E8E4DA"/>
            </w:tcBorders>
            <w:shd w:val="clear" w:color="auto" w:fill="FFFFFF"/>
            <w:tcMar>
              <w:top w:w="90" w:type="dxa"/>
              <w:left w:w="120" w:type="dxa"/>
              <w:bottom w:w="90" w:type="dxa"/>
              <w:right w:w="120" w:type="dxa"/>
            </w:tcMar>
            <w:vAlign w:val="center"/>
          </w:tcPr>
          <w:p>
            <w:pPr/>
            <w:r>
              <w:rPr>
                <w:rFonts w:ascii="Calibri" w:eastAsia="Calibri" w:hAnsi="Calibri" w:cs="Calibri"/>
                <w:color w:val="15202B"/>
                <w:sz w:val="19"/>
                <w:szCs w:val="19"/>
              </w:rPr>
              <w:t xml:space="preserve">Journalisation immuable de toute opération sensible : attribution, impression, contrôle, remboursement, configuration</w:t>
            </w:r>
          </w:p>
        </w:tc>
      </w:tr>
      <w:tr>
        <w:tc>
          <w:tcPr>
            <w:tcW w:w="2200"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pPr>
              <w:jc w:val="center"/>
            </w:pPr>
            <w:r>
              <w:rPr>
                <w:rFonts w:ascii="Calibri" w:eastAsia="Calibri" w:hAnsi="Calibri" w:cs="Calibri"/>
                <w:b/>
                <w:bCs/>
                <w:color w:val="15202B"/>
                <w:sz w:val="19"/>
                <w:szCs w:val="19"/>
              </w:rPr>
              <w:t xml:space="preserve">Mots de passe</w:t>
            </w:r>
          </w:p>
        </w:tc>
        <w:tc>
          <w:tcPr>
            <w:tcW w:w="7300"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pPr/>
            <w:r>
              <w:rPr>
                <w:rFonts w:ascii="Calibri" w:eastAsia="Calibri" w:hAnsi="Calibri" w:cs="Calibri"/>
                <w:color w:val="15202B"/>
                <w:sz w:val="19"/>
                <w:szCs w:val="19"/>
              </w:rPr>
              <w:t xml:space="preserve">bcrypt (coût 12), politique de complexité</w:t>
            </w:r>
          </w:p>
        </w:tc>
      </w:tr>
    </w:tbl>
    <w:p>
      <w:pPr>
        <w:spacing w:after="120"/>
      </w:pPr>
    </w:p>
    <w:p>
      <w:pPr>
        <w:spacing w:before="260" w:after="140"/>
      </w:pPr>
      <w:r>
        <w:rPr>
          <w:rFonts w:ascii="Calibri" w:eastAsia="Calibri" w:hAnsi="Calibri" w:cs="Calibri"/>
          <w:b/>
          <w:bCs/>
          <w:color w:val="0B6B3A"/>
          <w:sz w:val="26"/>
          <w:szCs w:val="26"/>
        </w:rPr>
        <w:t>7. Fonctionnement hors-ligne (application mobile)</w:t>
      </w:r>
    </w:p>
    <w:p>
      <w:pPr>
        <w:spacing w:after="140"/>
      </w:pPr>
      <w:r>
        <w:rPr>
          <w:rFonts w:ascii="Calibri" w:eastAsia="Calibri" w:hAnsi="Calibri" w:cs="Calibri"/>
          <w:color w:val="15202B"/>
          <w:sz w:val="21"/>
          <w:szCs w:val="21"/>
        </w:rPr>
        <w:t xml:space="preserve">La connectivité intermittente aux postes terrain est traitée comme un principe d'architecture, non comme un cas d'exception. L'application mobile terrain fonctionne intégralement sans connexion internet, jusqu'à 60 jours d'autonomie locale — la signature numérique y reste vérifiable localement grâce à la clé publique déployée sur l'appareil.</w:t>
      </w:r>
    </w:p>
    <w:p>
      <w:pPr>
        <w:spacing w:before="120" w:after="60"/>
        <w:jc w:val="center"/>
      </w:pPr>
      <w:r>
        <w:drawing>
          <wp:inline xmlns:wp="http://schemas.openxmlformats.org/drawingml/2006/wordprocessingDrawing" distT="0" distB="0" distL="0" distR="0">
            <wp:extent cx="3931920" cy="2962447"/>
            <wp:docPr id="4" name="SchemaHorsLig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hemaHorsLigne"/>
                    <pic:cNvPicPr/>
                  </pic:nvPicPr>
                  <pic:blipFill>
                    <a:blip xmlns:r="http://schemas.openxmlformats.org/officeDocument/2006/relationships" r:embed="rId14"/>
                    <a:stretch>
                      <a:fillRect/>
                    </a:stretch>
                  </pic:blipFill>
                  <pic:spPr>
                    <a:xfrm>
                      <a:off x="0" y="0"/>
                      <a:ext cx="3931920" cy="2962447"/>
                    </a:xfrm>
                    <a:prstGeom prst="rect">
                      <a:avLst/>
                    </a:prstGeom>
                  </pic:spPr>
                </pic:pic>
              </a:graphicData>
            </a:graphic>
          </wp:inline>
        </w:drawing>
      </w:r>
    </w:p>
    <w:p>
      <w:pPr>
        <w:spacing w:after="160"/>
        <w:jc w:val="center"/>
      </w:pPr>
      <w:r>
        <w:rPr>
          <w:rFonts w:ascii="Calibri" w:eastAsia="Calibri" w:hAnsi="Calibri" w:cs="Calibri"/>
          <w:i/>
          <w:iCs/>
          <w:color w:val="5A6575"/>
          <w:sz w:val="18"/>
          <w:szCs w:val="18"/>
        </w:rPr>
        <w:t xml:space="preserve">Fonctionnement hors-ligne — cache local, file d'attente, synchronisation push + pull</w:t>
      </w:r>
    </w:p>
    <w:p>
      <w:pPr>
        <w:spacing w:before="180" w:after="80"/>
      </w:pPr>
      <w:r>
        <w:rPr>
          <w:rFonts w:ascii="Calibri" w:eastAsia="Calibri" w:hAnsi="Calibri" w:cs="Calibri"/>
          <w:b/>
          <w:bCs/>
          <w:color w:val="B8860B"/>
          <w:sz w:val="22"/>
          <w:szCs w:val="22"/>
        </w:rPr>
        <w:t>7.1 Mécanisme de synchronisation push + pull</w:t>
      </w:r>
    </w:p>
    <w:p>
      <w:pPr>
        <w:pStyle w:val="Paragraphedeliste"/>
        <w:numPr>
          <w:ilvl w:val="0"/>
          <w:numId w:val="1"/>
        </w:numPr>
        <w:spacing w:after="70"/>
      </w:pPr>
      <w:r>
        <w:rPr>
          <w:rFonts w:ascii="Calibri" w:eastAsia="Calibri" w:hAnsi="Calibri" w:cs="Calibri"/>
          <w:b/>
          <w:bCs/>
          <w:color w:val="15202B"/>
          <w:sz w:val="21"/>
          <w:szCs w:val="21"/>
        </w:rPr>
        <w:t xml:space="preserve">Publication (push) — </w:t>
      </w:r>
      <w:r>
        <w:rPr>
          <w:rFonts w:ascii="Calibri" w:eastAsia="Calibri" w:hAnsi="Calibri" w:cs="Calibri"/>
          <w:color w:val="15202B"/>
          <w:sz w:val="21"/>
          <w:szCs w:val="21"/>
        </w:rPr>
        <w:t xml:space="preserve">Dès attribution d'un passeport (paiement confirmé), ses identifiants sont publiés immédiatement vers l'index central de vérification, sans attendre la connexion d'un poste de contrôle.</w:t>
      </w:r>
    </w:p>
    <w:p>
      <w:pPr>
        <w:pStyle w:val="Paragraphedeliste"/>
        <w:numPr>
          <w:ilvl w:val="0"/>
          <w:numId w:val="1"/>
        </w:numPr>
        <w:spacing w:after="70"/>
      </w:pPr>
      <w:r>
        <w:rPr>
          <w:rFonts w:ascii="Calibri" w:eastAsia="Calibri" w:hAnsi="Calibri" w:cs="Calibri"/>
          <w:b/>
          <w:bCs/>
          <w:color w:val="15202B"/>
          <w:sz w:val="21"/>
          <w:szCs w:val="21"/>
        </w:rPr>
        <w:t xml:space="preserve">Détection automatique — </w:t>
      </w:r>
      <w:r>
        <w:rPr>
          <w:rFonts w:ascii="Calibri" w:eastAsia="Calibri" w:hAnsi="Calibri" w:cs="Calibri"/>
          <w:color w:val="15202B"/>
          <w:sz w:val="21"/>
          <w:szCs w:val="21"/>
        </w:rPr>
        <w:t xml:space="preserve">Chaque application terrain détecte automatiquement le retour réseau et déclenche sa propre synchronisation, sans action de l'agent.</w:t>
      </w:r>
    </w:p>
    <w:p>
      <w:pPr>
        <w:pStyle w:val="Paragraphedeliste"/>
        <w:numPr>
          <w:ilvl w:val="0"/>
          <w:numId w:val="1"/>
        </w:numPr>
        <w:spacing w:after="70"/>
      </w:pPr>
      <w:r>
        <w:rPr>
          <w:rFonts w:ascii="Calibri" w:eastAsia="Calibri" w:hAnsi="Calibri" w:cs="Calibri"/>
          <w:b/>
          <w:bCs/>
          <w:color w:val="15202B"/>
          <w:sz w:val="21"/>
          <w:szCs w:val="21"/>
        </w:rPr>
        <w:t xml:space="preserve">Synchronisation différentielle — </w:t>
      </w:r>
      <w:r>
        <w:rPr>
          <w:rFonts w:ascii="Calibri" w:eastAsia="Calibri" w:hAnsi="Calibri" w:cs="Calibri"/>
          <w:color w:val="15202B"/>
          <w:sz w:val="21"/>
          <w:szCs w:val="21"/>
        </w:rPr>
        <w:t xml:space="preserve">Seules les nouveautés depuis la dernière synchronisation de ce poste sont transmises, pour limiter la consommation de données.</w:t>
      </w:r>
    </w:p>
    <w:p>
      <w:pPr>
        <w:spacing w:before="180" w:after="80"/>
      </w:pPr>
      <w:r>
        <w:rPr>
          <w:rFonts w:ascii="Calibri" w:eastAsia="Calibri" w:hAnsi="Calibri" w:cs="Calibri"/>
          <w:b/>
          <w:bCs/>
          <w:color w:val="B8860B"/>
          <w:sz w:val="22"/>
          <w:szCs w:val="22"/>
        </w:rPr>
        <w:t>7.2 Reconnexion multi-comptes</w:t>
      </w:r>
    </w:p>
    <w:p>
      <w:pPr>
        <w:spacing w:after="140"/>
      </w:pPr>
      <w:r>
        <w:rPr>
          <w:rFonts w:ascii="Calibri" w:eastAsia="Calibri" w:hAnsi="Calibri" w:cs="Calibri"/>
          <w:color w:val="15202B"/>
          <w:sz w:val="21"/>
          <w:szCs w:val="21"/>
        </w:rPr>
        <w:t xml:space="preserve">La reconnexion à un compte déjà utilisé en ligne au moins une fois sur un appareil reste possible hors connexion, grâce à une empreinte locale du mot de passe (jamais le mot de passe en clair) conservée par compte — plusieurs comptes peuvent ainsi se succéder sur un même appareil partagé sans se supplanter.</w:t>
      </w:r>
    </w:p>
    <w:p>
      <w:pPr>
        <w:spacing w:after="120"/>
      </w:pPr>
    </w:p>
    <w:p>
      <w:pPr>
        <w:spacing w:before="260" w:after="140"/>
      </w:pPr>
      <w:r>
        <w:rPr>
          <w:rFonts w:ascii="Calibri" w:eastAsia="Calibri" w:hAnsi="Calibri" w:cs="Calibri"/>
          <w:b/>
          <w:bCs/>
          <w:color w:val="0B6B3A"/>
          <w:sz w:val="26"/>
          <w:szCs w:val="26"/>
        </w:rPr>
        <w:t>8. Support multilingue</w:t>
      </w:r>
    </w:p>
    <w:p>
      <w:pPr>
        <w:spacing w:after="140"/>
      </w:pPr>
      <w:r>
        <w:rPr>
          <w:rFonts w:ascii="Calibri" w:eastAsia="Calibri" w:hAnsi="Calibri" w:cs="Calibri"/>
          <w:color w:val="15202B"/>
          <w:sz w:val="21"/>
          <w:szCs w:val="21"/>
        </w:rPr>
        <w:t xml:space="preserve">Le passeport est disponible en trois versions bilingues, le français étant systématiquement la langue principale :</w:t>
      </w:r>
    </w:p>
    <w:tbl>
      <w:tblPr>
        <w:tblW w:w="9500" w:type="dxa"/>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Look w:val="04A0"/>
      </w:tblPr>
      <w:tblGrid>
        <w:gridCol w:w="3600"/>
        <w:gridCol w:w="5900"/>
      </w:tblGrid>
      <w:tr>
        <w:tc>
          <w:tcPr>
            <w:tcW w:w="3600" w:type="dxa"/>
            <w:tcBorders>
              <w:top w:val="single" w:sz="4" w:space="0" w:color="E8E4DA"/>
              <w:left w:val="single" w:sz="4" w:space="0" w:color="E8E4DA"/>
              <w:bottom w:val="single" w:sz="4" w:space="0" w:color="E8E4DA"/>
              <w:right w:val="single" w:sz="4" w:space="0" w:color="E8E4DA"/>
            </w:tcBorders>
            <w:shd w:val="clear" w:color="auto" w:fill="0B6B3A"/>
            <w:tcMar>
              <w:top w:w="90" w:type="dxa"/>
              <w:left w:w="120" w:type="dxa"/>
              <w:bottom w:w="90" w:type="dxa"/>
              <w:right w:w="120" w:type="dxa"/>
            </w:tcMar>
            <w:vAlign w:val="center"/>
          </w:tcPr>
          <w:p>
            <w:pPr>
              <w:jc w:val="center"/>
            </w:pPr>
            <w:r>
              <w:rPr>
                <w:rFonts w:ascii="Calibri" w:eastAsia="Calibri" w:hAnsi="Calibri" w:cs="Calibri"/>
                <w:b/>
                <w:bCs/>
                <w:color w:val="FFFFFF"/>
                <w:sz w:val="19"/>
                <w:szCs w:val="19"/>
              </w:rPr>
              <w:t xml:space="preserve">Version</w:t>
            </w:r>
          </w:p>
        </w:tc>
        <w:tc>
          <w:tcPr>
            <w:tcW w:w="5900" w:type="dxa"/>
            <w:tcBorders>
              <w:top w:val="single" w:sz="4" w:space="0" w:color="E8E4DA"/>
              <w:left w:val="single" w:sz="4" w:space="0" w:color="E8E4DA"/>
              <w:bottom w:val="single" w:sz="4" w:space="0" w:color="E8E4DA"/>
              <w:right w:val="single" w:sz="4" w:space="0" w:color="E8E4DA"/>
            </w:tcBorders>
            <w:shd w:val="clear" w:color="auto" w:fill="0B6B3A"/>
            <w:tcMar>
              <w:top w:w="90" w:type="dxa"/>
              <w:left w:w="120" w:type="dxa"/>
              <w:bottom w:w="90" w:type="dxa"/>
              <w:right w:w="120" w:type="dxa"/>
            </w:tcMar>
            <w:vAlign w:val="center"/>
          </w:tcPr>
          <w:p>
            <w:pPr>
              <w:jc w:val="center"/>
            </w:pPr>
            <w:r>
              <w:rPr>
                <w:rFonts w:ascii="Calibri" w:eastAsia="Calibri" w:hAnsi="Calibri" w:cs="Calibri"/>
                <w:b/>
                <w:bCs/>
                <w:color w:val="FFFFFF"/>
                <w:sz w:val="19"/>
                <w:szCs w:val="19"/>
              </w:rPr>
              <w:t xml:space="preserve">Pays concernés</w:t>
            </w:r>
          </w:p>
        </w:tc>
      </w:tr>
      <w:tr>
        <w:tc>
          <w:tcPr>
            <w:tcW w:w="3600"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pPr>
              <w:jc w:val="center"/>
            </w:pPr>
            <w:r>
              <w:rPr>
                <w:rFonts w:ascii="Calibri" w:eastAsia="Calibri" w:hAnsi="Calibri" w:cs="Calibri"/>
                <w:b/>
                <w:bCs/>
                <w:color w:val="15202B"/>
                <w:sz w:val="19"/>
                <w:szCs w:val="19"/>
              </w:rPr>
              <w:t xml:space="preserve">Français / Anglais</w:t>
            </w:r>
          </w:p>
        </w:tc>
        <w:tc>
          <w:tcPr>
            <w:tcW w:w="5900"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pPr/>
            <w:r>
              <w:rPr>
                <w:rFonts w:ascii="Calibri" w:eastAsia="Calibri" w:hAnsi="Calibri" w:cs="Calibri"/>
                <w:color w:val="15202B"/>
                <w:sz w:val="19"/>
                <w:szCs w:val="19"/>
              </w:rPr>
              <w:t xml:space="preserve">Cameroun, Gabon, Congo</w:t>
            </w:r>
          </w:p>
        </w:tc>
      </w:tr>
      <w:tr>
        <w:tc>
          <w:tcPr>
            <w:tcW w:w="3600" w:type="dxa"/>
            <w:tcBorders>
              <w:top w:val="single" w:sz="4" w:space="0" w:color="E8E4DA"/>
              <w:left w:val="single" w:sz="4" w:space="0" w:color="E8E4DA"/>
              <w:bottom w:val="single" w:sz="4" w:space="0" w:color="E8E4DA"/>
              <w:right w:val="single" w:sz="4" w:space="0" w:color="E8E4DA"/>
            </w:tcBorders>
            <w:shd w:val="clear" w:color="auto" w:fill="FFFFFF"/>
            <w:tcMar>
              <w:top w:w="90" w:type="dxa"/>
              <w:left w:w="120" w:type="dxa"/>
              <w:bottom w:w="90" w:type="dxa"/>
              <w:right w:w="120" w:type="dxa"/>
            </w:tcMar>
            <w:vAlign w:val="center"/>
          </w:tcPr>
          <w:p>
            <w:pPr>
              <w:jc w:val="center"/>
            </w:pPr>
            <w:r>
              <w:rPr>
                <w:rFonts w:ascii="Calibri" w:eastAsia="Calibri" w:hAnsi="Calibri" w:cs="Calibri"/>
                <w:b/>
                <w:bCs/>
                <w:color w:val="15202B"/>
                <w:sz w:val="19"/>
                <w:szCs w:val="19"/>
              </w:rPr>
              <w:t xml:space="preserve">Français / Arabe</w:t>
            </w:r>
          </w:p>
        </w:tc>
        <w:tc>
          <w:tcPr>
            <w:tcW w:w="5900" w:type="dxa"/>
            <w:tcBorders>
              <w:top w:val="single" w:sz="4" w:space="0" w:color="E8E4DA"/>
              <w:left w:val="single" w:sz="4" w:space="0" w:color="E8E4DA"/>
              <w:bottom w:val="single" w:sz="4" w:space="0" w:color="E8E4DA"/>
              <w:right w:val="single" w:sz="4" w:space="0" w:color="E8E4DA"/>
            </w:tcBorders>
            <w:shd w:val="clear" w:color="auto" w:fill="FFFFFF"/>
            <w:tcMar>
              <w:top w:w="90" w:type="dxa"/>
              <w:left w:w="120" w:type="dxa"/>
              <w:bottom w:w="90" w:type="dxa"/>
              <w:right w:w="120" w:type="dxa"/>
            </w:tcMar>
            <w:vAlign w:val="center"/>
          </w:tcPr>
          <w:p>
            <w:pPr/>
            <w:r>
              <w:rPr>
                <w:rFonts w:ascii="Calibri" w:eastAsia="Calibri" w:hAnsi="Calibri" w:cs="Calibri"/>
                <w:color w:val="15202B"/>
                <w:sz w:val="19"/>
                <w:szCs w:val="19"/>
              </w:rPr>
              <w:t xml:space="preserve">Tchad, Centrafrique</w:t>
            </w:r>
          </w:p>
        </w:tc>
      </w:tr>
      <w:tr>
        <w:tc>
          <w:tcPr>
            <w:tcW w:w="3600"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pPr>
              <w:jc w:val="center"/>
            </w:pPr>
            <w:r>
              <w:rPr>
                <w:rFonts w:ascii="Calibri" w:eastAsia="Calibri" w:hAnsi="Calibri" w:cs="Calibri"/>
                <w:b/>
                <w:bCs/>
                <w:color w:val="15202B"/>
                <w:sz w:val="19"/>
                <w:szCs w:val="19"/>
              </w:rPr>
              <w:t xml:space="preserve">Français / Espagnol</w:t>
            </w:r>
          </w:p>
        </w:tc>
        <w:tc>
          <w:tcPr>
            <w:tcW w:w="5900"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pPr/>
            <w:r>
              <w:rPr>
                <w:rFonts w:ascii="Calibri" w:eastAsia="Calibri" w:hAnsi="Calibri" w:cs="Calibri"/>
                <w:color w:val="15202B"/>
                <w:sz w:val="19"/>
                <w:szCs w:val="19"/>
              </w:rPr>
              <w:t xml:space="preserve">Guinée Équatoriale</w:t>
            </w:r>
          </w:p>
        </w:tc>
      </w:tr>
    </w:tbl>
    <w:p>
      <w:pPr>
        <w:spacing w:after="120"/>
      </w:pPr>
    </w:p>
    <w:p>
      <w:pPr>
        <w:spacing w:after="140"/>
      </w:pPr>
      <w:r>
        <w:rPr>
          <w:rFonts w:ascii="Calibri" w:eastAsia="Calibri" w:hAnsi="Calibri" w:cs="Calibri"/>
          <w:color w:val="15202B"/>
          <w:sz w:val="21"/>
          <w:szCs w:val="21"/>
        </w:rPr>
        <w:t xml:space="preserve">À la création d'une commande, la version linguistique se présélectionne automatiquement selon le pays choisi, tout en restant modifiable par l'utilisateur avant validation.</w:t>
      </w:r>
    </w:p>
    <w:p>
      <w:pPr>
        <w:spacing w:after="120"/>
      </w:pPr>
    </w:p>
    <w:p>
      <w:pPr>
        <w:spacing w:before="260" w:after="140"/>
      </w:pPr>
      <w:r>
        <w:rPr>
          <w:rFonts w:ascii="Calibri" w:eastAsia="Calibri" w:hAnsi="Calibri" w:cs="Calibri"/>
          <w:b/>
          <w:bCs/>
          <w:color w:val="0B6B3A"/>
          <w:sz w:val="26"/>
          <w:szCs w:val="26"/>
        </w:rPr>
        <w:t>9. Documents générés</w:t>
      </w:r>
    </w:p>
    <w:tbl>
      <w:tblPr>
        <w:tblW w:w="9500" w:type="dxa"/>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Look w:val="04A0"/>
      </w:tblPr>
      <w:tblGrid>
        <w:gridCol w:w="2600"/>
        <w:gridCol w:w="6900"/>
      </w:tblGrid>
      <w:tr>
        <w:tc>
          <w:tcPr>
            <w:tcW w:w="2600" w:type="dxa"/>
            <w:tcBorders>
              <w:top w:val="single" w:sz="4" w:space="0" w:color="E8E4DA"/>
              <w:left w:val="single" w:sz="4" w:space="0" w:color="E8E4DA"/>
              <w:bottom w:val="single" w:sz="4" w:space="0" w:color="E8E4DA"/>
              <w:right w:val="single" w:sz="4" w:space="0" w:color="E8E4DA"/>
            </w:tcBorders>
            <w:shd w:val="clear" w:color="auto" w:fill="0B6B3A"/>
            <w:tcMar>
              <w:top w:w="90" w:type="dxa"/>
              <w:left w:w="120" w:type="dxa"/>
              <w:bottom w:w="90" w:type="dxa"/>
              <w:right w:w="120" w:type="dxa"/>
            </w:tcMar>
            <w:vAlign w:val="center"/>
          </w:tcPr>
          <w:p>
            <w:pPr>
              <w:jc w:val="center"/>
            </w:pPr>
            <w:r>
              <w:rPr>
                <w:rFonts w:ascii="Calibri" w:eastAsia="Calibri" w:hAnsi="Calibri" w:cs="Calibri"/>
                <w:b/>
                <w:bCs/>
                <w:color w:val="FFFFFF"/>
                <w:sz w:val="19"/>
                <w:szCs w:val="19"/>
              </w:rPr>
              <w:t xml:space="preserve">Document</w:t>
            </w:r>
          </w:p>
        </w:tc>
        <w:tc>
          <w:tcPr>
            <w:tcW w:w="6900" w:type="dxa"/>
            <w:tcBorders>
              <w:top w:val="single" w:sz="4" w:space="0" w:color="E8E4DA"/>
              <w:left w:val="single" w:sz="4" w:space="0" w:color="E8E4DA"/>
              <w:bottom w:val="single" w:sz="4" w:space="0" w:color="E8E4DA"/>
              <w:right w:val="single" w:sz="4" w:space="0" w:color="E8E4DA"/>
            </w:tcBorders>
            <w:shd w:val="clear" w:color="auto" w:fill="0B6B3A"/>
            <w:tcMar>
              <w:top w:w="90" w:type="dxa"/>
              <w:left w:w="120" w:type="dxa"/>
              <w:bottom w:w="90" w:type="dxa"/>
              <w:right w:w="120" w:type="dxa"/>
            </w:tcMar>
            <w:vAlign w:val="center"/>
          </w:tcPr>
          <w:p>
            <w:pPr>
              <w:jc w:val="center"/>
            </w:pPr>
            <w:r>
              <w:rPr>
                <w:rFonts w:ascii="Calibri" w:eastAsia="Calibri" w:hAnsi="Calibri" w:cs="Calibri"/>
                <w:b/>
                <w:bCs/>
                <w:color w:val="FFFFFF"/>
                <w:sz w:val="19"/>
                <w:szCs w:val="19"/>
              </w:rPr>
              <w:t xml:space="preserve">Description</w:t>
            </w:r>
          </w:p>
        </w:tc>
      </w:tr>
      <w:tr>
        <w:tc>
          <w:tcPr>
            <w:tcW w:w="2600"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pPr>
              <w:jc w:val="center"/>
            </w:pPr>
            <w:r>
              <w:rPr>
                <w:rFonts w:ascii="Calibri" w:eastAsia="Calibri" w:hAnsi="Calibri" w:cs="Calibri"/>
                <w:b/>
                <w:bCs/>
                <w:color w:val="15202B"/>
                <w:sz w:val="19"/>
                <w:szCs w:val="19"/>
              </w:rPr>
              <w:t xml:space="preserve">Passeport (PPB)</w:t>
            </w:r>
          </w:p>
        </w:tc>
        <w:tc>
          <w:tcPr>
            <w:tcW w:w="6900"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pPr/>
            <w:r>
              <w:rPr>
                <w:rFonts w:ascii="Calibri" w:eastAsia="Calibri" w:hAnsi="Calibri" w:cs="Calibri"/>
                <w:color w:val="15202B"/>
                <w:sz w:val="19"/>
                <w:szCs w:val="19"/>
              </w:rPr>
              <w:t xml:space="preserve">4 pages A5 recto-verso, QR code, cachet en page 1, numéro de commande en pied de page</w:t>
            </w:r>
          </w:p>
        </w:tc>
      </w:tr>
      <w:tr>
        <w:tc>
          <w:tcPr>
            <w:tcW w:w="2600" w:type="dxa"/>
            <w:tcBorders>
              <w:top w:val="single" w:sz="4" w:space="0" w:color="E8E4DA"/>
              <w:left w:val="single" w:sz="4" w:space="0" w:color="E8E4DA"/>
              <w:bottom w:val="single" w:sz="4" w:space="0" w:color="E8E4DA"/>
              <w:right w:val="single" w:sz="4" w:space="0" w:color="E8E4DA"/>
            </w:tcBorders>
            <w:shd w:val="clear" w:color="auto" w:fill="FFFFFF"/>
            <w:tcMar>
              <w:top w:w="90" w:type="dxa"/>
              <w:left w:w="120" w:type="dxa"/>
              <w:bottom w:w="90" w:type="dxa"/>
              <w:right w:w="120" w:type="dxa"/>
            </w:tcMar>
            <w:vAlign w:val="center"/>
          </w:tcPr>
          <w:p>
            <w:pPr>
              <w:jc w:val="center"/>
            </w:pPr>
            <w:r>
              <w:rPr>
                <w:rFonts w:ascii="Calibri" w:eastAsia="Calibri" w:hAnsi="Calibri" w:cs="Calibri"/>
                <w:b/>
                <w:bCs/>
                <w:color w:val="15202B"/>
                <w:sz w:val="19"/>
                <w:szCs w:val="19"/>
              </w:rPr>
              <w:t xml:space="preserve">Bon de commande</w:t>
            </w:r>
          </w:p>
        </w:tc>
        <w:tc>
          <w:tcPr>
            <w:tcW w:w="6900" w:type="dxa"/>
            <w:tcBorders>
              <w:top w:val="single" w:sz="4" w:space="0" w:color="E8E4DA"/>
              <w:left w:val="single" w:sz="4" w:space="0" w:color="E8E4DA"/>
              <w:bottom w:val="single" w:sz="4" w:space="0" w:color="E8E4DA"/>
              <w:right w:val="single" w:sz="4" w:space="0" w:color="E8E4DA"/>
            </w:tcBorders>
            <w:shd w:val="clear" w:color="auto" w:fill="FFFFFF"/>
            <w:tcMar>
              <w:top w:w="90" w:type="dxa"/>
              <w:left w:w="120" w:type="dxa"/>
              <w:bottom w:w="90" w:type="dxa"/>
              <w:right w:w="120" w:type="dxa"/>
            </w:tcMar>
            <w:vAlign w:val="center"/>
          </w:tcPr>
          <w:p>
            <w:pPr/>
            <w:r>
              <w:rPr>
                <w:rFonts w:ascii="Calibri" w:eastAsia="Calibri" w:hAnsi="Calibri" w:cs="Calibri"/>
                <w:color w:val="15202B"/>
                <w:sz w:val="19"/>
                <w:szCs w:val="19"/>
              </w:rPr>
              <w:t xml:space="preserve">Émis dès la création de la commande — quantité, prix, coordonnées bancaires (RIB)</w:t>
            </w:r>
          </w:p>
        </w:tc>
      </w:tr>
      <w:tr>
        <w:tc>
          <w:tcPr>
            <w:tcW w:w="2600"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pPr>
              <w:jc w:val="center"/>
            </w:pPr>
            <w:r>
              <w:rPr>
                <w:rFonts w:ascii="Calibri" w:eastAsia="Calibri" w:hAnsi="Calibri" w:cs="Calibri"/>
                <w:b/>
                <w:bCs/>
                <w:color w:val="15202B"/>
                <w:sz w:val="19"/>
                <w:szCs w:val="19"/>
              </w:rPr>
              <w:t xml:space="preserve">Facture proforma</w:t>
            </w:r>
          </w:p>
        </w:tc>
        <w:tc>
          <w:tcPr>
            <w:tcW w:w="6900"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pPr/>
            <w:r>
              <w:rPr>
                <w:rFonts w:ascii="Calibri" w:eastAsia="Calibri" w:hAnsi="Calibri" w:cs="Calibri"/>
                <w:color w:val="15202B"/>
                <w:sz w:val="19"/>
                <w:szCs w:val="19"/>
              </w:rPr>
              <w:t xml:space="preserve">Émise avec le bon de commande, avant règlement</w:t>
            </w:r>
          </w:p>
        </w:tc>
      </w:tr>
      <w:tr>
        <w:tc>
          <w:tcPr>
            <w:tcW w:w="2600" w:type="dxa"/>
            <w:tcBorders>
              <w:top w:val="single" w:sz="4" w:space="0" w:color="E8E4DA"/>
              <w:left w:val="single" w:sz="4" w:space="0" w:color="E8E4DA"/>
              <w:bottom w:val="single" w:sz="4" w:space="0" w:color="E8E4DA"/>
              <w:right w:val="single" w:sz="4" w:space="0" w:color="E8E4DA"/>
            </w:tcBorders>
            <w:shd w:val="clear" w:color="auto" w:fill="FFFFFF"/>
            <w:tcMar>
              <w:top w:w="90" w:type="dxa"/>
              <w:left w:w="120" w:type="dxa"/>
              <w:bottom w:w="90" w:type="dxa"/>
              <w:right w:w="120" w:type="dxa"/>
            </w:tcMar>
            <w:vAlign w:val="center"/>
          </w:tcPr>
          <w:p>
            <w:pPr>
              <w:jc w:val="center"/>
            </w:pPr>
            <w:r>
              <w:rPr>
                <w:rFonts w:ascii="Calibri" w:eastAsia="Calibri" w:hAnsi="Calibri" w:cs="Calibri"/>
                <w:b/>
                <w:bCs/>
                <w:color w:val="15202B"/>
                <w:sz w:val="19"/>
                <w:szCs w:val="19"/>
              </w:rPr>
              <w:t xml:space="preserve">Facture définitive</w:t>
            </w:r>
          </w:p>
        </w:tc>
        <w:tc>
          <w:tcPr>
            <w:tcW w:w="6900" w:type="dxa"/>
            <w:tcBorders>
              <w:top w:val="single" w:sz="4" w:space="0" w:color="E8E4DA"/>
              <w:left w:val="single" w:sz="4" w:space="0" w:color="E8E4DA"/>
              <w:bottom w:val="single" w:sz="4" w:space="0" w:color="E8E4DA"/>
              <w:right w:val="single" w:sz="4" w:space="0" w:color="E8E4DA"/>
            </w:tcBorders>
            <w:shd w:val="clear" w:color="auto" w:fill="FFFFFF"/>
            <w:tcMar>
              <w:top w:w="90" w:type="dxa"/>
              <w:left w:w="120" w:type="dxa"/>
              <w:bottom w:w="90" w:type="dxa"/>
              <w:right w:w="120" w:type="dxa"/>
            </w:tcMar>
            <w:vAlign w:val="center"/>
          </w:tcPr>
          <w:p>
            <w:pPr/>
            <w:r>
              <w:rPr>
                <w:rFonts w:ascii="Calibri" w:eastAsia="Calibri" w:hAnsi="Calibri" w:cs="Calibri"/>
                <w:color w:val="15202B"/>
                <w:sz w:val="19"/>
                <w:szCs w:val="19"/>
              </w:rPr>
              <w:t xml:space="preserve">Même document, intitulé automatiquement mis à jour dès le paiement validé</w:t>
            </w:r>
          </w:p>
        </w:tc>
      </w:tr>
    </w:tbl>
    <w:p>
      <w:pPr>
        <w:spacing w:after="120"/>
      </w:pPr>
    </w:p>
    <w:p>
      <w:pPr>
        <w:spacing w:before="260" w:after="140"/>
      </w:pPr>
      <w:r>
        <w:rPr>
          <w:rFonts w:ascii="Calibri" w:eastAsia="Calibri" w:hAnsi="Calibri" w:cs="Calibri"/>
          <w:b/>
          <w:bCs/>
          <w:color w:val="0B6B3A"/>
          <w:sz w:val="26"/>
          <w:szCs w:val="26"/>
        </w:rPr>
        <w:t>10. Personnalisation de la plateforme</w:t>
      </w:r>
    </w:p>
    <w:p>
      <w:pPr>
        <w:spacing w:after="140"/>
      </w:pPr>
      <w:r>
        <w:rPr>
          <w:rFonts w:ascii="Calibri" w:eastAsia="Calibri" w:hAnsi="Calibri" w:cs="Calibri"/>
          <w:color w:val="15202B"/>
          <w:sz w:val="21"/>
          <w:szCs w:val="21"/>
        </w:rPr>
        <w:t xml:space="preserve">L'identité visuelle (nom, couleurs, logo, icône) est personnalisable indépendamment pour trois zones :</w:t>
      </w:r>
    </w:p>
    <w:tbl>
      <w:tblPr>
        <w:tblW w:w="9500" w:type="dxa"/>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Look w:val="04A0"/>
      </w:tblPr>
      <w:tblGrid>
        <w:gridCol w:w="2200"/>
        <w:gridCol w:w="7300"/>
      </w:tblGrid>
      <w:tr>
        <w:tc>
          <w:tcPr>
            <w:tcW w:w="2200" w:type="dxa"/>
            <w:tcBorders>
              <w:top w:val="single" w:sz="4" w:space="0" w:color="E8E4DA"/>
              <w:left w:val="single" w:sz="4" w:space="0" w:color="E8E4DA"/>
              <w:bottom w:val="single" w:sz="4" w:space="0" w:color="E8E4DA"/>
              <w:right w:val="single" w:sz="4" w:space="0" w:color="E8E4DA"/>
            </w:tcBorders>
            <w:shd w:val="clear" w:color="auto" w:fill="0B6B3A"/>
            <w:tcMar>
              <w:top w:w="90" w:type="dxa"/>
              <w:left w:w="120" w:type="dxa"/>
              <w:bottom w:w="90" w:type="dxa"/>
              <w:right w:w="120" w:type="dxa"/>
            </w:tcMar>
            <w:vAlign w:val="center"/>
          </w:tcPr>
          <w:p>
            <w:pPr>
              <w:jc w:val="center"/>
            </w:pPr>
            <w:r>
              <w:rPr>
                <w:rFonts w:ascii="Calibri" w:eastAsia="Calibri" w:hAnsi="Calibri" w:cs="Calibri"/>
                <w:b/>
                <w:bCs/>
                <w:color w:val="FFFFFF"/>
                <w:sz w:val="19"/>
                <w:szCs w:val="19"/>
              </w:rPr>
              <w:t xml:space="preserve">Zone</w:t>
            </w:r>
          </w:p>
        </w:tc>
        <w:tc>
          <w:tcPr>
            <w:tcW w:w="7300" w:type="dxa"/>
            <w:tcBorders>
              <w:top w:val="single" w:sz="4" w:space="0" w:color="E8E4DA"/>
              <w:left w:val="single" w:sz="4" w:space="0" w:color="E8E4DA"/>
              <w:bottom w:val="single" w:sz="4" w:space="0" w:color="E8E4DA"/>
              <w:right w:val="single" w:sz="4" w:space="0" w:color="E8E4DA"/>
            </w:tcBorders>
            <w:shd w:val="clear" w:color="auto" w:fill="0B6B3A"/>
            <w:tcMar>
              <w:top w:w="90" w:type="dxa"/>
              <w:left w:w="120" w:type="dxa"/>
              <w:bottom w:w="90" w:type="dxa"/>
              <w:right w:w="120" w:type="dxa"/>
            </w:tcMar>
            <w:vAlign w:val="center"/>
          </w:tcPr>
          <w:p>
            <w:pPr>
              <w:jc w:val="center"/>
            </w:pPr>
            <w:r>
              <w:rPr>
                <w:rFonts w:ascii="Calibri" w:eastAsia="Calibri" w:hAnsi="Calibri" w:cs="Calibri"/>
                <w:b/>
                <w:bCs/>
                <w:color w:val="FFFFFF"/>
                <w:sz w:val="19"/>
                <w:szCs w:val="19"/>
              </w:rPr>
              <w:t xml:space="preserve">Périmètre</w:t>
            </w:r>
          </w:p>
        </w:tc>
      </w:tr>
      <w:tr>
        <w:tc>
          <w:tcPr>
            <w:tcW w:w="2200"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pPr>
              <w:jc w:val="center"/>
            </w:pPr>
            <w:r>
              <w:rPr>
                <w:rFonts w:ascii="Calibri" w:eastAsia="Calibri" w:hAnsi="Calibri" w:cs="Calibri"/>
                <w:b/>
                <w:bCs/>
                <w:color w:val="15202B"/>
                <w:sz w:val="19"/>
                <w:szCs w:val="19"/>
              </w:rPr>
              <w:t xml:space="preserve">Global</w:t>
            </w:r>
          </w:p>
        </w:tc>
        <w:tc>
          <w:tcPr>
            <w:tcW w:w="7300"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pPr/>
            <w:r>
              <w:rPr>
                <w:rFonts w:ascii="Calibri" w:eastAsia="Calibri" w:hAnsi="Calibri" w:cs="Calibri"/>
                <w:color w:val="15202B"/>
                <w:sz w:val="19"/>
                <w:szCs w:val="19"/>
              </w:rPr>
              <w:t xml:space="preserve">Reste de la plateforme web (Commandes, Paiements, Administration, Statistiques…)</w:t>
            </w:r>
          </w:p>
        </w:tc>
      </w:tr>
      <w:tr>
        <w:tc>
          <w:tcPr>
            <w:tcW w:w="2200" w:type="dxa"/>
            <w:tcBorders>
              <w:top w:val="single" w:sz="4" w:space="0" w:color="E8E4DA"/>
              <w:left w:val="single" w:sz="4" w:space="0" w:color="E8E4DA"/>
              <w:bottom w:val="single" w:sz="4" w:space="0" w:color="E8E4DA"/>
              <w:right w:val="single" w:sz="4" w:space="0" w:color="E8E4DA"/>
            </w:tcBorders>
            <w:shd w:val="clear" w:color="auto" w:fill="FFFFFF"/>
            <w:tcMar>
              <w:top w:w="90" w:type="dxa"/>
              <w:left w:w="120" w:type="dxa"/>
              <w:bottom w:w="90" w:type="dxa"/>
              <w:right w:w="120" w:type="dxa"/>
            </w:tcMar>
            <w:vAlign w:val="center"/>
          </w:tcPr>
          <w:p>
            <w:pPr>
              <w:jc w:val="center"/>
            </w:pPr>
            <w:r>
              <w:rPr>
                <w:rFonts w:ascii="Calibri" w:eastAsia="Calibri" w:hAnsi="Calibri" w:cs="Calibri"/>
                <w:b/>
                <w:bCs/>
                <w:color w:val="15202B"/>
                <w:sz w:val="19"/>
                <w:szCs w:val="19"/>
              </w:rPr>
              <w:t xml:space="preserve">Émission</w:t>
            </w:r>
          </w:p>
        </w:tc>
        <w:tc>
          <w:tcPr>
            <w:tcW w:w="7300" w:type="dxa"/>
            <w:tcBorders>
              <w:top w:val="single" w:sz="4" w:space="0" w:color="E8E4DA"/>
              <w:left w:val="single" w:sz="4" w:space="0" w:color="E8E4DA"/>
              <w:bottom w:val="single" w:sz="4" w:space="0" w:color="E8E4DA"/>
              <w:right w:val="single" w:sz="4" w:space="0" w:color="E8E4DA"/>
            </w:tcBorders>
            <w:shd w:val="clear" w:color="auto" w:fill="FFFFFF"/>
            <w:tcMar>
              <w:top w:w="90" w:type="dxa"/>
              <w:left w:w="120" w:type="dxa"/>
              <w:bottom w:w="90" w:type="dxa"/>
              <w:right w:w="120" w:type="dxa"/>
            </w:tcMar>
            <w:vAlign w:val="center"/>
          </w:tcPr>
          <w:p>
            <w:pPr/>
            <w:r>
              <w:rPr>
                <w:rFonts w:ascii="Calibri" w:eastAsia="Calibri" w:hAnsi="Calibri" w:cs="Calibri"/>
                <w:color w:val="15202B"/>
                <w:sz w:val="19"/>
                <w:szCs w:val="19"/>
              </w:rPr>
              <w:t xml:space="preserve">Écrans d'émission de l'application mobile terrain</w:t>
            </w:r>
          </w:p>
        </w:tc>
      </w:tr>
      <w:tr>
        <w:tc>
          <w:tcPr>
            <w:tcW w:w="2200"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pPr>
              <w:jc w:val="center"/>
            </w:pPr>
            <w:r>
              <w:rPr>
                <w:rFonts w:ascii="Calibri" w:eastAsia="Calibri" w:hAnsi="Calibri" w:cs="Calibri"/>
                <w:b/>
                <w:bCs/>
                <w:color w:val="15202B"/>
                <w:sz w:val="19"/>
                <w:szCs w:val="19"/>
              </w:rPr>
              <w:t xml:space="preserve">Contrôle</w:t>
            </w:r>
          </w:p>
        </w:tc>
        <w:tc>
          <w:tcPr>
            <w:tcW w:w="7300" w:type="dxa"/>
            <w:tcBorders>
              <w:top w:val="single" w:sz="4" w:space="0" w:color="E8E4DA"/>
              <w:left w:val="single" w:sz="4" w:space="0" w:color="E8E4DA"/>
              <w:bottom w:val="single" w:sz="4" w:space="0" w:color="E8E4DA"/>
              <w:right w:val="single" w:sz="4" w:space="0" w:color="E8E4DA"/>
            </w:tcBorders>
            <w:shd w:val="clear" w:color="auto" w:fill="EAF3EC"/>
            <w:tcMar>
              <w:top w:w="90" w:type="dxa"/>
              <w:left w:w="120" w:type="dxa"/>
              <w:bottom w:w="90" w:type="dxa"/>
              <w:right w:w="120" w:type="dxa"/>
            </w:tcMar>
            <w:vAlign w:val="center"/>
          </w:tcPr>
          <w:p>
            <w:pPr/>
            <w:r>
              <w:rPr>
                <w:rFonts w:ascii="Calibri" w:eastAsia="Calibri" w:hAnsi="Calibri" w:cs="Calibri"/>
                <w:color w:val="15202B"/>
                <w:sz w:val="19"/>
                <w:szCs w:val="19"/>
              </w:rPr>
              <w:t xml:space="preserve">Écran de contrôle frontière — partagé entre le web et le mobile</w:t>
            </w:r>
          </w:p>
        </w:tc>
      </w:tr>
    </w:tbl>
    <w:p>
      <w:pPr>
        <w:spacing w:after="120"/>
      </w:pPr>
    </w:p>
    <w:p>
      <w:pPr>
        <w:spacing w:after="140"/>
      </w:pPr>
      <w:r>
        <w:rPr>
          <w:rFonts w:ascii="Calibri" w:eastAsia="Calibri" w:hAnsi="Calibri" w:cs="Calibri"/>
          <w:color w:val="15202B"/>
          <w:sz w:val="21"/>
          <w:szCs w:val="21"/>
        </w:rPr>
        <w:t xml:space="preserve">Une zone qui n'a jamais été personnalisée reprend automatiquement l'apparence de la zone globale, sans action requise.</w:t>
      </w:r>
    </w:p>
    <w:p>
      <w:pPr>
        <w:spacing w:after="120"/>
      </w:pPr>
    </w:p>
    <w:p>
      <w:pPr>
        <w:spacing w:before="260" w:after="140"/>
      </w:pPr>
      <w:r>
        <w:rPr>
          <w:rFonts w:ascii="Calibri" w:eastAsia="Calibri" w:hAnsi="Calibri" w:cs="Calibri"/>
          <w:b/>
          <w:bCs/>
          <w:color w:val="0B6B3A"/>
          <w:sz w:val="26"/>
          <w:szCs w:val="26"/>
        </w:rPr>
        <w:t>11. Notifications</w:t>
      </w:r>
    </w:p>
    <w:p>
      <w:pPr>
        <w:spacing w:after="140"/>
      </w:pPr>
      <w:r>
        <w:rPr>
          <w:rFonts w:ascii="Calibri" w:eastAsia="Calibri" w:hAnsi="Calibri" w:cs="Calibri"/>
          <w:color w:val="15202B"/>
          <w:sz w:val="21"/>
          <w:szCs w:val="21"/>
        </w:rPr>
        <w:t xml:space="preserve">Les évènements nécessitant une action d'un Super Administrateur (typiquement une nouvelle commande en attente de validation) déclenchent une double notification : une cloche dans l'interface web, et un email envoyé via l'API HTTPS d'un service transactionnel externe.</w:t>
      </w:r>
    </w:p>
    <w:p>
      <w:pPr>
        <w:spacing w:after="120"/>
      </w:pPr>
    </w:p>
    <w:p>
      <w:pPr>
        <w:spacing w:before="260" w:after="140"/>
      </w:pPr>
      <w:r>
        <w:rPr>
          <w:rFonts w:ascii="Calibri" w:eastAsia="Calibri" w:hAnsi="Calibri" w:cs="Calibri"/>
          <w:b/>
          <w:bCs/>
          <w:color w:val="0B6B3A"/>
          <w:sz w:val="26"/>
          <w:szCs w:val="26"/>
        </w:rPr>
        <w:t>12. Points d'attention et recommandations</w:t>
      </w:r>
    </w:p>
    <w:p>
      <w:pPr>
        <w:spacing w:before="180" w:after="80"/>
      </w:pPr>
      <w:r>
        <w:rPr>
          <w:rFonts w:ascii="Calibri" w:eastAsia="Calibri" w:hAnsi="Calibri" w:cs="Calibri"/>
          <w:b/>
          <w:bCs/>
          <w:color w:val="B8860B"/>
          <w:sz w:val="22"/>
          <w:szCs w:val="22"/>
        </w:rPr>
        <w:t>12.1 Fiabilité de la lecture automatique (OCR)</w:t>
      </w:r>
    </w:p>
    <w:p>
      <w:pPr>
        <w:spacing w:after="140"/>
      </w:pPr>
      <w:r>
        <w:rPr>
          <w:rFonts w:ascii="Calibri" w:eastAsia="Calibri" w:hAnsi="Calibri" w:cs="Calibri"/>
          <w:color w:val="15202B"/>
          <w:sz w:val="21"/>
          <w:szCs w:val="21"/>
        </w:rPr>
        <w:t xml:space="preserve">La lecture automatique de l'écriture manuscrite reste, en pratique, peu fiable — la qualité de l'écriture, l'éclairage et le cadrage de la photo y contribuent tous. La lecture la plus fiable disponible (service Google Vision) nécessite en outre une connexion internet et un abonnement payant, proportionnel au volume de photos traitées. Il est recommandé de considérer la lecture automatique comme une aide ponctuelle plutôt qu'un mécanisme central, et de privilégier la saisie manuelle directe par l'agent.</w:t>
      </w:r>
    </w:p>
    <w:p>
      <w:pPr>
        <w:spacing w:before="180" w:after="80"/>
      </w:pPr>
      <w:r>
        <w:rPr>
          <w:rFonts w:ascii="Calibri" w:eastAsia="Calibri" w:hAnsi="Calibri" w:cs="Calibri"/>
          <w:b/>
          <w:bCs/>
          <w:color w:val="B8860B"/>
          <w:sz w:val="22"/>
          <w:szCs w:val="22"/>
        </w:rPr>
        <w:t>12.2 Paiement en ligne</w:t>
      </w:r>
    </w:p>
    <w:p>
      <w:pPr>
        <w:spacing w:after="140"/>
      </w:pPr>
      <w:r>
        <w:rPr>
          <w:rFonts w:ascii="Calibri" w:eastAsia="Calibri" w:hAnsi="Calibri" w:cs="Calibri"/>
          <w:color w:val="15202B"/>
          <w:sz w:val="21"/>
          <w:szCs w:val="21"/>
        </w:rPr>
        <w:t xml:space="preserve">Le document de conception initial avait retenu CinetPay comme prestataire de paiement en ligne pour la zone CEMAC, pour sa couverture sous-régionale annoncée (Cameroun, Tchad, Congo explicitement couverts), son intégration technique simple (API REST, webhooks signés) et sa page de paiement hébergée, évitant à la plateforme de manipuler la moindre donnée bancaire. Depuis, la couverture effectivement proposée par CinetPay s'est restreinte au seul Cameroun. En attendant la confirmation d'un autre prestataire à couverture réellement sous-régionale, les paiements restent gérés de façon présentielle — un circuit pleinement fonctionnel dès aujourd'hui, indépendant de cette question, et prévu dès la conception comme voie de secours équivalente.</w:t>
      </w:r>
    </w:p>
    <w:p>
      <w:pPr>
        <w:spacing w:after="120"/>
      </w:pPr>
    </w:p>
    <w:p>
      <w:pPr>
        <w:spacing w:before="260" w:after="140"/>
      </w:pPr>
      <w:r>
        <w:rPr>
          <w:rFonts w:ascii="Calibri" w:eastAsia="Calibri" w:hAnsi="Calibri" w:cs="Calibri"/>
          <w:b/>
          <w:bCs/>
          <w:color w:val="0B6B3A"/>
          <w:sz w:val="26"/>
          <w:szCs w:val="26"/>
        </w:rPr>
        <w:t>13. Infrastructure de déploiement</w:t>
      </w:r>
    </w:p>
    <w:p>
      <w:pPr>
        <w:spacing w:after="140"/>
      </w:pPr>
      <w:r>
        <w:rPr>
          <w:rFonts w:ascii="Calibri" w:eastAsia="Calibri" w:hAnsi="Calibri" w:cs="Calibri"/>
          <w:color w:val="15202B"/>
          <w:sz w:val="21"/>
          <w:szCs w:val="21"/>
        </w:rPr>
        <w:t xml:space="preserve">Le document d'architecture initial envisageait un hébergement chez OVHcloud. Le déploiement effectif de la plateforme retient finalement Railway : chacune des trois applications (Web Admin, Mobile Émission, et le backend API commun) est hébergée dans son propre service conteneurisé (Docker), avec un domaine dédié et un certificat HTTPS géré automatiquement par la plateforme d'hébergement. Le déploiement se fait en continu depuis le dépôt de code source.</w:t>
      </w:r>
    </w:p>
    <w:p>
      <w:pPr>
        <w:spacing w:after="140"/>
      </w:pPr>
      <w:r>
        <w:rPr>
          <w:rFonts w:ascii="Calibri" w:eastAsia="Calibri" w:hAnsi="Calibri" w:cs="Calibri"/>
          <w:color w:val="15202B"/>
          <w:sz w:val="21"/>
          <w:szCs w:val="21"/>
        </w:rPr>
        <w:t xml:space="preserve">La plateforme web et l'application mobile sont toutes deux des Progressive Web Apps (PWA) : elles peuvent être ajoutées à l'écran d'accueil d'un téléphone et fonctionnent alors comme une application native. Les mises à jour du service worker (mécanisme technique propre aux PWA) suivent des règles de cache HTTP strictes, pour garantir qu'un nouveau déploiement atteigne effectivement les appareils des utilisateurs sans délai.</w:t>
      </w:r>
    </w:p>
    <w:p>
      <w:pPr>
        <w:spacing w:before="180" w:after="80"/>
      </w:pPr>
      <w:r>
        <w:rPr>
          <w:rFonts w:ascii="Calibri" w:eastAsia="Calibri" w:hAnsi="Calibri" w:cs="Calibri"/>
          <w:b/>
          <w:bCs/>
          <w:color w:val="B8860B"/>
          <w:sz w:val="22"/>
          <w:szCs w:val="22"/>
        </w:rPr>
        <w:t>13.1 Continuité de service</w:t>
      </w:r>
    </w:p>
    <w:p>
      <w:pPr>
        <w:pStyle w:val="Paragraphedeliste"/>
        <w:numPr>
          <w:ilvl w:val="0"/>
          <w:numId w:val="1"/>
        </w:numPr>
        <w:spacing w:after="70"/>
      </w:pPr>
      <w:r>
        <w:rPr>
          <w:rFonts w:ascii="Calibri" w:eastAsia="Calibri" w:hAnsi="Calibri" w:cs="Calibri"/>
          <w:color w:val="15202B"/>
          <w:sz w:val="21"/>
          <w:szCs w:val="21"/>
        </w:rPr>
        <w:t xml:space="preserve">Sauvegardes automatiques de la base de données.</w:t>
      </w:r>
    </w:p>
    <w:p>
      <w:pPr>
        <w:pStyle w:val="Paragraphedeliste"/>
        <w:numPr>
          <w:ilvl w:val="0"/>
          <w:numId w:val="1"/>
        </w:numPr>
        <w:spacing w:after="70"/>
      </w:pPr>
      <w:r>
        <w:rPr>
          <w:rFonts w:ascii="Calibri" w:eastAsia="Calibri" w:hAnsi="Calibri" w:cs="Calibri"/>
          <w:color w:val="15202B"/>
          <w:sz w:val="21"/>
          <w:szCs w:val="21"/>
        </w:rPr>
        <w:t xml:space="preserve">La conception hors-ligne des applications terrain constitue elle-même un filet de continuité : une panne côté siège n'interrompt pas l'émission ni le contrôle en cours sur le terrain.</w:t>
      </w:r>
    </w:p>
    <w:p>
      <w:pPr>
        <w:spacing w:after="120"/>
      </w:pPr>
    </w:p>
    <w:p>
      <w:pPr>
        <w:spacing w:before="260" w:after="140"/>
      </w:pPr>
      <w:r>
        <w:rPr>
          <w:rFonts w:ascii="Calibri" w:eastAsia="Calibri" w:hAnsi="Calibri" w:cs="Calibri"/>
          <w:b/>
          <w:bCs/>
          <w:color w:val="0B6B3A"/>
          <w:sz w:val="26"/>
          <w:szCs w:val="26"/>
        </w:rPr>
        <w:t>14. Conclusion et perspectives</w:t>
      </w:r>
    </w:p>
    <w:p>
      <w:pPr>
        <w:spacing w:after="140"/>
      </w:pPr>
      <w:r>
        <w:rPr>
          <w:rFonts w:ascii="Calibri" w:eastAsia="Calibri" w:hAnsi="Calibri" w:cs="Calibri"/>
          <w:color w:val="15202B"/>
          <w:sz w:val="21"/>
          <w:szCs w:val="21"/>
        </w:rPr>
        <w:t xml:space="preserve">La plateforme couvre aujourd'hui l'ensemble du cycle de vie du Passeport Pour Bétail — de la commande par un pays jusqu'au contrôle aux frontières, en passant par le paiement, l'impression et l'émission sur le terrain — avec des mécanismes de sécurité et de traçabilité intégrés à chaque étape, conformes aux principes directeurs fixés dès la phase de conception. Les deux limitations identifiées (fiabilité de la lecture automatique, couverture du paiement en ligne) sont documentées et n'empêchent pas le fonctionnement du dispositif, qui repose déjà sur des circuits de repli robustes (saisie manuelle, paiement présentiel). Les recommandations formulées par la CEBEVIRHA lors de la présentation du 3 septembre 2026 ont été intégrées à la plateforme.</w:t>
      </w:r>
    </w:p>
    <w:p>
      <w:pPr>
        <w:spacing w:after="200"/>
      </w:pPr>
    </w:p>
    <w:p>
      <w:pPr>
        <w:spacing w:after="140"/>
      </w:pPr>
      <w:r>
        <w:rPr>
          <w:rFonts w:ascii="Calibri" w:eastAsia="Calibri" w:hAnsi="Calibri" w:cs="Calibri"/>
          <w:color w:val="15202B"/>
          <w:sz w:val="21"/>
          <w:szCs w:val="21"/>
        </w:rPr>
        <w:t xml:space="preserve">Rédigé par : BRAHIM ABDELKHANI ISMAIL, Consultant</w:t>
      </w:r>
    </w:p>
    <w:sectPr w:rsidR="00B00572">
      <w:headerReference w:type="default" r:id="rId7"/>
      <w:footerReference w:type="default" r:id="rId8"/>
      <w:pgSz w:w="11906" w:h="16838"/>
      <w:pgMar w:top="1000" w:right="1000" w:bottom="1000" w:left="1000" w:header="708" w:footer="50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E7FA9" w:rsidRDefault="00EE7FA9">
      <w:r>
        <w:separator/>
      </w:r>
    </w:p>
  </w:endnote>
  <w:endnote w:type="continuationSeparator" w:id="0">
    <w:p w:rsidR="00EE7FA9" w:rsidRDefault="00EE7F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0572" w:rsidRDefault="008B2FD9">
    <w:pPr>
      <w:pBdr>
        <w:top w:val="single" w:sz="6" w:space="0" w:color="0B6B3A"/>
      </w:pBdr>
      <w:tabs>
        <w:tab w:val="center" w:pos="4953"/>
        <w:tab w:val="right" w:pos="9906"/>
      </w:tabs>
      <w:spacing w:before="100"/>
    </w:pPr>
    <w:r>
      <w:rPr>
        <w:rFonts w:ascii="Calibri" w:eastAsia="Calibri" w:hAnsi="Calibri" w:cs="Calibri"/>
        <w:color w:val="5A6575"/>
        <w:sz w:val="16"/>
        <w:szCs w:val="16"/>
      </w:rPr>
      <w:t>Rapport technique — Plateforme PPB</w:t>
    </w:r>
    <w:r>
      <w:rPr>
        <w:rFonts w:ascii="Calibri" w:eastAsia="Calibri" w:hAnsi="Calibri" w:cs="Calibri"/>
        <w:color w:val="5A6575"/>
        <w:sz w:val="16"/>
        <w:szCs w:val="16"/>
      </w:rPr>
      <w:tab/>
      <w:t xml:space="preserve">Page </w:t>
    </w:r>
    <w:r>
      <w:rPr>
        <w:rFonts w:ascii="Calibri" w:eastAsia="Calibri" w:hAnsi="Calibri" w:cs="Calibri"/>
        <w:b/>
        <w:bCs/>
        <w:color w:val="5A6575"/>
        <w:sz w:val="16"/>
        <w:szCs w:val="16"/>
      </w:rPr>
      <w:fldChar w:fldCharType="begin"/>
    </w:r>
    <w:r>
      <w:rPr>
        <w:rFonts w:ascii="Calibri" w:eastAsia="Calibri" w:hAnsi="Calibri" w:cs="Calibri"/>
        <w:b/>
        <w:bCs/>
        <w:color w:val="5A6575"/>
        <w:sz w:val="16"/>
        <w:szCs w:val="16"/>
      </w:rPr>
      <w:instrText>PAGE</w:instrText>
    </w:r>
    <w:r>
      <w:rPr>
        <w:rFonts w:ascii="Calibri" w:eastAsia="Calibri" w:hAnsi="Calibri" w:cs="Calibri"/>
        <w:b/>
        <w:bCs/>
        <w:color w:val="5A6575"/>
        <w:sz w:val="16"/>
        <w:szCs w:val="16"/>
      </w:rPr>
      <w:fldChar w:fldCharType="separate"/>
    </w:r>
    <w:r w:rsidR="00397E4E">
      <w:rPr>
        <w:rFonts w:ascii="Calibri" w:eastAsia="Calibri" w:hAnsi="Calibri" w:cs="Calibri"/>
        <w:b/>
        <w:bCs/>
        <w:noProof/>
        <w:color w:val="5A6575"/>
        <w:sz w:val="16"/>
        <w:szCs w:val="16"/>
      </w:rPr>
      <w:t>3</w:t>
    </w:r>
    <w:r>
      <w:rPr>
        <w:rFonts w:ascii="Calibri" w:eastAsia="Calibri" w:hAnsi="Calibri" w:cs="Calibri"/>
        <w:b/>
        <w:bCs/>
        <w:color w:val="5A6575"/>
        <w:sz w:val="16"/>
        <w:szCs w:val="16"/>
      </w:rPr>
      <w:fldChar w:fldCharType="end"/>
    </w:r>
    <w:r>
      <w:rPr>
        <w:rFonts w:ascii="Calibri" w:eastAsia="Calibri" w:hAnsi="Calibri" w:cs="Calibri"/>
        <w:color w:val="5A6575"/>
        <w:sz w:val="16"/>
        <w:szCs w:val="16"/>
      </w:rPr>
      <w:t xml:space="preserve"> / </w:t>
    </w:r>
    <w:r>
      <w:rPr>
        <w:rFonts w:ascii="Calibri" w:eastAsia="Calibri" w:hAnsi="Calibri" w:cs="Calibri"/>
        <w:color w:val="5A6575"/>
        <w:sz w:val="16"/>
        <w:szCs w:val="16"/>
      </w:rPr>
      <w:fldChar w:fldCharType="begin"/>
    </w:r>
    <w:r>
      <w:rPr>
        <w:rFonts w:ascii="Calibri" w:eastAsia="Calibri" w:hAnsi="Calibri" w:cs="Calibri"/>
        <w:color w:val="5A6575"/>
        <w:sz w:val="16"/>
        <w:szCs w:val="16"/>
      </w:rPr>
      <w:instrText>NUMPAGES</w:instrText>
    </w:r>
    <w:r>
      <w:rPr>
        <w:rFonts w:ascii="Calibri" w:eastAsia="Calibri" w:hAnsi="Calibri" w:cs="Calibri"/>
        <w:color w:val="5A6575"/>
        <w:sz w:val="16"/>
        <w:szCs w:val="16"/>
      </w:rPr>
      <w:fldChar w:fldCharType="separate"/>
    </w:r>
    <w:r w:rsidR="00397E4E">
      <w:rPr>
        <w:rFonts w:ascii="Calibri" w:eastAsia="Calibri" w:hAnsi="Calibri" w:cs="Calibri"/>
        <w:noProof/>
        <w:color w:val="5A6575"/>
        <w:sz w:val="16"/>
        <w:szCs w:val="16"/>
      </w:rPr>
      <w:t>3</w:t>
    </w:r>
    <w:r>
      <w:rPr>
        <w:rFonts w:ascii="Calibri" w:eastAsia="Calibri" w:hAnsi="Calibri" w:cs="Calibri"/>
        <w:color w:val="5A6575"/>
        <w:sz w:val="16"/>
        <w:szCs w:val="16"/>
      </w:rPr>
      <w:fldChar w:fldCharType="end"/>
    </w:r>
    <w:r>
      <w:rPr>
        <w:rFonts w:ascii="Calibri" w:eastAsia="Calibri" w:hAnsi="Calibri" w:cs="Calibri"/>
        <w:b/>
        <w:bCs/>
        <w:color w:val="0B6B3A"/>
        <w:sz w:val="16"/>
        <w:szCs w:val="16"/>
      </w:rPr>
      <w:tab/>
      <w:t>CEBEVIRHA — FLUVIAC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E7FA9" w:rsidRDefault="00EE7FA9">
      <w:r>
        <w:separator/>
      </w:r>
    </w:p>
  </w:footnote>
  <w:footnote w:type="continuationSeparator" w:id="0">
    <w:p w:rsidR="00EE7FA9" w:rsidRDefault="00EE7FA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13334" w:rsidRDefault="00A13334">
    <w:pPr>
      <w:pStyle w:val="En-tte"/>
    </w:pPr>
    <w:r w:rsidRPr="00A13334">
      <w:rPr>
        <w:noProof/>
      </w:rPr>
      <w:drawing>
        <wp:inline distT="0" distB="0" distL="0" distR="0" wp14:anchorId="23617506" wp14:editId="6CD319FB">
          <wp:extent cx="6290310" cy="1507053"/>
          <wp:effectExtent l="0" t="0" r="0" b="0"/>
          <wp:docPr id="1" name="Image 1" descr="C:\Users\DT\Desktop\PROJET PPB\ppb-platform\LOGO_CEBEVIRHA_B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T\Desktop\PROJET PPB\ppb-platform\LOGO_CEBEVIRHA_BON.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90310" cy="1507053"/>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FFFFFFFF"/>
    <w:lvl w:ilvl="0" w:tplc="97DE91F8">
      <w:start w:val="1"/>
      <w:numFmt w:val="bullet"/>
      <w:lvlText w:val="●"/>
      <w:lvlJc w:val="left"/>
      <w:pPr>
        <w:ind w:left="420" w:hanging="260"/>
      </w:pPr>
    </w:lvl>
    <w:lvl w:ilvl="1" w:tplc="63E01042">
      <w:numFmt w:val="decimal"/>
      <w:lvlText w:val=""/>
      <w:lvlJc w:val="left"/>
    </w:lvl>
    <w:lvl w:ilvl="2" w:tplc="0552700A">
      <w:numFmt w:val="decimal"/>
      <w:lvlText w:val=""/>
      <w:lvlJc w:val="left"/>
    </w:lvl>
    <w:lvl w:ilvl="3" w:tplc="950680D8">
      <w:numFmt w:val="decimal"/>
      <w:lvlText w:val=""/>
      <w:lvlJc w:val="left"/>
    </w:lvl>
    <w:lvl w:ilvl="4" w:tplc="4CD058F6">
      <w:numFmt w:val="decimal"/>
      <w:lvlText w:val=""/>
      <w:lvlJc w:val="left"/>
    </w:lvl>
    <w:lvl w:ilvl="5" w:tplc="57B410D0">
      <w:numFmt w:val="decimal"/>
      <w:lvlText w:val=""/>
      <w:lvlJc w:val="left"/>
    </w:lvl>
    <w:lvl w:ilvl="6" w:tplc="4FDC2DB8">
      <w:numFmt w:val="decimal"/>
      <w:lvlText w:val=""/>
      <w:lvlJc w:val="left"/>
    </w:lvl>
    <w:lvl w:ilvl="7" w:tplc="383E0026">
      <w:numFmt w:val="decimal"/>
      <w:lvlText w:val=""/>
      <w:lvlJc w:val="left"/>
    </w:lvl>
    <w:lvl w:ilvl="8" w:tplc="29BC7340">
      <w:numFmt w:val="decimal"/>
      <w:lvlText w:val=""/>
      <w:lvlJc w:val="left"/>
    </w:lvl>
  </w:abstractNum>
  <w:abstractNum w:abstractNumId="1">
    <w:nsid w:val="5056299E"/>
    <w:multiLevelType w:val="hybridMultilevel"/>
    <w:tmpl w:val="FFFFFFFF"/>
    <w:lvl w:ilvl="0" w:tplc="AE963792" w:tentative="1">
      <w:start w:val="1"/>
      <w:numFmt w:val="bullet"/>
      <w:lvlText w:val="●"/>
      <w:lvlJc w:val="left"/>
      <w:pPr>
        <w:ind w:left="720" w:hanging="360"/>
      </w:pPr>
    </w:lvl>
    <w:lvl w:ilvl="1" w:tplc="6E3C4E50" w:tentative="1">
      <w:start w:val="1"/>
      <w:numFmt w:val="bullet"/>
      <w:lvlText w:val="○"/>
      <w:lvlJc w:val="left"/>
      <w:pPr>
        <w:ind w:left="1440" w:hanging="360"/>
      </w:pPr>
    </w:lvl>
    <w:lvl w:ilvl="2" w:tplc="C388BFDE" w:tentative="1">
      <w:start w:val="1"/>
      <w:numFmt w:val="bullet"/>
      <w:lvlText w:val="■"/>
      <w:lvlJc w:val="left"/>
      <w:pPr>
        <w:ind w:left="2160" w:hanging="360"/>
      </w:pPr>
    </w:lvl>
    <w:lvl w:ilvl="3" w:tplc="5A26CDA0" w:tentative="1">
      <w:start w:val="1"/>
      <w:numFmt w:val="bullet"/>
      <w:lvlText w:val="●"/>
      <w:lvlJc w:val="left"/>
      <w:pPr>
        <w:ind w:left="2880" w:hanging="360"/>
      </w:pPr>
    </w:lvl>
    <w:lvl w:ilvl="4" w:tplc="F0429AB2" w:tentative="1">
      <w:start w:val="1"/>
      <w:numFmt w:val="bullet"/>
      <w:lvlText w:val="○"/>
      <w:lvlJc w:val="left"/>
      <w:pPr>
        <w:ind w:left="3600" w:hanging="360"/>
      </w:pPr>
    </w:lvl>
    <w:lvl w:ilvl="5" w:tplc="387C58C4" w:tentative="1">
      <w:start w:val="1"/>
      <w:numFmt w:val="bullet"/>
      <w:lvlText w:val="■"/>
      <w:lvlJc w:val="left"/>
      <w:pPr>
        <w:ind w:left="4320" w:hanging="360"/>
      </w:pPr>
    </w:lvl>
    <w:lvl w:ilvl="6" w:tplc="CADCF75E" w:tentative="1">
      <w:start w:val="1"/>
      <w:numFmt w:val="bullet"/>
      <w:lvlText w:val="●"/>
      <w:lvlJc w:val="left"/>
      <w:pPr>
        <w:ind w:left="5040" w:hanging="360"/>
      </w:pPr>
    </w:lvl>
    <w:lvl w:ilvl="7" w:tplc="9A9CE55A" w:tentative="1">
      <w:start w:val="1"/>
      <w:numFmt w:val="bullet"/>
      <w:lvlText w:val="●"/>
      <w:lvlJc w:val="left"/>
      <w:pPr>
        <w:ind w:left="5760" w:hanging="360"/>
      </w:pPr>
    </w:lvl>
    <w:lvl w:ilvl="8" w:tplc="480E8F32" w:tentative="1">
      <w:start w:val="1"/>
      <w:numFmt w:val="bullet"/>
      <w:lvlText w:val="●"/>
      <w:lvlJc w:val="left"/>
      <w:pPr>
        <w:ind w:left="648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0572"/>
    <w:rsid w:val="00397E4E"/>
    <w:rsid w:val="008B2FD9"/>
    <w:rsid w:val="00A13334"/>
    <w:rsid w:val="00B00572"/>
    <w:rsid w:val="00EB0408"/>
    <w:rsid w:val="00EE7FA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BA2D36B-3D5D-49F3-94CA-848032C1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jc w:val="both"/>
    </w:pPr>
    <w:rPr>
      <w:sz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Titre11">
    <w:name w:val="Titre 11"/>
    <w:qFormat/>
    <w:rPr>
      <w:color w:val="2E74B5"/>
      <w:sz w:val="32"/>
      <w:szCs w:val="32"/>
    </w:rPr>
  </w:style>
  <w:style w:type="paragraph" w:customStyle="1" w:styleId="Titre21">
    <w:name w:val="Titre 21"/>
    <w:qFormat/>
    <w:rPr>
      <w:color w:val="2E74B5"/>
      <w:sz w:val="26"/>
      <w:szCs w:val="26"/>
    </w:rPr>
  </w:style>
  <w:style w:type="paragraph" w:customStyle="1" w:styleId="Titre31">
    <w:name w:val="Titre 31"/>
    <w:qFormat/>
    <w:rPr>
      <w:color w:val="1F4D78"/>
      <w:sz w:val="24"/>
      <w:szCs w:val="24"/>
    </w:rPr>
  </w:style>
  <w:style w:type="paragraph" w:customStyle="1" w:styleId="Titre41">
    <w:name w:val="Titre 41"/>
    <w:qFormat/>
    <w:rPr>
      <w:i/>
      <w:iCs/>
      <w:color w:val="2E74B5"/>
    </w:rPr>
  </w:style>
  <w:style w:type="paragraph" w:customStyle="1" w:styleId="Titre51">
    <w:name w:val="Titre 51"/>
    <w:qFormat/>
    <w:rPr>
      <w:color w:val="2E74B5"/>
    </w:rPr>
  </w:style>
  <w:style w:type="paragraph" w:customStyle="1" w:styleId="Titre61">
    <w:name w:val="Titre 61"/>
    <w:qFormat/>
    <w:rPr>
      <w:color w:val="1F4D78"/>
    </w:rPr>
  </w:style>
  <w:style w:type="paragraph" w:customStyle="1" w:styleId="Strong79978b48-3567-413c-8142-550a05849c32">
    <w:name w:val="Strong_79978b48-3567-413c-8142-550a05849c32"/>
    <w:qFormat/>
    <w:rPr>
      <w:b/>
      <w:bCs/>
    </w:rPr>
  </w:style>
  <w:style w:type="paragraph" w:styleId="Paragraphedeliste">
    <w:name w:val="List Paragraph"/>
    <w:qFormat/>
  </w:style>
  <w:style w:type="character" w:styleId="Lienhypertexte">
    <w:name w:val="Hyperlink"/>
    <w:uiPriority w:val="99"/>
    <w:rPr>
      <w:color w:val="0563C1"/>
      <w:u w:val="single"/>
    </w:rPr>
  </w:style>
  <w:style w:type="character" w:styleId="Appelnotedebasdep">
    <w:name w:val="footnote reference"/>
    <w:uiPriority w:val="99"/>
    <w:rPr>
      <w:vertAlign w:val="superscript"/>
    </w:rPr>
  </w:style>
  <w:style w:type="paragraph" w:styleId="Notedebasdepage">
    <w:name w:val="footnote text"/>
    <w:link w:val="NotedebasdepageCar"/>
    <w:uiPriority w:val="99"/>
  </w:style>
  <w:style w:type="character" w:customStyle="1" w:styleId="NotedebasdepageCar">
    <w:name w:val="Note de bas de page Car"/>
    <w:link w:val="Notedebasdepage"/>
    <w:uiPriority w:val="99"/>
    <w:rPr>
      <w:sz w:val="20"/>
      <w:szCs w:val="20"/>
    </w:rPr>
  </w:style>
  <w:style w:type="character" w:styleId="Appeldenotedefin">
    <w:name w:val="endnote reference"/>
    <w:uiPriority w:val="99"/>
    <w:rPr>
      <w:vertAlign w:val="superscript"/>
    </w:rPr>
  </w:style>
  <w:style w:type="paragraph" w:styleId="Notedefin">
    <w:name w:val="endnote text"/>
    <w:link w:val="NotedefinCar"/>
    <w:uiPriority w:val="99"/>
  </w:style>
  <w:style w:type="character" w:customStyle="1" w:styleId="NotedefinCar">
    <w:name w:val="Note de fin Car"/>
    <w:link w:val="Notedefin"/>
    <w:uiPriority w:val="99"/>
    <w:rPr>
      <w:sz w:val="20"/>
      <w:szCs w:val="20"/>
    </w:rPr>
  </w:style>
  <w:style w:type="paragraph" w:styleId="En-tte">
    <w:name w:val="header"/>
    <w:basedOn w:val="Normal"/>
    <w:link w:val="En-tteCar"/>
    <w:uiPriority w:val="99"/>
    <w:unhideWhenUsed/>
    <w:rsid w:val="00A13334"/>
    <w:pPr>
      <w:tabs>
        <w:tab w:val="center" w:pos="4536"/>
        <w:tab w:val="right" w:pos="9072"/>
      </w:tabs>
    </w:pPr>
  </w:style>
  <w:style w:type="character" w:customStyle="1" w:styleId="En-tteCar">
    <w:name w:val="En-tête Car"/>
    <w:basedOn w:val="Policepardfaut"/>
    <w:link w:val="En-tte"/>
    <w:uiPriority w:val="99"/>
    <w:rsid w:val="00A13334"/>
    <w:rPr>
      <w:sz w:val="21"/>
    </w:rPr>
  </w:style>
  <w:style w:type="paragraph" w:styleId="Pieddepage">
    <w:name w:val="footer"/>
    <w:basedOn w:val="Normal"/>
    <w:link w:val="PieddepageCar"/>
    <w:uiPriority w:val="99"/>
    <w:unhideWhenUsed/>
    <w:rsid w:val="00A13334"/>
    <w:pPr>
      <w:tabs>
        <w:tab w:val="center" w:pos="4536"/>
        <w:tab w:val="right" w:pos="9072"/>
      </w:tabs>
    </w:pPr>
  </w:style>
  <w:style w:type="character" w:customStyle="1" w:styleId="PieddepageCar">
    <w:name w:val="Pied de page Car"/>
    <w:basedOn w:val="Policepardfaut"/>
    <w:link w:val="Pieddepage"/>
    <w:uiPriority w:val="99"/>
    <w:rsid w:val="00A13334"/>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schema_architecture.png"/><Relationship Id="rId12" Type="http://schemas.openxmlformats.org/officeDocument/2006/relationships/image" Target="media/schema_cycle_vie.png"/><Relationship Id="rId13" Type="http://schemas.openxmlformats.org/officeDocument/2006/relationships/image" Target="media/schema_erd.png"/><Relationship Id="rId14" Type="http://schemas.openxmlformats.org/officeDocument/2006/relationships/image" Target="media/schema_hors_ligne.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687</Words>
  <Characters>3780</Characters>
  <Application>Microsoft Office Word</Application>
  <DocSecurity>0</DocSecurity>
  <Lines>31</Lines>
  <Paragraphs>8</Paragraphs>
  <ScaleCrop>false</ScaleCrop>
  <Company/>
  <LinksUpToDate>false</LinksUpToDate>
  <CharactersWithSpaces>4459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DT</cp:lastModifiedBy>
  <cp:revision>4</cp:revision>
  <dcterms:created xsi:type="dcterms:W3CDTF">2026-08-20T05:44:00Z</dcterms:created>
  <dcterms:modified xsi:type="dcterms:W3CDTF">2026-08-20T06:28:00Z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eee970252b5c4de595c43042e521fcd0_23</vt:lpwstr>
  </property>
</Properties>
</file>