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00572" w:rsidRDefault="00B00572">
      <w:pPr>
        <w:spacing w:after="120"/>
        <w:jc w:val="center"/>
      </w:pPr>
    </w:p>
    <w:p w:rsidR="00B00572" w:rsidRDefault="00EB0408" w:rsidP="00EB0408">
      <w:pPr>
        <w:tabs>
          <w:tab w:val="left" w:pos="1320"/>
        </w:tabs>
        <w:spacing w:after="120"/>
      </w:pPr>
      <w:r>
        <w:tab/>
      </w:r>
    </w:p>
    <w:p w:rsidR="00B00572" w:rsidRDefault="00B00572">
      <w:pPr>
        <w:spacing w:after="120"/>
        <w:jc w:val="left"/>
      </w:pPr>
    </w:p>
    <w:tbl>
      <w:tblPr>
        <w:tblW w:w="990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B00572">
        <w:tc>
          <w:tcPr>
            <w:tcW w:w="9906" w:type="dxa"/>
            <w:shd w:val="clear" w:color="auto" w:fill="0B6B3A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B00572" w:rsidRDefault="008B2FD9">
            <w:pPr>
              <w:spacing w:after="6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PROCÈS-VERBAL DE RÉUNION</w:t>
            </w:r>
          </w:p>
          <w:p w:rsidR="00B00572" w:rsidRDefault="008B2FD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5C518"/>
                <w:sz w:val="22"/>
                <w:szCs w:val="22"/>
              </w:rPr>
              <w:t>VALIDATION ET CLÔTURE DE LA PHASE 2 — CONCEPTION ET DESIGN</w:t>
            </w:r>
          </w:p>
        </w:tc>
      </w:tr>
    </w:tbl>
    <w:p w:rsidR="00B00572" w:rsidRDefault="00B00572">
      <w:pPr>
        <w:spacing w:after="160"/>
      </w:pPr>
    </w:p>
    <w:p w:rsidR="00B00572" w:rsidRDefault="00B00572">
      <w:pPr>
        <w:spacing w:after="160"/>
      </w:pPr>
    </w:p>
    <w:tbl>
      <w:tblPr>
        <w:tblW w:w="990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706"/>
      </w:tblGrid>
      <w:tr w:rsidR="00B00572">
        <w:tc>
          <w:tcPr>
            <w:tcW w:w="2200" w:type="dxa"/>
            <w:tcBorders>
              <w:top w:val="single" w:sz="4" w:space="0" w:color="0F1F3D"/>
              <w:left w:val="single" w:sz="4" w:space="0" w:color="0F1F3D"/>
              <w:bottom w:val="single" w:sz="4" w:space="0" w:color="0F1F3D"/>
              <w:right w:val="single" w:sz="4" w:space="0" w:color="0F1F3D"/>
            </w:tcBorders>
            <w:shd w:val="clear" w:color="auto" w:fill="0F1F3D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Référence</w:t>
            </w:r>
          </w:p>
        </w:tc>
        <w:tc>
          <w:tcPr>
            <w:tcW w:w="7706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AMI/CEBEVIRHA/FLUVIAC/PPB/2026</w:t>
            </w:r>
          </w:p>
        </w:tc>
      </w:tr>
      <w:tr w:rsidR="00B00572">
        <w:tc>
          <w:tcPr>
            <w:tcW w:w="2200" w:type="dxa"/>
            <w:tcBorders>
              <w:top w:val="single" w:sz="4" w:space="0" w:color="0F1F3D"/>
              <w:left w:val="single" w:sz="4" w:space="0" w:color="0F1F3D"/>
              <w:bottom w:val="single" w:sz="4" w:space="0" w:color="0F1F3D"/>
              <w:right w:val="single" w:sz="4" w:space="0" w:color="0F1F3D"/>
            </w:tcBorders>
            <w:shd w:val="clear" w:color="auto" w:fill="0F1F3D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7706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B00572" w:rsidRDefault="00397E4E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17</w:t>
            </w:r>
            <w:r w:rsidR="008B2FD9"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/08/2026 (J15)</w:t>
            </w:r>
          </w:p>
        </w:tc>
      </w:tr>
      <w:tr w:rsidR="00B00572">
        <w:tc>
          <w:tcPr>
            <w:tcW w:w="2200" w:type="dxa"/>
            <w:tcBorders>
              <w:top w:val="single" w:sz="4" w:space="0" w:color="0F1F3D"/>
              <w:left w:val="single" w:sz="4" w:space="0" w:color="0F1F3D"/>
              <w:bottom w:val="single" w:sz="4" w:space="0" w:color="0F1F3D"/>
              <w:right w:val="single" w:sz="4" w:space="0" w:color="0F1F3D"/>
            </w:tcBorders>
            <w:shd w:val="clear" w:color="auto" w:fill="0F1F3D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Horaires</w:t>
            </w:r>
            <w:bookmarkStart w:id="0" w:name="_GoBack"/>
            <w:bookmarkEnd w:id="0"/>
          </w:p>
        </w:tc>
        <w:tc>
          <w:tcPr>
            <w:tcW w:w="7706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B00572" w:rsidRDefault="00397E4E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11h00 – 13</w:t>
            </w:r>
            <w:r w:rsidR="008B2FD9"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h00</w:t>
            </w:r>
          </w:p>
        </w:tc>
      </w:tr>
      <w:tr w:rsidR="00B00572">
        <w:tc>
          <w:tcPr>
            <w:tcW w:w="2200" w:type="dxa"/>
            <w:tcBorders>
              <w:top w:val="single" w:sz="4" w:space="0" w:color="0F1F3D"/>
              <w:left w:val="single" w:sz="4" w:space="0" w:color="0F1F3D"/>
              <w:bottom w:val="single" w:sz="4" w:space="0" w:color="0F1F3D"/>
              <w:right w:val="single" w:sz="4" w:space="0" w:color="0F1F3D"/>
            </w:tcBorders>
            <w:shd w:val="clear" w:color="auto" w:fill="0F1F3D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Lieu</w:t>
            </w:r>
          </w:p>
        </w:tc>
        <w:tc>
          <w:tcPr>
            <w:tcW w:w="7706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B00572" w:rsidRDefault="00397E4E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Réunion Virtuelle</w:t>
            </w:r>
          </w:p>
        </w:tc>
      </w:tr>
      <w:tr w:rsidR="00B00572">
        <w:tc>
          <w:tcPr>
            <w:tcW w:w="2200" w:type="dxa"/>
            <w:tcBorders>
              <w:top w:val="single" w:sz="4" w:space="0" w:color="0F1F3D"/>
              <w:left w:val="single" w:sz="4" w:space="0" w:color="0F1F3D"/>
              <w:bottom w:val="single" w:sz="4" w:space="0" w:color="0F1F3D"/>
              <w:right w:val="single" w:sz="4" w:space="0" w:color="0F1F3D"/>
            </w:tcBorders>
            <w:shd w:val="clear" w:color="auto" w:fill="0F1F3D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Objet</w:t>
            </w:r>
          </w:p>
        </w:tc>
        <w:tc>
          <w:tcPr>
            <w:tcW w:w="7706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Présentation du dossier de clôture de la Phase 2 et demande de validation formelle</w:t>
            </w:r>
          </w:p>
        </w:tc>
      </w:tr>
    </w:tbl>
    <w:p w:rsidR="00B00572" w:rsidRDefault="00B00572">
      <w:pPr>
        <w:spacing w:after="160"/>
      </w:pPr>
    </w:p>
    <w:p w:rsidR="00B00572" w:rsidRDefault="008B2FD9">
      <w:pPr>
        <w:spacing w:before="260" w:after="140"/>
      </w:pPr>
      <w:r>
        <w:rPr>
          <w:rFonts w:ascii="Calibri" w:eastAsia="Calibri" w:hAnsi="Calibri" w:cs="Calibri"/>
          <w:b/>
          <w:bCs/>
          <w:color w:val="0B6B3A"/>
          <w:sz w:val="26"/>
          <w:szCs w:val="26"/>
        </w:rPr>
        <w:t>1. Participants</w:t>
      </w:r>
    </w:p>
    <w:tbl>
      <w:tblPr>
        <w:tblW w:w="990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900"/>
        <w:gridCol w:w="3900"/>
        <w:gridCol w:w="2406"/>
      </w:tblGrid>
      <w:tr w:rsidR="00B00572">
        <w:tc>
          <w:tcPr>
            <w:tcW w:w="700" w:type="dxa"/>
            <w:tcBorders>
              <w:top w:val="single" w:sz="4" w:space="0" w:color="0B6B3A"/>
              <w:left w:val="single" w:sz="4" w:space="0" w:color="0B6B3A"/>
              <w:bottom w:val="single" w:sz="4" w:space="0" w:color="0B6B3A"/>
              <w:right w:val="single" w:sz="4" w:space="0" w:color="0B6B3A"/>
            </w:tcBorders>
            <w:shd w:val="clear" w:color="auto" w:fill="0B6B3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2900" w:type="dxa"/>
            <w:tcBorders>
              <w:top w:val="single" w:sz="4" w:space="0" w:color="0B6B3A"/>
              <w:left w:val="single" w:sz="4" w:space="0" w:color="0B6B3A"/>
              <w:bottom w:val="single" w:sz="4" w:space="0" w:color="0B6B3A"/>
              <w:right w:val="single" w:sz="4" w:space="0" w:color="0B6B3A"/>
            </w:tcBorders>
            <w:shd w:val="clear" w:color="auto" w:fill="0B6B3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Nom et Prénom</w:t>
            </w:r>
          </w:p>
        </w:tc>
        <w:tc>
          <w:tcPr>
            <w:tcW w:w="3900" w:type="dxa"/>
            <w:tcBorders>
              <w:top w:val="single" w:sz="4" w:space="0" w:color="0B6B3A"/>
              <w:left w:val="single" w:sz="4" w:space="0" w:color="0B6B3A"/>
              <w:bottom w:val="single" w:sz="4" w:space="0" w:color="0B6B3A"/>
              <w:right w:val="single" w:sz="4" w:space="0" w:color="0B6B3A"/>
            </w:tcBorders>
            <w:shd w:val="clear" w:color="auto" w:fill="0B6B3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Fonction</w:t>
            </w:r>
          </w:p>
        </w:tc>
        <w:tc>
          <w:tcPr>
            <w:tcW w:w="2406" w:type="dxa"/>
            <w:tcBorders>
              <w:top w:val="single" w:sz="4" w:space="0" w:color="0B6B3A"/>
              <w:left w:val="single" w:sz="4" w:space="0" w:color="0B6B3A"/>
              <w:bottom w:val="single" w:sz="4" w:space="0" w:color="0B6B3A"/>
              <w:right w:val="single" w:sz="4" w:space="0" w:color="0B6B3A"/>
            </w:tcBorders>
            <w:shd w:val="clear" w:color="auto" w:fill="0B6B3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Institution</w:t>
            </w:r>
          </w:p>
        </w:tc>
      </w:tr>
      <w:tr w:rsidR="00B00572">
        <w:tc>
          <w:tcPr>
            <w:tcW w:w="7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15202B"/>
                <w:sz w:val="19"/>
                <w:szCs w:val="19"/>
              </w:rPr>
              <w:t>1</w:t>
            </w:r>
          </w:p>
        </w:tc>
        <w:tc>
          <w:tcPr>
            <w:tcW w:w="29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 xml:space="preserve">M. Germain </w:t>
            </w:r>
            <w:proofErr w:type="spellStart"/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Edou</w:t>
            </w:r>
            <w:proofErr w:type="spellEnd"/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Edou</w:t>
            </w:r>
            <w:proofErr w:type="spellEnd"/>
          </w:p>
        </w:tc>
        <w:tc>
          <w:tcPr>
            <w:tcW w:w="39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Directeur des Études Économiques, de la Planification et des Échanges</w:t>
            </w:r>
          </w:p>
        </w:tc>
        <w:tc>
          <w:tcPr>
            <w:tcW w:w="2406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CEBEVIRHA</w:t>
            </w:r>
          </w:p>
        </w:tc>
      </w:tr>
      <w:tr w:rsidR="00B00572">
        <w:tc>
          <w:tcPr>
            <w:tcW w:w="7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15202B"/>
                <w:sz w:val="19"/>
                <w:szCs w:val="19"/>
              </w:rPr>
              <w:t>3</w:t>
            </w:r>
          </w:p>
        </w:tc>
        <w:tc>
          <w:tcPr>
            <w:tcW w:w="29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 xml:space="preserve">M. </w:t>
            </w:r>
            <w:proofErr w:type="spellStart"/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Bechir</w:t>
            </w:r>
            <w:proofErr w:type="spellEnd"/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 xml:space="preserve"> Ibrahim</w:t>
            </w:r>
          </w:p>
        </w:tc>
        <w:tc>
          <w:tcPr>
            <w:tcW w:w="39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Chef Service Informatique</w:t>
            </w:r>
          </w:p>
        </w:tc>
        <w:tc>
          <w:tcPr>
            <w:tcW w:w="2406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CEBEVIRHA</w:t>
            </w:r>
          </w:p>
        </w:tc>
      </w:tr>
      <w:tr w:rsidR="00B00572">
        <w:tc>
          <w:tcPr>
            <w:tcW w:w="7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15202B"/>
                <w:sz w:val="19"/>
                <w:szCs w:val="19"/>
              </w:rPr>
              <w:t>4</w:t>
            </w:r>
          </w:p>
        </w:tc>
        <w:tc>
          <w:tcPr>
            <w:tcW w:w="29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BRAHIM ABDELKHANI ISMAIL</w:t>
            </w:r>
          </w:p>
        </w:tc>
        <w:tc>
          <w:tcPr>
            <w:tcW w:w="39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Consultant</w:t>
            </w:r>
          </w:p>
        </w:tc>
        <w:tc>
          <w:tcPr>
            <w:tcW w:w="2406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Consultant</w:t>
            </w:r>
          </w:p>
        </w:tc>
      </w:tr>
    </w:tbl>
    <w:p w:rsidR="00B00572" w:rsidRDefault="008B2FD9">
      <w:pPr>
        <w:spacing w:before="260" w:after="140"/>
      </w:pPr>
      <w:r>
        <w:rPr>
          <w:rFonts w:ascii="Calibri" w:eastAsia="Calibri" w:hAnsi="Calibri" w:cs="Calibri"/>
          <w:b/>
          <w:bCs/>
          <w:color w:val="0B6B3A"/>
          <w:sz w:val="26"/>
          <w:szCs w:val="26"/>
        </w:rPr>
        <w:t>2. Ordre du jour</w:t>
      </w:r>
    </w:p>
    <w:p w:rsidR="00B00572" w:rsidRDefault="008B2FD9">
      <w:pPr>
        <w:pStyle w:val="Paragraphedeliste"/>
        <w:numPr>
          <w:ilvl w:val="0"/>
          <w:numId w:val="1"/>
        </w:numPr>
        <w:spacing w:after="70"/>
      </w:pPr>
      <w:r>
        <w:rPr>
          <w:rFonts w:ascii="Calibri" w:eastAsia="Calibri" w:hAnsi="Calibri" w:cs="Calibri"/>
          <w:color w:val="15202B"/>
          <w:sz w:val="21"/>
          <w:szCs w:val="21"/>
        </w:rPr>
        <w:t>Rappel du périmètre de la Phase 2 (J6 — J15)</w:t>
      </w:r>
    </w:p>
    <w:p w:rsidR="00B00572" w:rsidRPr="00397E4E" w:rsidRDefault="008B2FD9">
      <w:pPr>
        <w:pStyle w:val="Paragraphedeliste"/>
        <w:numPr>
          <w:ilvl w:val="0"/>
          <w:numId w:val="1"/>
        </w:numPr>
        <w:spacing w:after="70"/>
      </w:pPr>
      <w:r>
        <w:rPr>
          <w:rFonts w:ascii="Calibri" w:eastAsia="Calibri" w:hAnsi="Calibri" w:cs="Calibri"/>
          <w:color w:val="15202B"/>
          <w:sz w:val="21"/>
          <w:szCs w:val="21"/>
        </w:rPr>
        <w:t>Présentation de l'architecture de la plateforme numérique</w:t>
      </w:r>
    </w:p>
    <w:p w:rsidR="00397E4E" w:rsidRDefault="00397E4E">
      <w:pPr>
        <w:pStyle w:val="Paragraphedeliste"/>
        <w:numPr>
          <w:ilvl w:val="0"/>
          <w:numId w:val="1"/>
        </w:numPr>
        <w:spacing w:after="70"/>
      </w:pPr>
      <w:r>
        <w:rPr>
          <w:rFonts w:ascii="Calibri" w:eastAsia="Calibri" w:hAnsi="Calibri" w:cs="Calibri"/>
          <w:color w:val="15202B"/>
          <w:sz w:val="21"/>
          <w:szCs w:val="21"/>
        </w:rPr>
        <w:t>Présentation des documents de conception, et d’architecture technique</w:t>
      </w:r>
    </w:p>
    <w:p w:rsidR="00B00572" w:rsidRDefault="008B2FD9">
      <w:pPr>
        <w:pStyle w:val="Paragraphedeliste"/>
        <w:numPr>
          <w:ilvl w:val="0"/>
          <w:numId w:val="1"/>
        </w:numPr>
        <w:spacing w:after="70"/>
      </w:pPr>
      <w:r>
        <w:rPr>
          <w:rFonts w:ascii="Calibri" w:eastAsia="Calibri" w:hAnsi="Calibri" w:cs="Calibri"/>
          <w:color w:val="15202B"/>
          <w:sz w:val="21"/>
          <w:szCs w:val="21"/>
        </w:rPr>
        <w:t>Présentation du système de contrôle aux frontières</w:t>
      </w:r>
    </w:p>
    <w:p w:rsidR="00B00572" w:rsidRDefault="008B2FD9">
      <w:pPr>
        <w:pStyle w:val="Paragraphedeliste"/>
        <w:numPr>
          <w:ilvl w:val="0"/>
          <w:numId w:val="1"/>
        </w:numPr>
        <w:spacing w:after="70"/>
      </w:pPr>
      <w:r>
        <w:rPr>
          <w:rFonts w:ascii="Calibri" w:eastAsia="Calibri" w:hAnsi="Calibri" w:cs="Calibri"/>
          <w:color w:val="15202B"/>
          <w:sz w:val="21"/>
          <w:szCs w:val="21"/>
        </w:rPr>
        <w:t>Récapitulatif des décisions structurantes de la phase</w:t>
      </w:r>
    </w:p>
    <w:p w:rsidR="00B00572" w:rsidRDefault="008B2FD9">
      <w:pPr>
        <w:pStyle w:val="Paragraphedeliste"/>
        <w:numPr>
          <w:ilvl w:val="0"/>
          <w:numId w:val="1"/>
        </w:numPr>
        <w:spacing w:after="70"/>
      </w:pPr>
      <w:r>
        <w:rPr>
          <w:rFonts w:ascii="Calibri" w:eastAsia="Calibri" w:hAnsi="Calibri" w:cs="Calibri"/>
          <w:color w:val="15202B"/>
          <w:sz w:val="21"/>
          <w:szCs w:val="21"/>
        </w:rPr>
        <w:t>Observations des participants</w:t>
      </w:r>
    </w:p>
    <w:p w:rsidR="00B00572" w:rsidRDefault="008B2FD9">
      <w:pPr>
        <w:pStyle w:val="Paragraphedeliste"/>
        <w:numPr>
          <w:ilvl w:val="0"/>
          <w:numId w:val="1"/>
        </w:numPr>
        <w:spacing w:after="70"/>
      </w:pPr>
      <w:r>
        <w:rPr>
          <w:rFonts w:ascii="Calibri" w:eastAsia="Calibri" w:hAnsi="Calibri" w:cs="Calibri"/>
          <w:color w:val="15202B"/>
          <w:sz w:val="21"/>
          <w:szCs w:val="21"/>
        </w:rPr>
        <w:t>Décision de validation et autorisation de démarrage de la Phase 3</w:t>
      </w:r>
    </w:p>
    <w:p w:rsidR="00B00572" w:rsidRDefault="008B2FD9">
      <w:pPr>
        <w:spacing w:before="260" w:after="140"/>
      </w:pPr>
      <w:r>
        <w:rPr>
          <w:rFonts w:ascii="Calibri" w:eastAsia="Calibri" w:hAnsi="Calibri" w:cs="Calibri"/>
          <w:b/>
          <w:bCs/>
          <w:color w:val="0B6B3A"/>
          <w:sz w:val="26"/>
          <w:szCs w:val="26"/>
        </w:rPr>
        <w:t>3. Déroulement de la réunion</w:t>
      </w:r>
    </w:p>
    <w:p w:rsidR="00B00572" w:rsidRDefault="008B2FD9">
      <w:pPr>
        <w:spacing w:before="180" w:after="80"/>
      </w:pPr>
      <w:r>
        <w:rPr>
          <w:rFonts w:ascii="Calibri" w:eastAsia="Calibri" w:hAnsi="Calibri" w:cs="Calibri"/>
          <w:b/>
          <w:bCs/>
          <w:color w:val="B8860B"/>
          <w:sz w:val="22"/>
          <w:szCs w:val="22"/>
        </w:rPr>
        <w:t>3.1 Rappel du périmètre</w:t>
      </w:r>
    </w:p>
    <w:p w:rsidR="00B00572" w:rsidRDefault="008B2FD9">
      <w:pPr>
        <w:spacing w:after="140"/>
      </w:pPr>
      <w:r>
        <w:rPr>
          <w:rFonts w:ascii="Calibri" w:eastAsia="Calibri" w:hAnsi="Calibri" w:cs="Calibri"/>
          <w:color w:val="15202B"/>
          <w:szCs w:val="21"/>
        </w:rPr>
        <w:t>Le consultant a rappelé l'objectif de la Phase 2, tel que défini dans le plan de travail détaillé : concevoir la nouvelle mouture physique du Passeport Pour Bétail (PPB) et l'architecture du système numérique destiné à le délivrer, l'émettre et le contrôler.</w:t>
      </w:r>
    </w:p>
    <w:p w:rsidR="00B00572" w:rsidRDefault="008B2FD9">
      <w:pPr>
        <w:spacing w:before="180" w:after="80"/>
      </w:pPr>
      <w:r>
        <w:rPr>
          <w:rFonts w:ascii="Calibri" w:eastAsia="Calibri" w:hAnsi="Calibri" w:cs="Calibri"/>
          <w:b/>
          <w:bCs/>
          <w:color w:val="B8860B"/>
          <w:sz w:val="22"/>
          <w:szCs w:val="22"/>
        </w:rPr>
        <w:lastRenderedPageBreak/>
        <w:t>3.2 Présentation des maquettes du PPB</w:t>
      </w:r>
    </w:p>
    <w:p w:rsidR="00B00572" w:rsidRDefault="008B2FD9">
      <w:pPr>
        <w:spacing w:after="140"/>
      </w:pPr>
      <w:r>
        <w:rPr>
          <w:rFonts w:ascii="Calibri" w:eastAsia="Calibri" w:hAnsi="Calibri" w:cs="Calibri"/>
          <w:color w:val="15202B"/>
          <w:szCs w:val="21"/>
        </w:rPr>
        <w:t>Le consultant a présenté les maquettes finalisées du PPB : un format A5 de 4 pages recto-verso sur une feuille A4 pliée, décliné en deux versions linguistiques (français/anglais et français/arabe), avec fond guilloché de sécurité, logo de la CEBEVIRHA et numérotation en cases (Pays / Année / N° de lot).</w:t>
      </w:r>
    </w:p>
    <w:p w:rsidR="00B00572" w:rsidRDefault="008B2FD9">
      <w:pPr>
        <w:spacing w:before="180" w:after="80"/>
      </w:pPr>
      <w:r>
        <w:rPr>
          <w:rFonts w:ascii="Calibri" w:eastAsia="Calibri" w:hAnsi="Calibri" w:cs="Calibri"/>
          <w:b/>
          <w:bCs/>
          <w:color w:val="B8860B"/>
          <w:sz w:val="22"/>
          <w:szCs w:val="22"/>
        </w:rPr>
        <w:t>3.3 Sécurisation et impression décentralisée</w:t>
      </w:r>
    </w:p>
    <w:p w:rsidR="00B00572" w:rsidRDefault="008B2FD9">
      <w:pPr>
        <w:spacing w:after="140"/>
      </w:pPr>
      <w:r>
        <w:rPr>
          <w:rFonts w:ascii="Calibri" w:eastAsia="Calibri" w:hAnsi="Calibri" w:cs="Calibri"/>
          <w:color w:val="15202B"/>
          <w:szCs w:val="21"/>
        </w:rPr>
        <w:t>La sécurisation du document a ensuite été détaillée : QR Code et signature numérique, éléments de sécurité visuels, et garde-fous encadrant l'impression décentralisée (plage de numéros fermée, matériel de sécurité contrôlé, déclaration obligatoire de chaque lot, droit de suspension de la CEBEVIRHA en cas d'anomalie).</w:t>
      </w:r>
    </w:p>
    <w:p w:rsidR="00B00572" w:rsidRDefault="008B2FD9">
      <w:pPr>
        <w:spacing w:before="180" w:after="80"/>
      </w:pPr>
      <w:r>
        <w:rPr>
          <w:rFonts w:ascii="Calibri" w:eastAsia="Calibri" w:hAnsi="Calibri" w:cs="Calibri"/>
          <w:b/>
          <w:bCs/>
          <w:color w:val="B8860B"/>
          <w:sz w:val="22"/>
          <w:szCs w:val="22"/>
        </w:rPr>
        <w:t>3.4 Architecture de la plateforme numérique</w:t>
      </w:r>
    </w:p>
    <w:p w:rsidR="00B00572" w:rsidRDefault="008B2FD9">
      <w:pPr>
        <w:spacing w:after="140"/>
      </w:pPr>
      <w:r>
        <w:rPr>
          <w:rFonts w:ascii="Calibri" w:eastAsia="Calibri" w:hAnsi="Calibri" w:cs="Calibri"/>
          <w:color w:val="15202B"/>
          <w:szCs w:val="21"/>
        </w:rPr>
        <w:t>Le consultant a présenté l'architecture technique retenue : modélisation des données (17 entités), architecture applicative (</w:t>
      </w:r>
      <w:proofErr w:type="spellStart"/>
      <w:r>
        <w:rPr>
          <w:rFonts w:ascii="Calibri" w:eastAsia="Calibri" w:hAnsi="Calibri" w:cs="Calibri"/>
          <w:color w:val="15202B"/>
          <w:szCs w:val="21"/>
        </w:rPr>
        <w:t>FastAPI</w:t>
      </w:r>
      <w:proofErr w:type="spellEnd"/>
      <w:r>
        <w:rPr>
          <w:rFonts w:ascii="Calibri" w:eastAsia="Calibri" w:hAnsi="Calibri" w:cs="Calibri"/>
          <w:color w:val="15202B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color w:val="15202B"/>
          <w:szCs w:val="21"/>
        </w:rPr>
        <w:t>React</w:t>
      </w:r>
      <w:proofErr w:type="spellEnd"/>
      <w:r>
        <w:rPr>
          <w:rFonts w:ascii="Calibri" w:eastAsia="Calibri" w:hAnsi="Calibri" w:cs="Calibri"/>
          <w:color w:val="15202B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color w:val="15202B"/>
          <w:szCs w:val="21"/>
        </w:rPr>
        <w:t>PostgreSQL</w:t>
      </w:r>
      <w:proofErr w:type="spellEnd"/>
      <w:r>
        <w:rPr>
          <w:rFonts w:ascii="Calibri" w:eastAsia="Calibri" w:hAnsi="Calibri" w:cs="Calibri"/>
          <w:color w:val="15202B"/>
          <w:szCs w:val="21"/>
        </w:rPr>
        <w:t>/</w:t>
      </w:r>
      <w:proofErr w:type="spellStart"/>
      <w:r>
        <w:rPr>
          <w:rFonts w:ascii="Calibri" w:eastAsia="Calibri" w:hAnsi="Calibri" w:cs="Calibri"/>
          <w:color w:val="15202B"/>
          <w:szCs w:val="21"/>
        </w:rPr>
        <w:t>PostGIS</w:t>
      </w:r>
      <w:proofErr w:type="spellEnd"/>
      <w:r>
        <w:rPr>
          <w:rFonts w:ascii="Calibri" w:eastAsia="Calibri" w:hAnsi="Calibri" w:cs="Calibri"/>
          <w:color w:val="15202B"/>
          <w:szCs w:val="21"/>
        </w:rPr>
        <w:t>), choix d'hébergement (</w:t>
      </w:r>
      <w:proofErr w:type="spellStart"/>
      <w:r>
        <w:rPr>
          <w:rFonts w:ascii="Calibri" w:eastAsia="Calibri" w:hAnsi="Calibri" w:cs="Calibri"/>
          <w:color w:val="15202B"/>
          <w:szCs w:val="21"/>
        </w:rPr>
        <w:t>OVHcloud</w:t>
      </w:r>
      <w:proofErr w:type="spellEnd"/>
      <w:r>
        <w:rPr>
          <w:rFonts w:ascii="Calibri" w:eastAsia="Calibri" w:hAnsi="Calibri" w:cs="Calibri"/>
          <w:color w:val="15202B"/>
          <w:szCs w:val="21"/>
        </w:rPr>
        <w:t>) et l'ensemble des diagrammes de conception (cas d'utilisation, classes, séquences, états, composants, déploiement).</w:t>
      </w:r>
    </w:p>
    <w:p w:rsidR="00B00572" w:rsidRDefault="008B2FD9">
      <w:pPr>
        <w:spacing w:before="180" w:after="80"/>
      </w:pPr>
      <w:r>
        <w:rPr>
          <w:rFonts w:ascii="Calibri" w:eastAsia="Calibri" w:hAnsi="Calibri" w:cs="Calibri"/>
          <w:b/>
          <w:bCs/>
          <w:color w:val="B8860B"/>
          <w:sz w:val="22"/>
          <w:szCs w:val="22"/>
        </w:rPr>
        <w:t>3.5 Système de contrôle aux frontières</w:t>
      </w:r>
    </w:p>
    <w:p w:rsidR="00B00572" w:rsidRDefault="008B2FD9">
      <w:pPr>
        <w:spacing w:after="140"/>
      </w:pPr>
      <w:r>
        <w:rPr>
          <w:rFonts w:ascii="Calibri" w:eastAsia="Calibri" w:hAnsi="Calibri" w:cs="Calibri"/>
          <w:color w:val="15202B"/>
          <w:szCs w:val="21"/>
        </w:rPr>
        <w:t>La conception du système de contrôle a été présentée : application mobile fonctionnant hors-ligne jusqu'à 60 jours, synchronisation automatique différentielle, et mécanisme de vérification de la conformité de l'itinéraire déclaré, avec repli sur le document papier lorsque cette information n'est pas encore synchronisée.</w:t>
      </w:r>
    </w:p>
    <w:p w:rsidR="00B00572" w:rsidRDefault="008B2FD9">
      <w:pPr>
        <w:spacing w:before="180" w:after="80"/>
      </w:pPr>
      <w:r>
        <w:rPr>
          <w:rFonts w:ascii="Calibri" w:eastAsia="Calibri" w:hAnsi="Calibri" w:cs="Calibri"/>
          <w:b/>
          <w:bCs/>
          <w:color w:val="B8860B"/>
          <w:sz w:val="22"/>
          <w:szCs w:val="22"/>
        </w:rPr>
        <w:t>3.6 Décisions structurantes de la phase</w:t>
      </w:r>
    </w:p>
    <w:p w:rsidR="00B00572" w:rsidRDefault="008B2FD9">
      <w:pPr>
        <w:spacing w:after="140"/>
      </w:pPr>
      <w:r>
        <w:rPr>
          <w:rFonts w:ascii="Calibri" w:eastAsia="Calibri" w:hAnsi="Calibri" w:cs="Calibri"/>
          <w:color w:val="15202B"/>
          <w:szCs w:val="21"/>
        </w:rPr>
        <w:t>Le consultant a rappelé les choix structurants pris au fil de la phase : distinction entre paiement en ligne automatique et paiement en présentiel validé par un agent CEBEVIRHA ; configuration dynamique des formulaires et paramètres sans intervention sur le code ; non-prédéfinition de l'itinéraire à la commande ; et circuit à deux comptes distincts pour toute modification des textes du gabarit du passeport.</w:t>
      </w:r>
    </w:p>
    <w:p w:rsidR="00B00572" w:rsidRDefault="008B2FD9">
      <w:pPr>
        <w:spacing w:before="180" w:after="80"/>
      </w:pPr>
      <w:r>
        <w:rPr>
          <w:rFonts w:ascii="Calibri" w:eastAsia="Calibri" w:hAnsi="Calibri" w:cs="Calibri"/>
          <w:b/>
          <w:bCs/>
          <w:color w:val="B8860B"/>
          <w:sz w:val="22"/>
          <w:szCs w:val="22"/>
        </w:rPr>
        <w:t>3.7 Observations des participants</w:t>
      </w:r>
    </w:p>
    <w:p w:rsidR="00B00572" w:rsidRDefault="008B2FD9">
      <w:pPr>
        <w:spacing w:after="140"/>
      </w:pPr>
      <w:r>
        <w:rPr>
          <w:rFonts w:ascii="Calibri" w:eastAsia="Calibri" w:hAnsi="Calibri" w:cs="Calibri"/>
          <w:color w:val="15202B"/>
          <w:szCs w:val="21"/>
        </w:rPr>
        <w:t>Les participants ont pris connaissance de l'ensemble des documents et n'ont formulé aucune réserve bloquante. Le contenu présenté a été jugé complet et conforme aux orientations validées lors des réunions précédentes (05/08/2026 et 07/08/2026).</w:t>
      </w:r>
    </w:p>
    <w:p w:rsidR="00B00572" w:rsidRDefault="008B2FD9">
      <w:pPr>
        <w:spacing w:before="260" w:after="140"/>
      </w:pPr>
      <w:r>
        <w:rPr>
          <w:rFonts w:ascii="Calibri" w:eastAsia="Calibri" w:hAnsi="Calibri" w:cs="Calibri"/>
          <w:b/>
          <w:bCs/>
          <w:color w:val="0B6B3A"/>
          <w:sz w:val="26"/>
          <w:szCs w:val="26"/>
        </w:rPr>
        <w:t>4. Décisions prises</w:t>
      </w:r>
    </w:p>
    <w:tbl>
      <w:tblPr>
        <w:tblW w:w="990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5200"/>
        <w:gridCol w:w="2400"/>
        <w:gridCol w:w="1606"/>
      </w:tblGrid>
      <w:tr w:rsidR="00B00572">
        <w:tc>
          <w:tcPr>
            <w:tcW w:w="700" w:type="dxa"/>
            <w:tcBorders>
              <w:top w:val="single" w:sz="4" w:space="0" w:color="0F1F3D"/>
              <w:left w:val="single" w:sz="4" w:space="0" w:color="0F1F3D"/>
              <w:bottom w:val="single" w:sz="4" w:space="0" w:color="0F1F3D"/>
              <w:right w:val="single" w:sz="4" w:space="0" w:color="0F1F3D"/>
            </w:tcBorders>
            <w:shd w:val="clear" w:color="auto" w:fill="0F1F3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5200" w:type="dxa"/>
            <w:tcBorders>
              <w:top w:val="single" w:sz="4" w:space="0" w:color="0F1F3D"/>
              <w:left w:val="single" w:sz="4" w:space="0" w:color="0F1F3D"/>
              <w:bottom w:val="single" w:sz="4" w:space="0" w:color="0F1F3D"/>
              <w:right w:val="single" w:sz="4" w:space="0" w:color="0F1F3D"/>
            </w:tcBorders>
            <w:shd w:val="clear" w:color="auto" w:fill="0F1F3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Décision</w:t>
            </w:r>
          </w:p>
        </w:tc>
        <w:tc>
          <w:tcPr>
            <w:tcW w:w="2400" w:type="dxa"/>
            <w:tcBorders>
              <w:top w:val="single" w:sz="4" w:space="0" w:color="0F1F3D"/>
              <w:left w:val="single" w:sz="4" w:space="0" w:color="0F1F3D"/>
              <w:bottom w:val="single" w:sz="4" w:space="0" w:color="0F1F3D"/>
              <w:right w:val="single" w:sz="4" w:space="0" w:color="0F1F3D"/>
            </w:tcBorders>
            <w:shd w:val="clear" w:color="auto" w:fill="0F1F3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  <w:tc>
          <w:tcPr>
            <w:tcW w:w="1606" w:type="dxa"/>
            <w:tcBorders>
              <w:top w:val="single" w:sz="4" w:space="0" w:color="0F1F3D"/>
              <w:left w:val="single" w:sz="4" w:space="0" w:color="0F1F3D"/>
              <w:bottom w:val="single" w:sz="4" w:space="0" w:color="0F1F3D"/>
              <w:right w:val="single" w:sz="4" w:space="0" w:color="0F1F3D"/>
            </w:tcBorders>
            <w:shd w:val="clear" w:color="auto" w:fill="0F1F3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Échéance</w:t>
            </w:r>
          </w:p>
        </w:tc>
      </w:tr>
      <w:tr w:rsidR="00B00572">
        <w:tc>
          <w:tcPr>
            <w:tcW w:w="7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15202B"/>
                <w:sz w:val="19"/>
                <w:szCs w:val="19"/>
              </w:rPr>
              <w:t>D1</w:t>
            </w:r>
          </w:p>
        </w:tc>
        <w:tc>
          <w:tcPr>
            <w:tcW w:w="52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Validation des maquettes du PPB (versions FR/EN et FR/AR)</w:t>
            </w:r>
          </w:p>
        </w:tc>
        <w:tc>
          <w:tcPr>
            <w:tcW w:w="24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CEBEVIRHA</w:t>
            </w:r>
          </w:p>
        </w:tc>
        <w:tc>
          <w:tcPr>
            <w:tcW w:w="1606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Immédiate</w:t>
            </w:r>
          </w:p>
        </w:tc>
      </w:tr>
      <w:tr w:rsidR="00B00572">
        <w:tc>
          <w:tcPr>
            <w:tcW w:w="7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15202B"/>
                <w:sz w:val="19"/>
                <w:szCs w:val="19"/>
              </w:rPr>
              <w:t>D2</w:t>
            </w:r>
          </w:p>
        </w:tc>
        <w:tc>
          <w:tcPr>
            <w:tcW w:w="52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Validation de l'architecture technique et du schéma de délivrance</w:t>
            </w:r>
          </w:p>
        </w:tc>
        <w:tc>
          <w:tcPr>
            <w:tcW w:w="24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CEBEVIRHA</w:t>
            </w:r>
          </w:p>
        </w:tc>
        <w:tc>
          <w:tcPr>
            <w:tcW w:w="1606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Immédiate</w:t>
            </w:r>
          </w:p>
        </w:tc>
      </w:tr>
      <w:tr w:rsidR="00B00572">
        <w:tc>
          <w:tcPr>
            <w:tcW w:w="7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15202B"/>
                <w:sz w:val="19"/>
                <w:szCs w:val="19"/>
              </w:rPr>
              <w:t>D3</w:t>
            </w:r>
          </w:p>
        </w:tc>
        <w:tc>
          <w:tcPr>
            <w:tcW w:w="52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Clôture officielle de la Phase 2 — Conception et design</w:t>
            </w:r>
          </w:p>
        </w:tc>
        <w:tc>
          <w:tcPr>
            <w:tcW w:w="24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CEBEVIRHA</w:t>
            </w:r>
          </w:p>
        </w:tc>
        <w:tc>
          <w:tcPr>
            <w:tcW w:w="1606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J15 (19/08/2026)</w:t>
            </w:r>
          </w:p>
        </w:tc>
      </w:tr>
      <w:tr w:rsidR="00B00572">
        <w:tc>
          <w:tcPr>
            <w:tcW w:w="7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15202B"/>
                <w:sz w:val="19"/>
                <w:szCs w:val="19"/>
              </w:rPr>
              <w:t>D4</w:t>
            </w:r>
          </w:p>
        </w:tc>
        <w:tc>
          <w:tcPr>
            <w:tcW w:w="52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Autorisation de démarrage de la Phase 3 — Développement et intégration</w:t>
            </w:r>
          </w:p>
        </w:tc>
        <w:tc>
          <w:tcPr>
            <w:tcW w:w="24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CEBEVIRHA</w:t>
            </w:r>
          </w:p>
        </w:tc>
        <w:tc>
          <w:tcPr>
            <w:tcW w:w="1606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J16</w:t>
            </w:r>
          </w:p>
        </w:tc>
      </w:tr>
    </w:tbl>
    <w:p w:rsidR="00B00572" w:rsidRDefault="008B2FD9">
      <w:pPr>
        <w:spacing w:before="260" w:after="140"/>
      </w:pPr>
      <w:r>
        <w:rPr>
          <w:rFonts w:ascii="Calibri" w:eastAsia="Calibri" w:hAnsi="Calibri" w:cs="Calibri"/>
          <w:b/>
          <w:bCs/>
          <w:color w:val="0B6B3A"/>
          <w:sz w:val="26"/>
          <w:szCs w:val="26"/>
        </w:rPr>
        <w:t>5. Clôture</w:t>
      </w:r>
    </w:p>
    <w:p w:rsidR="00B00572" w:rsidRDefault="008B2FD9">
      <w:pPr>
        <w:spacing w:after="140"/>
      </w:pPr>
      <w:r>
        <w:rPr>
          <w:rFonts w:ascii="Calibri" w:eastAsia="Calibri" w:hAnsi="Calibri" w:cs="Calibri"/>
          <w:color w:val="15202B"/>
          <w:szCs w:val="21"/>
        </w:rPr>
        <w:t>Le Directeur des Études Économiques, de la Planification et des Échanges a remercié le consultant pour la qualité et l'exhaustivité des travaux de conception présentés, et a confirmé, au nom de la CEBEVIRHA, la validation de la Phase 2 ainsi que l'autorisation de démarrer la Phase 3 selon le calendrier établi.</w:t>
      </w:r>
    </w:p>
    <w:p w:rsidR="00B00572" w:rsidRDefault="00B00572">
      <w:pPr>
        <w:spacing w:after="80"/>
      </w:pPr>
    </w:p>
    <w:p w:rsidR="00B00572" w:rsidRDefault="008B2FD9">
      <w:pPr>
        <w:spacing w:after="160"/>
      </w:pPr>
      <w:r>
        <w:rPr>
          <w:rFonts w:ascii="Calibri" w:eastAsia="Calibri" w:hAnsi="Calibri" w:cs="Calibri"/>
          <w:b/>
          <w:bCs/>
          <w:color w:val="15202B"/>
          <w:szCs w:val="21"/>
        </w:rPr>
        <w:t>Rédigé par : BRAHIM ABDELKHANI ISMAIL, Consultant</w:t>
      </w:r>
    </w:p>
    <w:p w:rsidR="00B00572" w:rsidRDefault="008B2FD9">
      <w:pPr>
        <w:spacing w:after="100"/>
      </w:pPr>
      <w:r>
        <w:rPr>
          <w:rFonts w:ascii="Calibri" w:eastAsia="Calibri" w:hAnsi="Calibri" w:cs="Calibri"/>
          <w:b/>
          <w:bCs/>
          <w:color w:val="15202B"/>
          <w:szCs w:val="21"/>
        </w:rPr>
        <w:t>Lu et approuvé par :</w:t>
      </w:r>
    </w:p>
    <w:tbl>
      <w:tblPr>
        <w:tblW w:w="990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1800"/>
        <w:gridCol w:w="1706"/>
      </w:tblGrid>
      <w:tr w:rsidR="00B00572">
        <w:tc>
          <w:tcPr>
            <w:tcW w:w="3200" w:type="dxa"/>
            <w:tcBorders>
              <w:top w:val="single" w:sz="4" w:space="0" w:color="0B6B3A"/>
              <w:left w:val="single" w:sz="4" w:space="0" w:color="0B6B3A"/>
              <w:bottom w:val="single" w:sz="4" w:space="0" w:color="0B6B3A"/>
              <w:right w:val="single" w:sz="4" w:space="0" w:color="0B6B3A"/>
            </w:tcBorders>
            <w:shd w:val="clear" w:color="auto" w:fill="0B6B3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Nom</w:t>
            </w:r>
          </w:p>
        </w:tc>
        <w:tc>
          <w:tcPr>
            <w:tcW w:w="3200" w:type="dxa"/>
            <w:tcBorders>
              <w:top w:val="single" w:sz="4" w:space="0" w:color="0B6B3A"/>
              <w:left w:val="single" w:sz="4" w:space="0" w:color="0B6B3A"/>
              <w:bottom w:val="single" w:sz="4" w:space="0" w:color="0B6B3A"/>
              <w:right w:val="single" w:sz="4" w:space="0" w:color="0B6B3A"/>
            </w:tcBorders>
            <w:shd w:val="clear" w:color="auto" w:fill="0B6B3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Fonction</w:t>
            </w:r>
          </w:p>
        </w:tc>
        <w:tc>
          <w:tcPr>
            <w:tcW w:w="1800" w:type="dxa"/>
            <w:tcBorders>
              <w:top w:val="single" w:sz="4" w:space="0" w:color="0B6B3A"/>
              <w:left w:val="single" w:sz="4" w:space="0" w:color="0B6B3A"/>
              <w:bottom w:val="single" w:sz="4" w:space="0" w:color="0B6B3A"/>
              <w:right w:val="single" w:sz="4" w:space="0" w:color="0B6B3A"/>
            </w:tcBorders>
            <w:shd w:val="clear" w:color="auto" w:fill="0B6B3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06" w:type="dxa"/>
            <w:tcBorders>
              <w:top w:val="single" w:sz="4" w:space="0" w:color="0B6B3A"/>
              <w:left w:val="single" w:sz="4" w:space="0" w:color="0B6B3A"/>
              <w:bottom w:val="single" w:sz="4" w:space="0" w:color="0B6B3A"/>
              <w:right w:val="single" w:sz="4" w:space="0" w:color="0B6B3A"/>
            </w:tcBorders>
            <w:shd w:val="clear" w:color="auto" w:fill="0B6B3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B00572">
        <w:tc>
          <w:tcPr>
            <w:tcW w:w="32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15202B"/>
                <w:sz w:val="19"/>
                <w:szCs w:val="19"/>
              </w:rPr>
              <w:t xml:space="preserve">M. Germain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202B"/>
                <w:sz w:val="19"/>
                <w:szCs w:val="19"/>
              </w:rPr>
              <w:t>Edou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202B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202B"/>
                <w:sz w:val="19"/>
                <w:szCs w:val="19"/>
              </w:rPr>
              <w:t>Edou</w:t>
            </w:r>
            <w:proofErr w:type="spellEnd"/>
          </w:p>
        </w:tc>
        <w:tc>
          <w:tcPr>
            <w:tcW w:w="32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Directeur des Études Économiques, de la Planification et des Échanges</w:t>
            </w:r>
          </w:p>
        </w:tc>
        <w:tc>
          <w:tcPr>
            <w:tcW w:w="18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B00572" w:rsidRDefault="00B00572"/>
        </w:tc>
        <w:tc>
          <w:tcPr>
            <w:tcW w:w="1706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EAF3E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19/08/2026</w:t>
            </w:r>
          </w:p>
        </w:tc>
      </w:tr>
      <w:tr w:rsidR="00B00572">
        <w:tc>
          <w:tcPr>
            <w:tcW w:w="32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B00572" w:rsidRDefault="008B2FD9">
            <w:r>
              <w:rPr>
                <w:rFonts w:ascii="Calibri" w:eastAsia="Calibri" w:hAnsi="Calibri" w:cs="Calibri"/>
                <w:b/>
                <w:bCs/>
                <w:color w:val="15202B"/>
                <w:sz w:val="19"/>
                <w:szCs w:val="19"/>
              </w:rPr>
              <w:t>BRAHIM ABDELKHANI ISMAIL</w:t>
            </w:r>
          </w:p>
        </w:tc>
        <w:tc>
          <w:tcPr>
            <w:tcW w:w="32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Consultant</w:t>
            </w:r>
          </w:p>
        </w:tc>
        <w:tc>
          <w:tcPr>
            <w:tcW w:w="1800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B00572" w:rsidRDefault="00B00572"/>
        </w:tc>
        <w:tc>
          <w:tcPr>
            <w:tcW w:w="1706" w:type="dxa"/>
            <w:tcBorders>
              <w:top w:val="single" w:sz="4" w:space="0" w:color="E8E4DA"/>
              <w:left w:val="single" w:sz="4" w:space="0" w:color="E8E4DA"/>
              <w:bottom w:val="single" w:sz="4" w:space="0" w:color="E8E4DA"/>
              <w:right w:val="single" w:sz="4" w:space="0" w:color="E8E4DA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B00572" w:rsidRDefault="008B2FD9">
            <w:r>
              <w:rPr>
                <w:rFonts w:ascii="Calibri" w:eastAsia="Calibri" w:hAnsi="Calibri" w:cs="Calibri"/>
                <w:color w:val="15202B"/>
                <w:sz w:val="19"/>
                <w:szCs w:val="19"/>
              </w:rPr>
              <w:t>19/08/2026</w:t>
            </w:r>
          </w:p>
        </w:tc>
      </w:tr>
    </w:tbl>
    <w:p w:rsidR="00B00572" w:rsidRDefault="00B00572">
      <w:pPr>
        <w:spacing w:after="200"/>
      </w:pPr>
    </w:p>
    <w:p w:rsidR="00B00572" w:rsidRDefault="008B2FD9">
      <w:pPr>
        <w:jc w:val="center"/>
      </w:pPr>
      <w:r>
        <w:rPr>
          <w:rFonts w:ascii="Calibri" w:eastAsia="Calibri" w:hAnsi="Calibri" w:cs="Calibri"/>
          <w:i/>
          <w:iCs/>
          <w:color w:val="5A6575"/>
          <w:sz w:val="18"/>
          <w:szCs w:val="18"/>
        </w:rPr>
        <w:t>Le présent procès-verbal est établi en deux (02) exemplaires originaux.</w:t>
      </w:r>
    </w:p>
    <w:sectPr w:rsidR="00B00572">
      <w:headerReference w:type="default" r:id="rId7"/>
      <w:footerReference w:type="default" r:id="rId8"/>
      <w:pgSz w:w="11906" w:h="16838"/>
      <w:pgMar w:top="1000" w:right="1000" w:bottom="1000" w:left="1000" w:header="708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E7FA9" w:rsidRDefault="00EE7FA9">
      <w:r>
        <w:separator/>
      </w:r>
    </w:p>
  </w:endnote>
  <w:endnote w:type="continuationSeparator" w:id="0">
    <w:p w:rsidR="00EE7FA9" w:rsidRDefault="00EE7F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00572" w:rsidRDefault="008B2FD9">
    <w:pPr>
      <w:pBdr>
        <w:top w:val="single" w:sz="6" w:space="0" w:color="0B6B3A"/>
      </w:pBdr>
      <w:tabs>
        <w:tab w:val="center" w:pos="4953"/>
        <w:tab w:val="right" w:pos="9906"/>
      </w:tabs>
      <w:spacing w:before="100"/>
    </w:pPr>
    <w:r>
      <w:rPr>
        <w:rFonts w:ascii="Calibri" w:eastAsia="Calibri" w:hAnsi="Calibri" w:cs="Calibri"/>
        <w:color w:val="5A6575"/>
        <w:sz w:val="16"/>
        <w:szCs w:val="16"/>
      </w:rPr>
      <w:t>PV Réunion — Clôture Phase 2</w:t>
    </w:r>
    <w:r>
      <w:rPr>
        <w:rFonts w:ascii="Calibri" w:eastAsia="Calibri" w:hAnsi="Calibri" w:cs="Calibri"/>
        <w:color w:val="5A6575"/>
        <w:sz w:val="16"/>
        <w:szCs w:val="16"/>
      </w:rPr>
      <w:tab/>
      <w:t xml:space="preserve">Page </w:t>
    </w:r>
    <w:r>
      <w:rPr>
        <w:rFonts w:ascii="Calibri" w:eastAsia="Calibri" w:hAnsi="Calibri" w:cs="Calibri"/>
        <w:b/>
        <w:bCs/>
        <w:color w:val="5A6575"/>
        <w:sz w:val="16"/>
        <w:szCs w:val="16"/>
      </w:rPr>
      <w:fldChar w:fldCharType="begin"/>
    </w:r>
    <w:r>
      <w:rPr>
        <w:rFonts w:ascii="Calibri" w:eastAsia="Calibri" w:hAnsi="Calibri" w:cs="Calibri"/>
        <w:b/>
        <w:bCs/>
        <w:color w:val="5A6575"/>
        <w:sz w:val="16"/>
        <w:szCs w:val="16"/>
      </w:rPr>
      <w:instrText>PAGE</w:instrText>
    </w:r>
    <w:r>
      <w:rPr>
        <w:rFonts w:ascii="Calibri" w:eastAsia="Calibri" w:hAnsi="Calibri" w:cs="Calibri"/>
        <w:b/>
        <w:bCs/>
        <w:color w:val="5A6575"/>
        <w:sz w:val="16"/>
        <w:szCs w:val="16"/>
      </w:rPr>
      <w:fldChar w:fldCharType="separate"/>
    </w:r>
    <w:r w:rsidR="00397E4E">
      <w:rPr>
        <w:rFonts w:ascii="Calibri" w:eastAsia="Calibri" w:hAnsi="Calibri" w:cs="Calibri"/>
        <w:b/>
        <w:bCs/>
        <w:noProof/>
        <w:color w:val="5A6575"/>
        <w:sz w:val="16"/>
        <w:szCs w:val="16"/>
      </w:rPr>
      <w:t>3</w:t>
    </w:r>
    <w:r>
      <w:rPr>
        <w:rFonts w:ascii="Calibri" w:eastAsia="Calibri" w:hAnsi="Calibri" w:cs="Calibri"/>
        <w:b/>
        <w:bCs/>
        <w:color w:val="5A6575"/>
        <w:sz w:val="16"/>
        <w:szCs w:val="16"/>
      </w:rPr>
      <w:fldChar w:fldCharType="end"/>
    </w:r>
    <w:r>
      <w:rPr>
        <w:rFonts w:ascii="Calibri" w:eastAsia="Calibri" w:hAnsi="Calibri" w:cs="Calibri"/>
        <w:color w:val="5A6575"/>
        <w:sz w:val="16"/>
        <w:szCs w:val="16"/>
      </w:rPr>
      <w:t xml:space="preserve"> / </w:t>
    </w:r>
    <w:r>
      <w:rPr>
        <w:rFonts w:ascii="Calibri" w:eastAsia="Calibri" w:hAnsi="Calibri" w:cs="Calibri"/>
        <w:color w:val="5A6575"/>
        <w:sz w:val="16"/>
        <w:szCs w:val="16"/>
      </w:rPr>
      <w:fldChar w:fldCharType="begin"/>
    </w:r>
    <w:r>
      <w:rPr>
        <w:rFonts w:ascii="Calibri" w:eastAsia="Calibri" w:hAnsi="Calibri" w:cs="Calibri"/>
        <w:color w:val="5A6575"/>
        <w:sz w:val="16"/>
        <w:szCs w:val="16"/>
      </w:rPr>
      <w:instrText>NUMPAGES</w:instrText>
    </w:r>
    <w:r>
      <w:rPr>
        <w:rFonts w:ascii="Calibri" w:eastAsia="Calibri" w:hAnsi="Calibri" w:cs="Calibri"/>
        <w:color w:val="5A6575"/>
        <w:sz w:val="16"/>
        <w:szCs w:val="16"/>
      </w:rPr>
      <w:fldChar w:fldCharType="separate"/>
    </w:r>
    <w:r w:rsidR="00397E4E">
      <w:rPr>
        <w:rFonts w:ascii="Calibri" w:eastAsia="Calibri" w:hAnsi="Calibri" w:cs="Calibri"/>
        <w:noProof/>
        <w:color w:val="5A6575"/>
        <w:sz w:val="16"/>
        <w:szCs w:val="16"/>
      </w:rPr>
      <w:t>3</w:t>
    </w:r>
    <w:r>
      <w:rPr>
        <w:rFonts w:ascii="Calibri" w:eastAsia="Calibri" w:hAnsi="Calibri" w:cs="Calibri"/>
        <w:color w:val="5A6575"/>
        <w:sz w:val="16"/>
        <w:szCs w:val="16"/>
      </w:rPr>
      <w:fldChar w:fldCharType="end"/>
    </w:r>
    <w:r>
      <w:rPr>
        <w:rFonts w:ascii="Calibri" w:eastAsia="Calibri" w:hAnsi="Calibri" w:cs="Calibri"/>
        <w:b/>
        <w:bCs/>
        <w:color w:val="0B6B3A"/>
        <w:sz w:val="16"/>
        <w:szCs w:val="16"/>
      </w:rPr>
      <w:tab/>
      <w:t>CEBEVIRHA — FLUVIAC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E7FA9" w:rsidRDefault="00EE7FA9">
      <w:r>
        <w:separator/>
      </w:r>
    </w:p>
  </w:footnote>
  <w:footnote w:type="continuationSeparator" w:id="0">
    <w:p w:rsidR="00EE7FA9" w:rsidRDefault="00EE7FA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13334" w:rsidRDefault="00A13334">
    <w:pPr>
      <w:pStyle w:val="En-tte"/>
    </w:pPr>
    <w:r w:rsidRPr="00A13334">
      <w:rPr>
        <w:noProof/>
      </w:rPr>
      <w:drawing>
        <wp:inline distT="0" distB="0" distL="0" distR="0" wp14:anchorId="23617506" wp14:editId="6CD319FB">
          <wp:extent cx="6290310" cy="1507053"/>
          <wp:effectExtent l="0" t="0" r="0" b="0"/>
          <wp:docPr id="1" name="Image 1" descr="C:\Users\DT\Desktop\PROJET PPB\ppb-platform\LOGO_CEBEVIRHA_BON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T\Desktop\PROJET PPB\ppb-platform\LOGO_CEBEVIRHA_BON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90310" cy="150705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hybridMultilevel"/>
    <w:tmpl w:val="FFFFFFFF"/>
    <w:lvl w:ilvl="0" w:tplc="97DE91F8">
      <w:start w:val="1"/>
      <w:numFmt w:val="bullet"/>
      <w:lvlText w:val="●"/>
      <w:lvlJc w:val="left"/>
      <w:pPr>
        <w:ind w:left="420" w:hanging="260"/>
      </w:pPr>
    </w:lvl>
    <w:lvl w:ilvl="1" w:tplc="63E01042">
      <w:numFmt w:val="decimal"/>
      <w:lvlText w:val=""/>
      <w:lvlJc w:val="left"/>
    </w:lvl>
    <w:lvl w:ilvl="2" w:tplc="0552700A">
      <w:numFmt w:val="decimal"/>
      <w:lvlText w:val=""/>
      <w:lvlJc w:val="left"/>
    </w:lvl>
    <w:lvl w:ilvl="3" w:tplc="950680D8">
      <w:numFmt w:val="decimal"/>
      <w:lvlText w:val=""/>
      <w:lvlJc w:val="left"/>
    </w:lvl>
    <w:lvl w:ilvl="4" w:tplc="4CD058F6">
      <w:numFmt w:val="decimal"/>
      <w:lvlText w:val=""/>
      <w:lvlJc w:val="left"/>
    </w:lvl>
    <w:lvl w:ilvl="5" w:tplc="57B410D0">
      <w:numFmt w:val="decimal"/>
      <w:lvlText w:val=""/>
      <w:lvlJc w:val="left"/>
    </w:lvl>
    <w:lvl w:ilvl="6" w:tplc="4FDC2DB8">
      <w:numFmt w:val="decimal"/>
      <w:lvlText w:val=""/>
      <w:lvlJc w:val="left"/>
    </w:lvl>
    <w:lvl w:ilvl="7" w:tplc="383E0026">
      <w:numFmt w:val="decimal"/>
      <w:lvlText w:val=""/>
      <w:lvlJc w:val="left"/>
    </w:lvl>
    <w:lvl w:ilvl="8" w:tplc="29BC7340">
      <w:numFmt w:val="decimal"/>
      <w:lvlText w:val=""/>
      <w:lvlJc w:val="left"/>
    </w:lvl>
  </w:abstractNum>
  <w:abstractNum w:abstractNumId="1">
    <w:nsid w:val="5056299E"/>
    <w:multiLevelType w:val="hybridMultilevel"/>
    <w:tmpl w:val="FFFFFFFF"/>
    <w:lvl w:ilvl="0" w:tplc="AE963792" w:tentative="1">
      <w:start w:val="1"/>
      <w:numFmt w:val="bullet"/>
      <w:lvlText w:val="●"/>
      <w:lvlJc w:val="left"/>
      <w:pPr>
        <w:ind w:left="720" w:hanging="360"/>
      </w:pPr>
    </w:lvl>
    <w:lvl w:ilvl="1" w:tplc="6E3C4E50" w:tentative="1">
      <w:start w:val="1"/>
      <w:numFmt w:val="bullet"/>
      <w:lvlText w:val="○"/>
      <w:lvlJc w:val="left"/>
      <w:pPr>
        <w:ind w:left="1440" w:hanging="360"/>
      </w:pPr>
    </w:lvl>
    <w:lvl w:ilvl="2" w:tplc="C388BFDE" w:tentative="1">
      <w:start w:val="1"/>
      <w:numFmt w:val="bullet"/>
      <w:lvlText w:val="■"/>
      <w:lvlJc w:val="left"/>
      <w:pPr>
        <w:ind w:left="2160" w:hanging="360"/>
      </w:pPr>
    </w:lvl>
    <w:lvl w:ilvl="3" w:tplc="5A26CDA0" w:tentative="1">
      <w:start w:val="1"/>
      <w:numFmt w:val="bullet"/>
      <w:lvlText w:val="●"/>
      <w:lvlJc w:val="left"/>
      <w:pPr>
        <w:ind w:left="2880" w:hanging="360"/>
      </w:pPr>
    </w:lvl>
    <w:lvl w:ilvl="4" w:tplc="F0429AB2" w:tentative="1">
      <w:start w:val="1"/>
      <w:numFmt w:val="bullet"/>
      <w:lvlText w:val="○"/>
      <w:lvlJc w:val="left"/>
      <w:pPr>
        <w:ind w:left="3600" w:hanging="360"/>
      </w:pPr>
    </w:lvl>
    <w:lvl w:ilvl="5" w:tplc="387C58C4" w:tentative="1">
      <w:start w:val="1"/>
      <w:numFmt w:val="bullet"/>
      <w:lvlText w:val="■"/>
      <w:lvlJc w:val="left"/>
      <w:pPr>
        <w:ind w:left="4320" w:hanging="360"/>
      </w:pPr>
    </w:lvl>
    <w:lvl w:ilvl="6" w:tplc="CADCF75E" w:tentative="1">
      <w:start w:val="1"/>
      <w:numFmt w:val="bullet"/>
      <w:lvlText w:val="●"/>
      <w:lvlJc w:val="left"/>
      <w:pPr>
        <w:ind w:left="5040" w:hanging="360"/>
      </w:pPr>
    </w:lvl>
    <w:lvl w:ilvl="7" w:tplc="9A9CE55A" w:tentative="1">
      <w:start w:val="1"/>
      <w:numFmt w:val="bullet"/>
      <w:lvlText w:val="●"/>
      <w:lvlJc w:val="left"/>
      <w:pPr>
        <w:ind w:left="5760" w:hanging="360"/>
      </w:pPr>
    </w:lvl>
    <w:lvl w:ilvl="8" w:tplc="480E8F3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0572"/>
    <w:rsid w:val="00397E4E"/>
    <w:rsid w:val="008B2FD9"/>
    <w:rsid w:val="00A13334"/>
    <w:rsid w:val="00B00572"/>
    <w:rsid w:val="00EB0408"/>
    <w:rsid w:val="00EE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BA2D36B-3D5D-49F3-94CA-848032C10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jc w:val="both"/>
    </w:pPr>
    <w:rPr>
      <w:sz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Titre11">
    <w:name w:val="Titre 11"/>
    <w:qFormat/>
    <w:rPr>
      <w:color w:val="2E74B5"/>
      <w:sz w:val="32"/>
      <w:szCs w:val="32"/>
    </w:rPr>
  </w:style>
  <w:style w:type="paragraph" w:customStyle="1" w:styleId="Titre21">
    <w:name w:val="Titre 21"/>
    <w:qFormat/>
    <w:rPr>
      <w:color w:val="2E74B5"/>
      <w:sz w:val="26"/>
      <w:szCs w:val="26"/>
    </w:rPr>
  </w:style>
  <w:style w:type="paragraph" w:customStyle="1" w:styleId="Titre31">
    <w:name w:val="Titre 31"/>
    <w:qFormat/>
    <w:rPr>
      <w:color w:val="1F4D78"/>
      <w:sz w:val="24"/>
      <w:szCs w:val="24"/>
    </w:rPr>
  </w:style>
  <w:style w:type="paragraph" w:customStyle="1" w:styleId="Titre41">
    <w:name w:val="Titre 41"/>
    <w:qFormat/>
    <w:rPr>
      <w:i/>
      <w:iCs/>
      <w:color w:val="2E74B5"/>
    </w:rPr>
  </w:style>
  <w:style w:type="paragraph" w:customStyle="1" w:styleId="Titre51">
    <w:name w:val="Titre 51"/>
    <w:qFormat/>
    <w:rPr>
      <w:color w:val="2E74B5"/>
    </w:rPr>
  </w:style>
  <w:style w:type="paragraph" w:customStyle="1" w:styleId="Titre61">
    <w:name w:val="Titre 61"/>
    <w:qFormat/>
    <w:rPr>
      <w:color w:val="1F4D78"/>
    </w:rPr>
  </w:style>
  <w:style w:type="paragraph" w:customStyle="1" w:styleId="Strong79978b48-3567-413c-8142-550a05849c32">
    <w:name w:val="Strong_79978b48-3567-413c-8142-550a05849c32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rPr>
      <w:color w:val="0563C1"/>
      <w:u w:val="single"/>
    </w:rPr>
  </w:style>
  <w:style w:type="character" w:styleId="Appelnotedebasdep">
    <w:name w:val="footnote reference"/>
    <w:uiPriority w:val="99"/>
    <w:rPr>
      <w:vertAlign w:val="superscript"/>
    </w:rPr>
  </w:style>
  <w:style w:type="paragraph" w:styleId="Notedebasdepage">
    <w:name w:val="footnote text"/>
    <w:link w:val="NotedebasdepageCar"/>
    <w:uiPriority w:val="99"/>
  </w:style>
  <w:style w:type="character" w:customStyle="1" w:styleId="NotedebasdepageCar">
    <w:name w:val="Note de bas de page Car"/>
    <w:link w:val="Notedebasdepage"/>
    <w:uiPriority w:val="99"/>
    <w:rPr>
      <w:sz w:val="20"/>
      <w:szCs w:val="20"/>
    </w:rPr>
  </w:style>
  <w:style w:type="character" w:styleId="Appeldenotedefin">
    <w:name w:val="endnote reference"/>
    <w:uiPriority w:val="99"/>
    <w:rPr>
      <w:vertAlign w:val="superscript"/>
    </w:rPr>
  </w:style>
  <w:style w:type="paragraph" w:styleId="Notedefin">
    <w:name w:val="endnote text"/>
    <w:link w:val="NotedefinCar"/>
    <w:uiPriority w:val="99"/>
  </w:style>
  <w:style w:type="character" w:customStyle="1" w:styleId="NotedefinCar">
    <w:name w:val="Note de fin Car"/>
    <w:link w:val="Notedefin"/>
    <w:uiPriority w:val="99"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A1333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A13334"/>
    <w:rPr>
      <w:sz w:val="21"/>
    </w:rPr>
  </w:style>
  <w:style w:type="paragraph" w:styleId="Pieddepage">
    <w:name w:val="footer"/>
    <w:basedOn w:val="Normal"/>
    <w:link w:val="PieddepageCar"/>
    <w:uiPriority w:val="99"/>
    <w:unhideWhenUsed/>
    <w:rsid w:val="00A1333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13334"/>
    <w:rPr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687</Words>
  <Characters>3780</Characters>
  <Application>Microsoft Office Word</Application>
  <DocSecurity>0</DocSecurity>
  <Lines>31</Lines>
  <Paragraphs>8</Paragraphs>
  <ScaleCrop>false</ScaleCrop>
  <Company/>
  <LinksUpToDate>false</LinksUpToDate>
  <CharactersWithSpaces>4459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DT</cp:lastModifiedBy>
  <cp:revision>4</cp:revision>
  <dcterms:created xsi:type="dcterms:W3CDTF">2026-08-20T05:44:00Z</dcterms:created>
  <dcterms:modified xsi:type="dcterms:W3CDTF">2026-08-20T06:28:00Z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eee970252b5c4de595c43042e521fcd0_23</vt:lpwstr>
  </property>
</Properties>
</file>