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31 août 2026 </w:t>
      </w:r>
      <w:r>
        <w:rPr>
          <w:b/>
        </w:rPr>
        <w:t>Migration de référence :</w:t>
      </w:r>
      <w:r>
        <w:t xml:space="preserve"> </w:t>
      </w:r>
      <w:r>
        <w:rPr>
          <w:rFonts w:ascii="Consolas" w:hAnsi="Consolas"/>
          <w:shd w:fill="EEF2F4"/>
        </w:rPr>
        <w:t>supabase/migrations/20260831120000_specialist_admin_portal.sql</w:t>
      </w:r>
      <w:r>
        <w:t xml:space="preserve"> </w:t>
      </w:r>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v2 enregistre la version exacte du catalogue utilisée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cette couche sans supprimer les fonctions v1 historiques. Les appels v2 assurent désormais la provenance du catalogue de spécialités.</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soumissions v2                 - brouillon de configuration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La soumission v2 transmet l’identifiant UUID de la version publiée utilisée.</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Contexte</w:t>
            </w:r>
          </w:p>
        </w:tc>
        <w:tc>
          <w:tcPr>
            <w:shd w:fill="F5F8F8"/>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5F8F8"/>
          </w:tcPr>
          <w:p>
            <w:pPr>
              <w:pStyle w:val="TableText"/>
              <w:spacing w:after="0"/>
            </w:pPr>
            <w:r>
              <w:t>Métadonnées facultatives et langue.</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p>
        </w:tc>
        <w:tc>
          <w:tcPr>
            <w:shd w:fill="FFFFFF"/>
          </w:tcPr>
          <w:p>
            <w:pPr>
              <w:pStyle w:val="TableText"/>
              <w:spacing w:after="0"/>
            </w:pPr>
            <w:r>
              <w:t>Versions nécessaires à l’interprétation.</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utilisé par une soumission v2.</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FFFFF"/>
          </w:tcPr>
          <w:p>
            <w:pPr>
              <w:pStyle w:val="TableText"/>
              <w:spacing w:after="0"/>
            </w:pPr>
            <w:r>
              <w:t>81 notes, valeurs choisies et langue.</w:t>
            </w:r>
          </w:p>
        </w:tc>
      </w:tr>
      <w:tr>
        <w:tc>
          <w:tcPr>
            <w:shd w:fill="F5F8F8"/>
          </w:tcPr>
          <w:p>
            <w:pPr>
              <w:pStyle w:val="TableText"/>
              <w:spacing w:after="0"/>
            </w:pPr>
            <w:r>
              <w:t>Métadonnées de carrière</w:t>
            </w:r>
          </w:p>
        </w:tc>
        <w:tc>
          <w:tcPr>
            <w:shd w:fill="F5F8F8"/>
          </w:tcPr>
          <w:p>
            <w:pPr>
              <w:pStyle w:val="TableText"/>
              <w:spacing w:after="0"/>
            </w:pPr>
            <w:r>
              <w:rPr>
                <w:rFonts w:ascii="Consolas" w:hAnsi="Consolas"/>
                <w:shd w:fill="EEF2F4"/>
              </w:rPr>
              <w:t>years_of_experience</w:t>
            </w:r>
            <w:r>
              <w:t xml:space="preserve">, </w:t>
            </w:r>
            <w:r>
              <w:rPr>
                <w:rFonts w:ascii="Consolas" w:hAnsi="Consolas"/>
                <w:shd w:fill="EEF2F4"/>
              </w:rPr>
              <w:t>career_satisfaction</w:t>
            </w:r>
          </w:p>
        </w:tc>
        <w:tc>
          <w:tcPr>
            <w:shd w:fill="F5F8F8"/>
          </w:tcPr>
          <w:p>
            <w:pPr>
              <w:pStyle w:val="TableText"/>
              <w:spacing w:after="0"/>
            </w:pPr>
            <w:r>
              <w:t>Expérience et satisfaction facultatives.</w:t>
            </w:r>
          </w:p>
        </w:tc>
      </w:tr>
      <w:tr>
        <w:tc>
          <w:tcPr>
            <w:shd w:fill="FFFFFF"/>
          </w:tcPr>
          <w:p>
            <w:pPr>
              <w:pStyle w:val="TableText"/>
              <w:spacing w:after="0"/>
            </w:pPr>
            <w:r>
              <w:t>Choix professionnel</w:t>
            </w:r>
          </w:p>
        </w:tc>
        <w:tc>
          <w:tcPr>
            <w:shd w:fill="FFFFFF"/>
          </w:tcPr>
          <w:p>
            <w:pPr>
              <w:pStyle w:val="TableText"/>
              <w:spacing w:after="0"/>
            </w:pPr>
            <w:r>
              <w:rPr>
                <w:rFonts w:ascii="Consolas" w:hAnsi="Consolas"/>
                <w:shd w:fill="EEF2F4"/>
              </w:rPr>
              <w:t>would_choose_again_code</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Codes canoniques indépendants de la langue.</w:t>
            </w:r>
          </w:p>
        </w:tc>
      </w:tr>
      <w:tr>
        <w:tc>
          <w:tcPr>
            <w:shd w:fill="F5F8F8"/>
          </w:tcPr>
          <w:p>
            <w:pPr>
              <w:pStyle w:val="TableText"/>
              <w:spacing w:after="0"/>
            </w:pPr>
            <w:r>
              <w:t>Colonnes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Anciennes étiquettes localisées, conservées pour l’historique.</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utilisé par une soumission v2.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Modifier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Consulter l’historique éditorial</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Publier une version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Demander une restauration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Écrire directement dans les tables privées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r>
        <w:tc>
          <w:tcPr>
            <w:shd w:fill="F5F8F8"/>
          </w:tcPr>
          <w:p>
            <w:pPr>
              <w:pStyle w:val="TableText"/>
              <w:spacing w:after="0"/>
            </w:pPr>
            <w:r>
              <w:t>Modifier/supprimer directement les réponses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Pour les lignes v1 courantes, la base contrôle notamment :</w:t>
      </w:r>
    </w:p>
    <w:p>
      <w:pPr>
        <w:pStyle w:val="ListBullet"/>
        <w:ind w:left="520" w:hanging="280"/>
        <w:spacing w:after="70"/>
      </w:pPr>
      <w:r>
        <w:rPr>
          <w:b/>
          <w:color w:val="0B6B70"/>
        </w:rPr>
        <w:t xml:space="preserve">• </w:t>
      </w:r>
      <w:r>
        <w:t>exactement 81 identifiants de questions attendus ;</w:t>
      </w:r>
    </w:p>
    <w:p>
      <w:pPr>
        <w:pStyle w:val="ListBullet"/>
        <w:ind w:left="520" w:hanging="280"/>
        <w:spacing w:after="70"/>
      </w:pPr>
      <w:r>
        <w:rPr>
          <w:b/>
          <w:color w:val="0B6B70"/>
        </w:rPr>
        <w:t xml:space="preserve">• </w:t>
      </w:r>
      <w:r>
        <w:t>des notes entières de 1 à 10 ;</w:t>
      </w:r>
    </w:p>
    <w:p>
      <w:pPr>
        <w:pStyle w:val="ListBullet"/>
        <w:ind w:left="520" w:hanging="280"/>
        <w:spacing w:after="70"/>
      </w:pPr>
      <w:r>
        <w:rPr>
          <w:b/>
          <w:color w:val="0B6B70"/>
        </w:rPr>
        <w:t xml:space="preserve">• </w:t>
      </w:r>
      <w:r>
        <w:t>une à quatre valeurs canoniques, distinctes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les versions exactes du questionnaire, des catalogues, du scoring/calibrage et du consentement ;</w:t>
      </w:r>
    </w:p>
    <w:p>
      <w:pPr>
        <w:pStyle w:val="ListBullet"/>
        <w:ind w:left="520" w:hanging="280"/>
        <w:spacing w:after="70"/>
      </w:pPr>
      <w:r>
        <w:rPr>
          <w:b/>
          <w:color w:val="0B6B70"/>
        </w:rPr>
        <w:t xml:space="preserve">• </w:t>
      </w:r>
      <w:r>
        <w:t>la structure des scores clients étudiants.</w:t>
      </w:r>
    </w:p>
    <w:p>
      <w:r>
        <w:t>Les lignes historiques v0 sont conservées et identifiées comme legacy ; elles ne doivent pas être confondues avec une réponse éligible au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les 81 réponses brutes ;</w:t>
      </w:r>
    </w:p>
    <w:p>
      <w:pPr>
        <w:pStyle w:val="ListBullet"/>
        <w:ind w:left="520" w:hanging="280"/>
        <w:spacing w:after="70"/>
      </w:pPr>
      <w:r>
        <w:rPr>
          <w:b/>
          <w:color w:val="0B6B70"/>
        </w:rPr>
        <w:t xml:space="preserve">• </w:t>
      </w:r>
      <w:r>
        <w:t>les valeurs sélectionnées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l’UUID et la révision du catalogue dynamique publié.</w:t>
      </w:r>
    </w:p>
    <w:p>
      <w:r>
        <w:t>Les RPC v2 enregistrent les deux derniers champs de provenance dans la ligne de réponse. Cela permet de retrouver l’instantané exact même après plusieurs publications.</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restent disponibles pour la compatibilité et certaines lignes peuvent ne pas avoir une provenance dynamique complète. Le dashboard doit distinguer :</w:t>
      </w:r>
    </w:p>
    <w:p>
      <w:pPr>
        <w:pStyle w:val="ListBullet"/>
        <w:ind w:left="520" w:hanging="280"/>
        <w:spacing w:after="70"/>
      </w:pPr>
      <w:r>
        <w:rPr>
          <w:b/>
          <w:color w:val="0B6B70"/>
        </w:rPr>
        <w:t xml:space="preserve">• </w:t>
      </w:r>
      <w:r>
        <w:t>données courantes et reproductibles ;</w:t>
      </w:r>
    </w:p>
    <w:p>
      <w:pPr>
        <w:pStyle w:val="ListBullet"/>
        <w:ind w:left="520" w:hanging="280"/>
        <w:spacing w:after="70"/>
      </w:pPr>
      <w:r>
        <w:rPr>
          <w:b/>
          <w:color w:val="0B6B70"/>
        </w:rPr>
        <w:t xml:space="preserve">• </w:t>
      </w:r>
      <w:r>
        <w:t>données legacy consultables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Ce trait n’est créé que lorsqu’un participant sélectionne la valeur « Manual/hands-on activity ». Il n’est donc pas mesuré pour toute la cohorte. Si une spécialité utilise ce trait, les participants qui ne sélectionnent pas cette valeur ne disposent pas d’une mesure comparable issue du questionnaire.</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restent compatibles avec les données historiques.</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une soumission v2 synthétique et vérifier sa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journaux techniques de la plateforme peuvent contenir des métadonnées opérationnelles. La durée de conservation, les procédures de purge, les sauvegardes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 de structure :</w:t>
      </w:r>
      <w:r>
        <w:t xml:space="preserve"> </w:t>
      </w:r>
      <w:r>
        <w:rPr>
          <w:rFonts w:ascii="Consolas" w:hAnsi="Consolas"/>
          <w:shd w:fill="EEF2F4"/>
        </w:rPr>
        <w:t>supabase/migrations/20260831120000_specialist_admin_portal.sql</w:t>
      </w:r>
      <w:r>
        <w:t xml:space="preserve"> </w:t>
      </w:r>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2026-08-31T13:20:49Z</dcterms:created>
  <dcterms:modified xsi:type="dcterms:W3CDTF">2026-08-31T13:20:49Z</dcterms:modified>
</cp:coreProperties>
</file>