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6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et </w:t>
      </w:r>
      <w:r>
        <w:rPr>
          <w:rFonts w:ascii="Consolas" w:hAnsi="Consolas"/>
          <w:shd w:fill="EEF2F4"/>
        </w:rPr>
        <w:t>supabase/migrations/20260906090000_limit_student_study_year_to_six.sql</w:t>
      </w:r>
    </w:p>
    <w:p>
      <w:r>
        <w:rPr>
          <w:b/>
        </w:rPr>
        <w:t>Périmètre :</w:t>
      </w:r>
      <w:r>
        <w:t xml:space="preserve"> Supabase Auth, PostgreSQL, collecte de recherche, catalogue éditable des spécialités, sécurité, versionnement et provenance scientifique.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de schéma 2, envoyée par une RPC v3,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l'entretien spécialiste de schéma 2 collecte cinq réponses qualitatives après les 81 items, au lieu des anciens champs structurés d'expérience, satisfaction, intention de changement et caractère volontaire du choix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Les appels v2 restent utilisables pour l'historique ; les nouvelles collectes utilisent v3.</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soumissions v3 / schéma 2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submit_*_response_v1/v2/v3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v3 transmet l’identifiant UUID de la version publiée utilisée et crée une ligne de </w:t>
      </w:r>
      <w:r>
        <w:rPr>
          <w:rFonts w:ascii="Consolas" w:hAnsi="Consolas"/>
          <w:shd w:fill="EEF2F4"/>
        </w:rPr>
        <w:t>submission_schema_version = 2</w:t>
      </w:r>
      <w:r>
        <w:t>.</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Pour un spécialiste, la spécialité réelle et les cinq réponses qualitatives ne sont demandées qu'après les 81 notes et le choix des valeurs, afin de réduire le biais d'ancrage pendant le questionnaire principal.</w:t>
      </w:r>
    </w:p>
    <w:p>
      <w:pPr>
        <w:pStyle w:val="ListNumber"/>
        <w:ind w:left="520" w:hanging="280"/>
        <w:spacing w:after="70"/>
      </w:pPr>
      <w:r>
        <w:rPr>
          <w:b/>
          <w:color w:val="0B6B70"/>
        </w:rPr>
        <w:t xml:space="preserve">7. </w:t>
      </w:r>
      <w:r>
        <w:t xml:space="preserve">Le profil « découverte de la médecine » calcule son profil et son classement uniquement dans le navigateur, puis accède directement aux résultats. Il ne passe par aucun formulaire de recherche et n'est inséré ni dans </w:t>
      </w:r>
      <w:r>
        <w:rPr>
          <w:rFonts w:ascii="Consolas" w:hAnsi="Consolas"/>
          <w:shd w:fill="EEF2F4"/>
        </w:rPr>
        <w:t>student_responses</w:t>
      </w:r>
      <w:r>
        <w:t xml:space="preserve"> ni dans </w:t>
      </w:r>
      <w:r>
        <w:rPr>
          <w:rFonts w:ascii="Consolas" w:hAnsi="Consolas"/>
          <w:shd w:fill="EEF2F4"/>
        </w:rPr>
        <w:t>specialist_responses</w:t>
      </w:r>
      <w:r>
        <w:t>, afin de préserver la séparation des cohortes.</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 verbatim qualitatif des spécialistes et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Contexte</w:t>
            </w:r>
          </w:p>
        </w:tc>
        <w:tc>
          <w:tcPr>
            <w:shd w:fill="F5F8F8"/>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5F8F8"/>
          </w:tcPr>
          <w:p>
            <w:pPr>
              <w:pStyle w:val="TableText"/>
              <w:spacing w:after="0"/>
            </w:pPr>
            <w:r>
              <w:t xml:space="preserve">Métadonnées facultatives et langue. Pour toute nouvelle réponse, </w:t>
            </w:r>
            <w:r>
              <w:rPr>
                <w:rFonts w:ascii="Consolas" w:hAnsi="Consolas"/>
                <w:shd w:fill="EEF2F4"/>
              </w:rPr>
              <w:t>study_year</w:t>
            </w:r>
            <w:r>
              <w:t xml:space="preserve"> vaut </w:t>
            </w:r>
            <w:r>
              <w:rPr>
                <w:rFonts w:ascii="Consolas" w:hAnsi="Consolas"/>
                <w:shd w:fill="EEF2F4"/>
              </w:rPr>
              <w:t>NULL</w:t>
            </w:r>
            <w:r>
              <w:t xml:space="preserve"> ou un entier de 1 à 6.</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p>
        </w:tc>
        <w:tc>
          <w:tcPr>
            <w:shd w:fill="FFFFFF"/>
          </w:tcPr>
          <w:p>
            <w:pPr>
              <w:pStyle w:val="TableText"/>
              <w:spacing w:after="0"/>
            </w:pPr>
            <w:r>
              <w:t>Versions nécessaires à l’interprétation.</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et v3 ; obligatoire pour le schéma 2.</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FFFFF"/>
          </w:tcPr>
          <w:p>
            <w:pPr>
              <w:pStyle w:val="TableText"/>
              <w:spacing w:after="0"/>
            </w:pPr>
            <w:r>
              <w:t>81 notes, valeurs choisies et langue.</w:t>
            </w:r>
          </w:p>
        </w:tc>
      </w:tr>
      <w:tr>
        <w:tc>
          <w:tcPr>
            <w:shd w:fill="F5F8F8"/>
          </w:tcPr>
          <w:p>
            <w:pPr>
              <w:pStyle w:val="TableText"/>
              <w:spacing w:after="0"/>
            </w:pPr>
            <w:r>
              <w:t>Entretien qualitatif courant</w:t>
            </w:r>
          </w:p>
        </w:tc>
        <w:tc>
          <w:tcPr>
            <w:shd w:fill="F5F8F8"/>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5F8F8"/>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FFFFF"/>
          </w:tcPr>
          <w:p>
            <w:pPr>
              <w:pStyle w:val="TableText"/>
              <w:spacing w:after="0"/>
            </w:pPr>
            <w:r>
              <w:t>Choix à refaire</w:t>
            </w:r>
          </w:p>
        </w:tc>
        <w:tc>
          <w:tcPr>
            <w:shd w:fill="FFFFFF"/>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FFFFF"/>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5F8F8"/>
          </w:tcPr>
          <w:p>
            <w:pPr>
              <w:pStyle w:val="TableText"/>
              <w:spacing w:after="0"/>
            </w:pPr>
            <w:r>
              <w:t>Champs structurés legacy</w:t>
            </w:r>
          </w:p>
        </w:tc>
        <w:tc>
          <w:tcPr>
            <w:shd w:fill="F5F8F8"/>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5F8F8"/>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FFFFF"/>
          </w:tcPr>
          <w:p>
            <w:pPr>
              <w:pStyle w:val="TableText"/>
              <w:spacing w:after="0"/>
            </w:pPr>
            <w:r>
              <w:t>Libellés legacy</w:t>
            </w:r>
          </w:p>
        </w:tc>
        <w:tc>
          <w:tcPr>
            <w:shd w:fill="FFFFFF"/>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FFFFF"/>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5F8F8"/>
          </w:tcPr>
          <w:p>
            <w:pPr>
              <w:pStyle w:val="TableText"/>
              <w:spacing w:after="0"/>
            </w:pPr>
            <w:r>
              <w:t>Versions scientifiques</w:t>
            </w:r>
          </w:p>
        </w:tc>
        <w:tc>
          <w:tcPr>
            <w:shd w:fill="F5F8F8"/>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5F8F8"/>
          </w:tcPr>
          <w:p>
            <w:pPr>
              <w:pStyle w:val="TableText"/>
              <w:spacing w:after="0"/>
            </w:pPr>
            <w:r>
              <w:t>Versions nécessaires à l’analyse.</w:t>
            </w:r>
          </w:p>
        </w:tc>
      </w:tr>
      <w:tr>
        <w:tc>
          <w:tcPr>
            <w:shd w:fill="FFFFFF"/>
          </w:tcPr>
          <w:p>
            <w:pPr>
              <w:pStyle w:val="TableText"/>
              <w:spacing w:after="0"/>
            </w:pPr>
            <w:r>
              <w:t>Provenance du catalogue</w:t>
            </w:r>
          </w:p>
        </w:tc>
        <w:tc>
          <w:tcPr>
            <w:shd w:fill="FFFFFF"/>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FFFFF"/>
          </w:tcPr>
          <w:p>
            <w:pPr>
              <w:pStyle w:val="TableText"/>
              <w:spacing w:after="0"/>
            </w:pPr>
            <w:r>
              <w:t>Instantané publié exact utilisé par les soumissions v2 et v3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 protocole courant, les versions enregistrées sont :</w:t>
      </w:r>
    </w:p>
    <w:p>
      <w:pPr>
        <w:pStyle w:val="ListBullet"/>
        <w:ind w:left="520" w:hanging="280"/>
        <w:spacing w:after="70"/>
      </w:pPr>
      <w:r>
        <w:rPr>
          <w:b/>
          <w:color w:val="0B6B70"/>
        </w:rPr>
        <w:t xml:space="preserve">• </w:t>
      </w:r>
      <w:r>
        <w:rPr>
          <w:rFonts w:ascii="Consolas" w:hAnsi="Consolas"/>
          <w:shd w:fill="EEF2F4"/>
        </w:rPr>
        <w:t>submission_schema_version = 2</w:t>
      </w:r>
      <w:r>
        <w:t xml:space="preserve">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consent_version = research-consent-2026-09-04</w:t>
      </w:r>
      <w:r>
        <w:t>.</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 xml:space="preserve">Point d'entrée courant des étudiants. Il conserve les 81 items et le catalogue de valeurs, accepte uniquement une année d’études facultative comprise entre 1 et 6, impose </w:t>
      </w:r>
      <w:r>
        <w:rPr>
          <w:rFonts w:ascii="Consolas" w:hAnsi="Consolas"/>
          <w:shd w:fill="EEF2F4"/>
        </w:rPr>
        <w:t>client-scoring-v2</w:t>
      </w:r>
      <w:r>
        <w:t xml:space="preserve">, </w:t>
      </w:r>
      <w:r>
        <w:rPr>
          <w:rFonts w:ascii="Consolas" w:hAnsi="Consolas"/>
          <w:shd w:fill="EEF2F4"/>
        </w:rPr>
        <w:t>research-consent-2026-09-04</w:t>
      </w:r>
      <w:r>
        <w:t xml:space="preserve"> et la provenance exacte d'un catalogue publié, puis écrit </w:t>
      </w:r>
      <w:r>
        <w:rPr>
          <w:rFonts w:ascii="Consolas" w:hAnsi="Consolas"/>
          <w:shd w:fill="EEF2F4"/>
        </w:rPr>
        <w:t>submission_schema_version = 2</w:t>
      </w:r>
      <w:r>
        <w:t>. L'UUID fourni par le client reste idempotent : un rejeu strictement identique renvoie le même identifiant, tandis qu'un payload différent avec le même UUID est refusé.</w:t>
      </w:r>
    </w:p>
    <w:p>
      <w:pPr>
        <w:pStyle w:val="Heading3"/>
      </w:pPr>
      <w:r>
        <w:rPr>
          <w:rFonts w:ascii="Consolas" w:hAnsi="Consolas"/>
          <w:shd w:fill="EEF2F4"/>
        </w:rPr>
        <w:t>submit_specialist_response_v3(...)</w:t>
      </w:r>
    </w:p>
    <w:p>
      <w:r>
        <w:t>Point d'entrée courant des spécialistes. Après les 81 notes et les valeurs, il reçoit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w:t>
      </w:r>
      <w:r>
        <w:rPr>
          <w:rFonts w:ascii="Consolas" w:hAnsi="Consolas"/>
          <w:shd w:fill="EEF2F4"/>
        </w:rPr>
        <w:t>public.*_v3</w:t>
      </w:r>
      <w:r>
        <w:t xml:space="preserve"> sont exécutables par </w:t>
      </w:r>
      <w:r>
        <w:rPr>
          <w:rFonts w:ascii="Consolas" w:hAnsi="Consolas"/>
          <w:shd w:fill="EEF2F4"/>
        </w:rPr>
        <w:t>anon</w:t>
      </w:r>
      <w:r>
        <w:t xml:space="preserve"> et </w:t>
      </w:r>
      <w:r>
        <w:rPr>
          <w:rFonts w:ascii="Consolas" w:hAnsi="Consolas"/>
          <w:shd w:fill="EEF2F4"/>
        </w:rPr>
        <w:t>authenticated</w:t>
      </w:r>
      <w:r>
        <w:t xml:space="preserve">. Elles délèguent aux implémentations </w:t>
      </w:r>
      <w:r>
        <w:rPr>
          <w:rFonts w:ascii="Consolas" w:hAnsi="Consolas"/>
          <w:shd w:fill="EEF2F4"/>
        </w:rPr>
        <w:t>private.*_v3</w:t>
      </w:r>
      <w:r>
        <w:t>, auxquelles ces rôles n'ont aucun droit direct.</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trois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w:t>
      </w:r>
    </w:p>
    <w:p>
      <w:r>
        <w:t>Pour le schéma 2, la base contrôle notamment :</w:t>
      </w:r>
    </w:p>
    <w:p>
      <w:pPr>
        <w:pStyle w:val="ListBullet"/>
        <w:ind w:left="520" w:hanging="280"/>
        <w:spacing w:after="70"/>
      </w:pPr>
      <w:r>
        <w:rPr>
          <w:b/>
          <w:color w:val="0B6B70"/>
        </w:rPr>
        <w:t xml:space="preserve">• </w:t>
      </w:r>
      <w:r>
        <w:t>exactement 81 identifiants de questions attendus ;</w:t>
      </w:r>
    </w:p>
    <w:p>
      <w:pPr>
        <w:pStyle w:val="ListBullet"/>
        <w:ind w:left="520" w:hanging="280"/>
        <w:spacing w:after="70"/>
      </w:pPr>
      <w:r>
        <w:rPr>
          <w:b/>
          <w:color w:val="0B6B70"/>
        </w:rPr>
        <w:t xml:space="preserve">• </w:t>
      </w:r>
      <w:r>
        <w:t>des notes entières de 1 à 10 ;</w:t>
      </w:r>
    </w:p>
    <w:p>
      <w:pPr>
        <w:pStyle w:val="ListBullet"/>
        <w:ind w:left="520" w:hanging="280"/>
        <w:spacing w:after="70"/>
      </w:pPr>
      <w:r>
        <w:rPr>
          <w:b/>
          <w:color w:val="0B6B70"/>
        </w:rPr>
        <w:t xml:space="preserve">• </w:t>
      </w:r>
      <w:r>
        <w:t>une à quatre valeurs canoniques, distinctes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une année d’études étudiante facultative limitée aux entiers de 1 à 6 pour toute nouvelle écriture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incohérente. Les lignes historiques restent consultables et exportables, mais le dashboard les signale comme incompatibles avec les indicateurs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les 81 réponses brutes ;</w:t>
      </w:r>
    </w:p>
    <w:p>
      <w:pPr>
        <w:pStyle w:val="ListBullet"/>
        <w:ind w:left="520" w:hanging="280"/>
        <w:spacing w:after="70"/>
      </w:pPr>
      <w:r>
        <w:rPr>
          <w:b/>
          <w:color w:val="0B6B70"/>
        </w:rPr>
        <w:t xml:space="preserve">• </w:t>
      </w:r>
      <w:r>
        <w:t>les valeurs sélectionnées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l’UUID et la révision du catalogue dynamique publié.</w:t>
      </w:r>
    </w:p>
    <w:p>
      <w:r>
        <w:t>Les RPC v2 et v3 enregistrent les deux derniers champs de provenance dans la ligne de réponse. Les RPC v3 les rendent obligatoires pour le schéma 2.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et v2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de schéma 2 courantes et reproductibles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et v3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les soumissions v3 écrivent le schéma 2 et les versions scientifiques exactes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exports contiennent les verbatims,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une soumission étudiante v3 et une soumission spécialiste v3 synthétiques, puis vérifier leur schéma,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et </w:t>
      </w:r>
      <w:r>
        <w:rPr>
          <w:rFonts w:ascii="Consolas" w:hAnsi="Consolas"/>
          <w:shd w:fill="EEF2F4"/>
        </w:rPr>
        <w:t>supabase/migrations/20260906090000_limit_student_study_year_to_six.sql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2026-09-06T11:35:27Z</dcterms:created>
  <dcterms:modified xsi:type="dcterms:W3CDTF">2026-09-06T11:35:27Z</dcterms:modified>
</cp:coreProperties>
</file>