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5 septembre 2026</w:t>
      </w:r>
    </w:p>
    <w:p>
      <w:r>
        <w:rPr>
          <w:b/>
        </w:rPr>
        <w:t>Migrations de référence :</w:t>
      </w:r>
      <w:r>
        <w:t xml:space="preserve"> </w:t>
      </w:r>
      <w:r>
        <w:rPr>
          <w:rFonts w:ascii="Consolas" w:hAnsi="Consolas"/>
          <w:shd w:fill="EEF2F4"/>
        </w:rPr>
        <w:t>supabase/migrations/20260831120000_specialist_admin_portal.sql</w:t>
      </w:r>
      <w:r>
        <w:t xml:space="preserve"> et </w:t>
      </w:r>
      <w:r>
        <w:rPr>
          <w:rFonts w:ascii="Consolas" w:hAnsi="Consolas"/>
          <w:shd w:fill="EEF2F4"/>
        </w:rPr>
        <w:t>supabase/migrations/20260904193000_accuracy_and_qualitative_specialist_v2.sql</w:t>
      </w:r>
    </w:p>
    <w:p>
      <w:r>
        <w:rPr>
          <w:b/>
        </w:rPr>
        <w:t>Périmètre :</w:t>
      </w:r>
      <w:r>
        <w:t xml:space="preserve"> Supabase Auth, PostgreSQL, collecte de recherche, catalogue éditable des spécialités, sécurité, versionnement et provenance scientifique.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de schéma 2, envoyée par une RPC v3, enregistre la version exacte du catalogue utilisée ;</w:t>
      </w:r>
    </w:p>
    <w:p>
      <w:pPr>
        <w:pStyle w:val="ListBullet"/>
        <w:ind w:left="520" w:hanging="280"/>
        <w:spacing w:after="70"/>
      </w:pPr>
      <w:r>
        <w:rPr>
          <w:b/>
          <w:color w:val="0B6B70"/>
        </w:rPr>
        <w:t xml:space="preserve">• </w:t>
      </w:r>
      <w:r>
        <w:t>l'entretien spécialiste de schéma 2 collecte cinq réponses qualitatives après les 81 items, au lieu des anciens champs structurés d'expérience, satisfaction, intention de changement et caractère volontaire du choix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Les appels v2 restent utilisables pour l'historique ; les nouvelles collectes utilisent v3.</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soumissions v3 / schéma 2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submit_*_response_v1/v2/v3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v3 transmet l’identifiant UUID de la version publiée utilisée et crée une ligne de </w:t>
      </w:r>
      <w:r>
        <w:rPr>
          <w:rFonts w:ascii="Consolas" w:hAnsi="Consolas"/>
          <w:shd w:fill="EEF2F4"/>
        </w:rPr>
        <w:t>submission_schema_version = 2</w:t>
      </w:r>
      <w:r>
        <w:t>.</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Pour un spécialiste, la spécialité réelle et les cinq réponses qualitatives ne sont demandées qu'après les 81 notes et le choix des valeurs, afin de réduire le biais d'ancrage pendant le questionnaire principal.</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 verbatim qualitatif des spécialistes et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Contexte</w:t>
            </w:r>
          </w:p>
        </w:tc>
        <w:tc>
          <w:tcPr>
            <w:shd w:fill="F5F8F8"/>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5F8F8"/>
          </w:tcPr>
          <w:p>
            <w:pPr>
              <w:pStyle w:val="TableText"/>
              <w:spacing w:after="0"/>
            </w:pPr>
            <w:r>
              <w:t>Métadonnées facultatives et langue.</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p>
        </w:tc>
        <w:tc>
          <w:tcPr>
            <w:shd w:fill="FFFFFF"/>
          </w:tcPr>
          <w:p>
            <w:pPr>
              <w:pStyle w:val="TableText"/>
              <w:spacing w:after="0"/>
            </w:pPr>
            <w:r>
              <w:t>Versions nécessaires à l’interprétation.</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et v3 ; obligatoire pour le schéma 2.</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FFFFF"/>
          </w:tcPr>
          <w:p>
            <w:pPr>
              <w:pStyle w:val="TableText"/>
              <w:spacing w:after="0"/>
            </w:pPr>
            <w:r>
              <w:t>81 notes, valeurs choisies et langue.</w:t>
            </w:r>
          </w:p>
        </w:tc>
      </w:tr>
      <w:tr>
        <w:tc>
          <w:tcPr>
            <w:shd w:fill="F5F8F8"/>
          </w:tcPr>
          <w:p>
            <w:pPr>
              <w:pStyle w:val="TableText"/>
              <w:spacing w:after="0"/>
            </w:pPr>
            <w:r>
              <w:t>Entretien qualitatif courant</w:t>
            </w:r>
          </w:p>
        </w:tc>
        <w:tc>
          <w:tcPr>
            <w:shd w:fill="F5F8F8"/>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5F8F8"/>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FFFFF"/>
          </w:tcPr>
          <w:p>
            <w:pPr>
              <w:pStyle w:val="TableText"/>
              <w:spacing w:after="0"/>
            </w:pPr>
            <w:r>
              <w:t>Choix à refaire</w:t>
            </w:r>
          </w:p>
        </w:tc>
        <w:tc>
          <w:tcPr>
            <w:shd w:fill="FFFFFF"/>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FFFFF"/>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5F8F8"/>
          </w:tcPr>
          <w:p>
            <w:pPr>
              <w:pStyle w:val="TableText"/>
              <w:spacing w:after="0"/>
            </w:pPr>
            <w:r>
              <w:t>Champs structurés legacy</w:t>
            </w:r>
          </w:p>
        </w:tc>
        <w:tc>
          <w:tcPr>
            <w:shd w:fill="F5F8F8"/>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5F8F8"/>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FFFFF"/>
          </w:tcPr>
          <w:p>
            <w:pPr>
              <w:pStyle w:val="TableText"/>
              <w:spacing w:after="0"/>
            </w:pPr>
            <w:r>
              <w:t>Libellés legacy</w:t>
            </w:r>
          </w:p>
        </w:tc>
        <w:tc>
          <w:tcPr>
            <w:shd w:fill="FFFFFF"/>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FFFFF"/>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5F8F8"/>
          </w:tcPr>
          <w:p>
            <w:pPr>
              <w:pStyle w:val="TableText"/>
              <w:spacing w:after="0"/>
            </w:pPr>
            <w:r>
              <w:t>Versions scientifiques</w:t>
            </w:r>
          </w:p>
        </w:tc>
        <w:tc>
          <w:tcPr>
            <w:shd w:fill="F5F8F8"/>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5F8F8"/>
          </w:tcPr>
          <w:p>
            <w:pPr>
              <w:pStyle w:val="TableText"/>
              <w:spacing w:after="0"/>
            </w:pPr>
            <w:r>
              <w:t>Versions nécessaires à l’analyse.</w:t>
            </w:r>
          </w:p>
        </w:tc>
      </w:tr>
      <w:tr>
        <w:tc>
          <w:tcPr>
            <w:shd w:fill="FFFFFF"/>
          </w:tcPr>
          <w:p>
            <w:pPr>
              <w:pStyle w:val="TableText"/>
              <w:spacing w:after="0"/>
            </w:pPr>
            <w:r>
              <w:t>Provenance du catalogue</w:t>
            </w:r>
          </w:p>
        </w:tc>
        <w:tc>
          <w:tcPr>
            <w:shd w:fill="FFFFFF"/>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FFFFF"/>
          </w:tcPr>
          <w:p>
            <w:pPr>
              <w:pStyle w:val="TableText"/>
              <w:spacing w:after="0"/>
            </w:pPr>
            <w:r>
              <w:t>Instantané publié exact utilisé par les soumissions v2 et v3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 protocole courant, les versions enregistrées sont :</w:t>
      </w:r>
    </w:p>
    <w:p>
      <w:pPr>
        <w:pStyle w:val="ListBullet"/>
        <w:ind w:left="520" w:hanging="280"/>
        <w:spacing w:after="70"/>
      </w:pPr>
      <w:r>
        <w:rPr>
          <w:b/>
          <w:color w:val="0B6B70"/>
        </w:rPr>
        <w:t xml:space="preserve">• </w:t>
      </w:r>
      <w:r>
        <w:rPr>
          <w:rFonts w:ascii="Consolas" w:hAnsi="Consolas"/>
          <w:shd w:fill="EEF2F4"/>
        </w:rPr>
        <w:t>submission_schema_version = 2</w:t>
      </w:r>
      <w:r>
        <w:t xml:space="preserve">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consent_version = research-consent-2026-09-04</w:t>
      </w:r>
      <w:r>
        <w:t>.</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 xml:space="preserve">Point d'entrée courant des étudiants. Il conserve les 81 items et le catalogue de valeurs, impose </w:t>
      </w:r>
      <w:r>
        <w:rPr>
          <w:rFonts w:ascii="Consolas" w:hAnsi="Consolas"/>
          <w:shd w:fill="EEF2F4"/>
        </w:rPr>
        <w:t>client-scoring-v2</w:t>
      </w:r>
      <w:r>
        <w:t xml:space="preserve">, </w:t>
      </w:r>
      <w:r>
        <w:rPr>
          <w:rFonts w:ascii="Consolas" w:hAnsi="Consolas"/>
          <w:shd w:fill="EEF2F4"/>
        </w:rPr>
        <w:t>research-consent-2026-09-04</w:t>
      </w:r>
      <w:r>
        <w:t xml:space="preserve"> et la provenance exacte d'un catalogue publié, puis écrit </w:t>
      </w:r>
      <w:r>
        <w:rPr>
          <w:rFonts w:ascii="Consolas" w:hAnsi="Consolas"/>
          <w:shd w:fill="EEF2F4"/>
        </w:rPr>
        <w:t>submission_schema_version = 2</w:t>
      </w:r>
      <w:r>
        <w:t>. L'UUID fourni par le client reste idempotent : un rejeu strictement identique renvoie le même identifiant, tandis qu'un payload différent avec le même UUID est refusé.</w:t>
      </w:r>
    </w:p>
    <w:p>
      <w:pPr>
        <w:pStyle w:val="Heading3"/>
      </w:pPr>
      <w:r>
        <w:rPr>
          <w:rFonts w:ascii="Consolas" w:hAnsi="Consolas"/>
          <w:shd w:fill="EEF2F4"/>
        </w:rPr>
        <w:t>submit_specialist_response_v3(...)</w:t>
      </w:r>
    </w:p>
    <w:p>
      <w:r>
        <w:t>Point d'entrée courant des spécialistes. Après les 81 notes et les valeurs, il reçoit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w:t>
      </w:r>
      <w:r>
        <w:rPr>
          <w:rFonts w:ascii="Consolas" w:hAnsi="Consolas"/>
          <w:shd w:fill="EEF2F4"/>
        </w:rPr>
        <w:t>public.*_v3</w:t>
      </w:r>
      <w:r>
        <w:t xml:space="preserve"> sont exécutables par </w:t>
      </w:r>
      <w:r>
        <w:rPr>
          <w:rFonts w:ascii="Consolas" w:hAnsi="Consolas"/>
          <w:shd w:fill="EEF2F4"/>
        </w:rPr>
        <w:t>anon</w:t>
      </w:r>
      <w:r>
        <w:t xml:space="preserve"> et </w:t>
      </w:r>
      <w:r>
        <w:rPr>
          <w:rFonts w:ascii="Consolas" w:hAnsi="Consolas"/>
          <w:shd w:fill="EEF2F4"/>
        </w:rPr>
        <w:t>authenticated</w:t>
      </w:r>
      <w:r>
        <w:t xml:space="preserve">. Elles délèguent aux implémentations </w:t>
      </w:r>
      <w:r>
        <w:rPr>
          <w:rFonts w:ascii="Consolas" w:hAnsi="Consolas"/>
          <w:shd w:fill="EEF2F4"/>
        </w:rPr>
        <w:t>private.*_v3</w:t>
      </w:r>
      <w:r>
        <w:t>, auxquelles ces rôles n'ont aucun droit direct.</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trois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w:t>
      </w:r>
    </w:p>
    <w:p>
      <w:r>
        <w:t>Pour le schéma 2, la base contrôle notamment :</w:t>
      </w:r>
    </w:p>
    <w:p>
      <w:pPr>
        <w:pStyle w:val="ListBullet"/>
        <w:ind w:left="520" w:hanging="280"/>
        <w:spacing w:after="70"/>
      </w:pPr>
      <w:r>
        <w:rPr>
          <w:b/>
          <w:color w:val="0B6B70"/>
        </w:rPr>
        <w:t xml:space="preserve">• </w:t>
      </w:r>
      <w:r>
        <w:t>exactement 81 identifiants de questions attendus ;</w:t>
      </w:r>
    </w:p>
    <w:p>
      <w:pPr>
        <w:pStyle w:val="ListBullet"/>
        <w:ind w:left="520" w:hanging="280"/>
        <w:spacing w:after="70"/>
      </w:pPr>
      <w:r>
        <w:rPr>
          <w:b/>
          <w:color w:val="0B6B70"/>
        </w:rPr>
        <w:t xml:space="preserve">• </w:t>
      </w:r>
      <w:r>
        <w:t>des notes entières de 1 à 10 ;</w:t>
      </w:r>
    </w:p>
    <w:p>
      <w:pPr>
        <w:pStyle w:val="ListBullet"/>
        <w:ind w:left="520" w:hanging="280"/>
        <w:spacing w:after="70"/>
      </w:pPr>
      <w:r>
        <w:rPr>
          <w:b/>
          <w:color w:val="0B6B70"/>
        </w:rPr>
        <w:t xml:space="preserve">• </w:t>
      </w:r>
      <w:r>
        <w:t>une à quatre valeurs canoniques, distinctes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incohérente. Les lignes historiques restent consultables et exportables, mais le dashboard les signale comme incompatibles avec les indicateurs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les 81 réponses brutes ;</w:t>
      </w:r>
    </w:p>
    <w:p>
      <w:pPr>
        <w:pStyle w:val="ListBullet"/>
        <w:ind w:left="520" w:hanging="280"/>
        <w:spacing w:after="70"/>
      </w:pPr>
      <w:r>
        <w:rPr>
          <w:b/>
          <w:color w:val="0B6B70"/>
        </w:rPr>
        <w:t xml:space="preserve">• </w:t>
      </w:r>
      <w:r>
        <w:t>les valeurs sélectionnées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l’UUID et la révision du catalogue dynamique publié.</w:t>
      </w:r>
    </w:p>
    <w:p>
      <w:r>
        <w:t>Les RPC v2 et v3 enregistrent les deux derniers champs de provenance dans la ligne de réponse. Les RPC v3 les rendent obligatoires pour le schéma 2.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et v2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de schéma 2 courantes et reproductibles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et v3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les soumissions v3 écrivent le schéma 2 et les versions scientifiques exactes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exports contiennent les verbatims,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une soumission étudiante v3 et une soumission spécialiste v3 synthétiques, puis vérifier leur schéma,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et </w:t>
      </w:r>
      <w:r>
        <w:rPr>
          <w:rFonts w:ascii="Consolas" w:hAnsi="Consolas"/>
          <w:shd w:fill="EEF2F4"/>
        </w:rPr>
        <w:t>supabase/migrations/20260904193000_accuracy_and_qualitative_specialist_v2.sql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2026-09-05T03:36:49Z</dcterms:created>
  <dcterms:modified xsi:type="dcterms:W3CDTF">2026-09-05T03:36:49Z</dcterms:modified>
</cp:coreProperties>
</file>