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Override PartName="/docProps/app.xml" ContentType="application/vnd.openxmlformats-officedocument.extended-properties+xml"/>
</ns0:Types>
</file>

<file path=_rels/.rels><?xml version='1.0' encoding='utf-8'?>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t>Q Project</w:t>
      </w:r>
    </w:p>
    <w:p>
      <w:pPr>
        <w:pStyle w:val="Subtitle"/>
      </w:pPr>
      <w:r>
        <w:t>Structure de la base de données et portail Specialist/Admin</w:t>
      </w:r>
    </w:p>
    <w:p>
      <w:r>
        <w:rPr>
          <w:b/>
        </w:rPr>
        <w:t>Version documentaire :</w:t>
      </w:r>
      <w:r>
        <w:t xml:space="preserve"> 6 septembre 2026</w:t>
      </w:r>
    </w:p>
    <w:p>
      <w:r>
        <w:rPr>
          <w:b/>
        </w:rPr>
        <w:t>Migrations de référence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et </w:t>
      </w:r>
      <w:r>
        <w:rPr>
          <w:rFonts w:ascii="Consolas" w:hAnsi="Consolas"/>
          <w:shd w:fill="EEF2F4"/>
        </w:rPr>
        <w:t>supabase/migrations/20260906090000_limit_student_study_year_to_six.sql</w:t>
      </w:r>
    </w:p>
    <w:p>
      <w:r>
        <w:rPr>
          <w:b/>
        </w:rPr>
        <w:t>Périmètre :</w:t>
      </w:r>
      <w:r>
        <w:t xml:space="preserve"> Supabase Auth, PostgreSQL, collecte de recherche, catalogue éditable des spécialités, sécurité, versionnement et provenance scientifique.</w:t>
      </w:r>
    </w:p>
    <w:p>
      <w:r>
        <w:t>Ce document décrit la structure fonctionnelle et technique de la base Q Project après l’introduction du portail Specialist/Admin. Il ne contient aucun secret, aucune adresse de compte et aucun mot de passe.</w:t>
      </w:r>
    </w:p>
    <w:p>
      <w:r>
        <w:br w:type="page"/>
      </w:r>
    </w:p>
    <w:p>
      <w:pPr>
        <w:pStyle w:val="Heading1"/>
      </w:pPr>
      <w:r>
        <w:t>Sommaire</w:t>
      </w:r>
    </w:p>
    <w:p>
      <w:pPr>
        <w:pStyle w:val="ListNumber"/>
        <w:ind w:left="520" w:hanging="280"/>
        <w:spacing w:after="70"/>
      </w:pPr>
      <w:r>
        <w:rPr>
          <w:b/>
          <w:color w:val="0B6B70"/>
        </w:rPr>
        <w:t xml:space="preserve">1. </w:t>
      </w:r>
      <w:r>
        <w:t>Résumé exécutif</w:t>
      </w:r>
    </w:p>
    <w:p>
      <w:pPr>
        <w:pStyle w:val="ListNumber"/>
        <w:ind w:left="520" w:hanging="280"/>
        <w:spacing w:after="70"/>
      </w:pPr>
      <w:r>
        <w:rPr>
          <w:b/>
          <w:color w:val="0B6B70"/>
        </w:rPr>
        <w:t xml:space="preserve">2. </w:t>
      </w:r>
      <w:r>
        <w:t>Architecture générale</w:t>
      </w:r>
    </w:p>
    <w:p>
      <w:pPr>
        <w:pStyle w:val="ListNumber"/>
        <w:ind w:left="520" w:hanging="280"/>
        <w:spacing w:after="70"/>
      </w:pPr>
      <w:r>
        <w:rPr>
          <w:b/>
          <w:color w:val="0B6B70"/>
        </w:rPr>
        <w:t xml:space="preserve">3. </w:t>
      </w:r>
      <w:r>
        <w:t>Séparation des schémas PostgreSQL</w:t>
      </w:r>
    </w:p>
    <w:p>
      <w:pPr>
        <w:pStyle w:val="ListNumber"/>
        <w:ind w:left="520" w:hanging="280"/>
        <w:spacing w:after="70"/>
      </w:pPr>
      <w:r>
        <w:rPr>
          <w:b/>
          <w:color w:val="0B6B70"/>
        </w:rPr>
        <w:t xml:space="preserve">4. </w:t>
      </w:r>
      <w:r>
        <w:t>Diagramme des relations</w:t>
      </w:r>
    </w:p>
    <w:p>
      <w:pPr>
        <w:pStyle w:val="ListNumber"/>
        <w:ind w:left="520" w:hanging="280"/>
        <w:spacing w:after="70"/>
      </w:pPr>
      <w:r>
        <w:rPr>
          <w:b/>
          <w:color w:val="0B6B70"/>
        </w:rPr>
        <w:t xml:space="preserve">5. </w:t>
      </w:r>
      <w:r>
        <w:t>Dictionnaire des tables</w:t>
      </w:r>
    </w:p>
    <w:p>
      <w:pPr>
        <w:pStyle w:val="ListNumber"/>
        <w:ind w:left="520" w:hanging="280"/>
        <w:spacing w:after="70"/>
      </w:pPr>
      <w:r>
        <w:rPr>
          <w:b/>
          <w:color w:val="0B6B70"/>
        </w:rPr>
        <w:t xml:space="preserve">6. </w:t>
      </w:r>
      <w:r>
        <w:t>Fonctions RPC et points d’entrée</w:t>
      </w:r>
    </w:p>
    <w:p>
      <w:pPr>
        <w:pStyle w:val="ListNumber"/>
        <w:ind w:left="520" w:hanging="280"/>
        <w:spacing w:after="70"/>
      </w:pPr>
      <w:r>
        <w:rPr>
          <w:b/>
          <w:color w:val="0B6B70"/>
        </w:rPr>
        <w:t xml:space="preserve">7. </w:t>
      </w:r>
      <w:r>
        <w:t>Matrice des permissions</w:t>
      </w:r>
    </w:p>
    <w:p>
      <w:pPr>
        <w:pStyle w:val="ListNumber"/>
        <w:ind w:left="520" w:hanging="280"/>
        <w:spacing w:after="70"/>
      </w:pPr>
      <w:r>
        <w:rPr>
          <w:b/>
          <w:color w:val="0B6B70"/>
        </w:rPr>
        <w:t xml:space="preserve">8. </w:t>
      </w:r>
      <w:r>
        <w:t>Workflow Doctor → Professor</w:t>
      </w:r>
    </w:p>
    <w:p>
      <w:pPr>
        <w:pStyle w:val="ListNumber"/>
        <w:ind w:left="520" w:hanging="280"/>
        <w:spacing w:after="70"/>
      </w:pPr>
      <w:r>
        <w:rPr>
          <w:b/>
          <w:color w:val="0B6B70"/>
        </w:rPr>
        <w:t xml:space="preserve">9. </w:t>
      </w:r>
      <w:r>
        <w:t>Sécurité RLS et validation côté serveur</w:t>
      </w:r>
    </w:p>
    <w:p>
      <w:pPr>
        <w:pStyle w:val="ListNumber"/>
        <w:ind w:left="520" w:hanging="280"/>
        <w:spacing w:after="70"/>
      </w:pPr>
      <w:r>
        <w:rPr>
          <w:b/>
          <w:color w:val="0B6B70"/>
        </w:rPr>
        <w:t xml:space="preserve">10. </w:t>
      </w:r>
      <w:r>
        <w:t>Versionnement et provenance des résultats</w:t>
      </w:r>
    </w:p>
    <w:p>
      <w:pPr>
        <w:pStyle w:val="ListNumber"/>
        <w:ind w:left="520" w:hanging="280"/>
        <w:spacing w:after="70"/>
      </w:pPr>
      <w:r>
        <w:rPr>
          <w:b/>
          <w:color w:val="0B6B70"/>
        </w:rPr>
        <w:t xml:space="preserve">11. </w:t>
      </w:r>
      <w:r>
        <w:t>Limites scientifiques du moteur actuel</w:t>
      </w:r>
    </w:p>
    <w:p>
      <w:pPr>
        <w:pStyle w:val="ListNumber"/>
        <w:ind w:left="520" w:hanging="280"/>
        <w:spacing w:after="70"/>
      </w:pPr>
      <w:r>
        <w:rPr>
          <w:b/>
          <w:color w:val="0B6B70"/>
        </w:rPr>
        <w:t xml:space="preserve">12. </w:t>
      </w:r>
      <w:r>
        <w:t>Sauvegarde, restauration et continuité</w:t>
      </w:r>
    </w:p>
    <w:p>
      <w:pPr>
        <w:pStyle w:val="ListNumber"/>
        <w:ind w:left="520" w:hanging="280"/>
        <w:spacing w:after="70"/>
      </w:pPr>
      <w:r>
        <w:rPr>
          <w:b/>
          <w:color w:val="0B6B70"/>
        </w:rPr>
        <w:t xml:space="preserve">13. </w:t>
      </w:r>
      <w:r>
        <w:t>Tests et déploiement</w:t>
      </w:r>
    </w:p>
    <w:p>
      <w:pPr>
        <w:pStyle w:val="ListNumber"/>
        <w:ind w:left="520" w:hanging="280"/>
        <w:spacing w:after="70"/>
      </w:pPr>
      <w:r>
        <w:rPr>
          <w:b/>
          <w:color w:val="0B6B70"/>
        </w:rPr>
        <w:t xml:space="preserve">14. </w:t>
      </w:r>
      <w:r>
        <w:t>Exploitation et bonnes pratiques</w:t>
      </w:r>
    </w:p>
    <w:p>
      <w:pPr>
        <w:pStyle w:val="ListNumber"/>
        <w:ind w:left="520" w:hanging="280"/>
        <w:spacing w:after="70"/>
      </w:pPr>
      <w:r>
        <w:rPr>
          <w:b/>
          <w:color w:val="0B6B70"/>
        </w:rPr>
        <w:t xml:space="preserve">15. </w:t>
      </w:r>
      <w:r>
        <w:t>Glossaire</w:t>
      </w:r>
    </w:p>
    <w:p>
      <w:pPr>
        <w:pStyle w:val="Heading1"/>
      </w:pPr>
      <w:r>
        <w:t>1. Résumé exécutif</w:t>
      </w:r>
    </w:p>
    <w:p>
      <w:r>
        <w:t>Q Project utilise Supabase pour deux familles de données strictement séparées :</w:t>
      </w:r>
    </w:p>
    <w:p>
      <w:pPr>
        <w:pStyle w:val="ListBullet"/>
        <w:ind w:left="520" w:hanging="280"/>
        <w:spacing w:after="70"/>
      </w:pPr>
      <w:r>
        <w:rPr>
          <w:b/>
          <w:color w:val="0B6B70"/>
        </w:rPr>
        <w:t xml:space="preserve">• </w:t>
      </w:r>
      <w:r>
        <w:t xml:space="preserve">les </w:t>
      </w:r>
      <w:r>
        <w:rPr>
          <w:b/>
        </w:rPr>
        <w:t>réponses anonymes de recherche</w:t>
      </w:r>
      <w:r>
        <w:t xml:space="preserve"> des étudiants et des spécialistes ;</w:t>
      </w:r>
    </w:p>
    <w:p>
      <w:pPr>
        <w:pStyle w:val="ListBullet"/>
        <w:ind w:left="520" w:hanging="280"/>
        <w:spacing w:after="70"/>
      </w:pPr>
      <w:r>
        <w:rPr>
          <w:b/>
          <w:color w:val="0B6B70"/>
        </w:rPr>
        <w:t xml:space="preserve">• </w:t>
      </w:r>
      <w:r>
        <w:t xml:space="preserve">la </w:t>
      </w:r>
      <w:r>
        <w:rPr>
          <w:b/>
        </w:rPr>
        <w:t>configuration versionnée du moteur de matching</w:t>
      </w:r>
      <w:r>
        <w:t>, comprenant les descriptions, les résumés cliniques et les profils de traits des spécialités.</w:t>
      </w:r>
    </w:p>
    <w:p>
      <w:r>
        <w:t>Le portail administratif ne modifie jamais les réponses de recherche. Il permet à des comptes autorisés de préparer un brouillon du catalogue, de documenter les changements et de publier une nouvelle version sans modifier le code TypeScript.</w:t>
      </w:r>
    </w:p>
    <w:p>
      <w:r>
        <w:t>Les principes structurants sont les suivants :</w:t>
      </w:r>
    </w:p>
    <w:p>
      <w:pPr>
        <w:pStyle w:val="ListBullet"/>
        <w:ind w:left="520" w:hanging="280"/>
        <w:spacing w:after="70"/>
      </w:pPr>
      <w:r>
        <w:rPr>
          <w:b/>
          <w:color w:val="0B6B70"/>
        </w:rPr>
        <w:t xml:space="preserve">• </w:t>
      </w:r>
      <w:r>
        <w:t>Supabase Auth gère l’identité des membres du portail ;</w:t>
      </w:r>
    </w:p>
    <w:p>
      <w:pPr>
        <w:pStyle w:val="ListBullet"/>
        <w:ind w:left="520" w:hanging="280"/>
        <w:spacing w:after="70"/>
      </w:pPr>
      <w:r>
        <w:rPr>
          <w:b/>
          <w:color w:val="0B6B70"/>
        </w:rPr>
        <w:t xml:space="preserve">• </w:t>
      </w:r>
      <w:r>
        <w:rPr>
          <w:rFonts w:ascii="Consolas" w:hAnsi="Consolas"/>
          <w:shd w:fill="EEF2F4"/>
        </w:rPr>
        <w:t>private.researchers</w:t>
      </w:r>
      <w:r>
        <w:t xml:space="preserve"> constitue l’allowlist applicative et porte le rôle du portail ;</w:t>
      </w:r>
    </w:p>
    <w:p>
      <w:pPr>
        <w:pStyle w:val="ListBullet"/>
        <w:ind w:left="520" w:hanging="280"/>
        <w:spacing w:after="70"/>
      </w:pPr>
      <w:r>
        <w:rPr>
          <w:b/>
          <w:color w:val="0B6B70"/>
        </w:rPr>
        <w:t xml:space="preserve">• </w:t>
      </w:r>
      <w:r>
        <w:t xml:space="preserve">toutes les tables éditoriales et d’audit restent dans le schéma non exposé </w:t>
      </w:r>
      <w:r>
        <w:rPr>
          <w:rFonts w:ascii="Consolas" w:hAnsi="Consolas"/>
          <w:shd w:fill="EEF2F4"/>
        </w:rPr>
        <w:t>private</w:t>
      </w:r>
      <w:r>
        <w:t xml:space="preserve"> ;</w:t>
      </w:r>
    </w:p>
    <w:p>
      <w:pPr>
        <w:pStyle w:val="ListBullet"/>
        <w:ind w:left="520" w:hanging="280"/>
        <w:spacing w:after="70"/>
      </w:pPr>
      <w:r>
        <w:rPr>
          <w:b/>
          <w:color w:val="0B6B70"/>
        </w:rPr>
        <w:t xml:space="preserve">• </w:t>
      </w:r>
      <w:r>
        <w:t>le navigateur ne reçoit que des fonctions RPC étroites et validées ;</w:t>
      </w:r>
    </w:p>
    <w:p>
      <w:pPr>
        <w:pStyle w:val="ListBullet"/>
        <w:ind w:left="520" w:hanging="280"/>
        <w:spacing w:after="70"/>
      </w:pPr>
      <w:r>
        <w:rPr>
          <w:b/>
          <w:color w:val="0B6B70"/>
        </w:rPr>
        <w:t xml:space="preserve">• </w:t>
      </w:r>
      <w:r>
        <w:t>Doctor et Professor peuvent modifier un brouillon ;</w:t>
      </w:r>
    </w:p>
    <w:p>
      <w:pPr>
        <w:pStyle w:val="ListBullet"/>
        <w:ind w:left="520" w:hanging="280"/>
        <w:spacing w:after="70"/>
      </w:pPr>
      <w:r>
        <w:rPr>
          <w:b/>
          <w:color w:val="0B6B70"/>
        </w:rPr>
        <w:t xml:space="preserve">• </w:t>
      </w:r>
      <w:r>
        <w:t>seul Professor peut publier ou demander la restauration d’une version historique ;</w:t>
      </w:r>
    </w:p>
    <w:p>
      <w:pPr>
        <w:pStyle w:val="ListBullet"/>
        <w:ind w:left="520" w:hanging="280"/>
        <w:spacing w:after="70"/>
      </w:pPr>
      <w:r>
        <w:rPr>
          <w:b/>
          <w:color w:val="0B6B70"/>
        </w:rPr>
        <w:t xml:space="preserve">• </w:t>
      </w:r>
      <w:r>
        <w:t>une version publiée est un instantané immuable ;</w:t>
      </w:r>
    </w:p>
    <w:p>
      <w:pPr>
        <w:pStyle w:val="ListBullet"/>
        <w:ind w:left="520" w:hanging="280"/>
        <w:spacing w:after="70"/>
      </w:pPr>
      <w:r>
        <w:rPr>
          <w:b/>
          <w:color w:val="0B6B70"/>
        </w:rPr>
        <w:t xml:space="preserve">• </w:t>
      </w:r>
      <w:r>
        <w:t>chaque nouvelle soumission de schéma 2, envoyée par une RPC v3, enregistre la version exacte du catalogue utilisée ;</w:t>
      </w:r>
    </w:p>
    <w:p>
      <w:pPr>
        <w:pStyle w:val="ListBullet"/>
        <w:ind w:left="520" w:hanging="280"/>
        <w:spacing w:after="70"/>
      </w:pPr>
      <w:r>
        <w:rPr>
          <w:b/>
          <w:color w:val="0B6B70"/>
        </w:rPr>
        <w:t xml:space="preserve">• </w:t>
      </w:r>
      <w:r>
        <w:t>toute nouvelle réponse étudiante limite l’année d’études facultative aux années 1 à 6 ;</w:t>
      </w:r>
    </w:p>
    <w:p>
      <w:pPr>
        <w:pStyle w:val="ListBullet"/>
        <w:ind w:left="520" w:hanging="280"/>
        <w:spacing w:after="70"/>
      </w:pPr>
      <w:r>
        <w:rPr>
          <w:b/>
          <w:color w:val="0B6B70"/>
        </w:rPr>
        <w:t xml:space="preserve">• </w:t>
      </w:r>
      <w:r>
        <w:t>l'entretien spécialiste de schéma 2 collecte cinq réponses qualitatives après les 81 items, au lieu des anciens champs structurés d'expérience, satisfaction, intention de changement et caractère volontaire du choix ;</w:t>
      </w:r>
    </w:p>
    <w:p>
      <w:pPr>
        <w:pStyle w:val="ListBullet"/>
        <w:ind w:left="520" w:hanging="280"/>
        <w:spacing w:after="70"/>
      </w:pPr>
      <w:r>
        <w:rPr>
          <w:b/>
          <w:color w:val="0B6B70"/>
        </w:rPr>
        <w:t xml:space="preserve">• </w:t>
      </w:r>
      <w:r>
        <w:t>les anciennes colonnes et les anciennes RPC restent présentes afin de conserver l'historique sans le mélanger au protocole courant ;</w:t>
      </w:r>
    </w:p>
    <w:p>
      <w:pPr>
        <w:pStyle w:val="ListBullet"/>
        <w:ind w:left="520" w:hanging="280"/>
        <w:spacing w:after="70"/>
      </w:pPr>
      <w:r>
        <w:rPr>
          <w:b/>
          <w:color w:val="0B6B70"/>
        </w:rPr>
        <w:t xml:space="preserve">• </w:t>
      </w:r>
      <w:r>
        <w:t>les indicateurs Top-k sont descriptifs et ne modifient jamais automatiquement les poids.</w:t>
      </w:r>
    </w:p>
    <w:p>
      <w:r>
        <w:t xml:space="preserve">La migration </w:t>
      </w:r>
      <w:r>
        <w:rPr>
          <w:rFonts w:ascii="Consolas" w:hAnsi="Consolas"/>
          <w:shd w:fill="EEF2F4"/>
        </w:rPr>
        <w:t>20260831120000_specialist_admin_portal.sql</w:t>
      </w:r>
      <w:r>
        <w:t xml:space="preserve"> ajoute la couche éditoriale sans supprimer les fonctions v1 historiques. La migration </w:t>
      </w:r>
      <w:r>
        <w:rPr>
          <w:rFonts w:ascii="Consolas" w:hAnsi="Consolas"/>
          <w:shd w:fill="EEF2F4"/>
        </w:rPr>
        <w:t>20260904193000_accuracy_and_qualitative_specialist_v2.sql</w:t>
      </w:r>
      <w:r>
        <w:t xml:space="preserve"> ajoute le schéma de soumission 2 et les RPC v3, publie un nouvel instantané immuable qui complète les traits clés mesurés manquants, et laisse volontairement </w:t>
      </w:r>
      <w:r>
        <w:rPr>
          <w:rFonts w:ascii="Consolas" w:hAnsi="Consolas"/>
          <w:shd w:fill="EEF2F4"/>
        </w:rPr>
        <w:t>prevention_orientation</w:t>
      </w:r>
      <w:r>
        <w:t xml:space="preserve"> non mesuré. La migration </w:t>
      </w:r>
      <w:r>
        <w:rPr>
          <w:rFonts w:ascii="Consolas" w:hAnsi="Consolas"/>
          <w:shd w:fill="EEF2F4"/>
        </w:rPr>
        <w:t>20260906090000_limit_student_study_year_to_six.sql</w:t>
      </w:r>
      <w:r>
        <w:t xml:space="preserve"> impose la plage 1–6 à toute nouvelle écriture étudiante, y compris via les anciennes RPC encore exécutables, sans réécrire les données historiques. Les appels v2 restent utilisables pour l'historique ; les nouvelles collectes utilisent v3.</w:t>
      </w:r>
    </w:p>
    <w:p>
      <w:pPr>
        <w:pStyle w:val="Heading1"/>
      </w:pPr>
      <w:r>
        <w:t>2. Architecture générale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w:t>
      </w:r>
      <w:r>
        <w:br/>
      </w:r>
      <w:r>
        <w:rPr>
          <w:rFonts w:ascii="Consolas" w:hAnsi="Consolas"/>
          <w:shd w:fill="EEF2F4"/>
          <w:sz w:val="18"/>
          <w:szCs w:val="18"/>
        </w:rPr>
        <w:t xml:space="preserve">│ Application React                                                   │</w:t>
      </w:r>
      <w:r>
        <w:br/>
      </w:r>
      <w:r>
        <w:rPr>
          <w:rFonts w:ascii="Consolas" w:hAnsi="Consolas"/>
          <w:shd w:fill="EEF2F4"/>
          <w:sz w:val="18"/>
          <w:szCs w:val="18"/>
        </w:rPr>
        <w:t xml:space="preserve">│                                                                     │</w:t>
      </w:r>
      <w:r>
        <w:br/>
      </w:r>
      <w:r>
        <w:rPr>
          <w:rFonts w:ascii="Consolas" w:hAnsi="Consolas"/>
          <w:shd w:fill="EEF2F4"/>
          <w:sz w:val="18"/>
          <w:szCs w:val="18"/>
        </w:rPr>
        <w:t xml:space="preserve">│  Questionnaire public             Dashboard sécurisé                │</w:t>
      </w:r>
      <w:r>
        <w:br/>
      </w:r>
      <w:r>
        <w:rPr>
          <w:rFonts w:ascii="Consolas" w:hAnsi="Consolas"/>
          <w:shd w:fill="EEF2F4"/>
          <w:sz w:val="18"/>
          <w:szCs w:val="18"/>
        </w:rPr>
        <w:t xml:space="preserve">│  - catalogue actif                - réponses de recherche            │</w:t>
      </w:r>
      <w:r>
        <w:br/>
      </w:r>
      <w:r>
        <w:rPr>
          <w:rFonts w:ascii="Consolas" w:hAnsi="Consolas"/>
          <w:shd w:fill="EEF2F4"/>
          <w:sz w:val="18"/>
          <w:szCs w:val="18"/>
        </w:rPr>
        <w:t xml:space="preserve">│  - soumissions v3 / schéma 2      - réponses qualitatives            │</w:t>
      </w:r>
      <w:r>
        <w:br/>
      </w:r>
      <w:r>
        <w:rPr>
          <w:rFonts w:ascii="Consolas" w:hAnsi="Consolas"/>
          <w:shd w:fill="EEF2F4"/>
          <w:sz w:val="18"/>
          <w:szCs w:val="18"/>
        </w:rPr>
        <w:t xml:space="preserve">│                                    - publication / historique        │</w:t>
      </w:r>
      <w:r>
        <w:br/>
      </w:r>
      <w:r>
        <w:rPr>
          <w:rFonts w:ascii="Consolas" w:hAnsi="Consolas"/>
          <w:shd w:fill="EEF2F4"/>
          <w:sz w:val="18"/>
          <w:szCs w:val="18"/>
        </w:rPr>
        <w:t>└───────────────┬───────────────────────────────┬─────────────────────┘</w:t>
      </w:r>
      <w:r>
        <w:br/>
      </w:r>
      <w:r>
        <w:rPr>
          <w:rFonts w:ascii="Consolas" w:hAnsi="Consolas"/>
          <w:shd w:fill="EEF2F4"/>
          <w:sz w:val="18"/>
          <w:szCs w:val="18"/>
        </w:rPr>
        <w:t xml:space="preserve">                │ clé publique                  │ session Auth JWT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API Supabase / PostgREST / Auth                                     │</w:t>
      </w:r>
      <w:r>
        <w:br/>
      </w:r>
      <w:r>
        <w:rPr>
          <w:rFonts w:ascii="Consolas" w:hAnsi="Consolas"/>
          <w:shd w:fill="EEF2F4"/>
          <w:sz w:val="18"/>
          <w:szCs w:val="18"/>
        </w:rPr>
        <w:t xml:space="preserve">│                                                                     │</w:t>
      </w:r>
      <w:r>
        <w:br/>
      </w:r>
      <w:r>
        <w:rPr>
          <w:rFonts w:ascii="Consolas" w:hAnsi="Consolas"/>
          <w:shd w:fill="EEF2F4"/>
          <w:sz w:val="18"/>
          <w:szCs w:val="18"/>
        </w:rPr>
        <w:t xml:space="preserve">│ RPC publiques validées             RPC administratives contrôlées   │</w:t>
      </w:r>
      <w:r>
        <w:br/>
      </w:r>
      <w:r>
        <w:rPr>
          <w:rFonts w:ascii="Consolas" w:hAnsi="Consolas"/>
          <w:shd w:fill="EEF2F4"/>
          <w:sz w:val="18"/>
          <w:szCs w:val="18"/>
        </w:rPr>
        <w:t xml:space="preserve">│ get_active_specialty_catalog       current_user_portal_profile      │</w:t>
      </w:r>
      <w:r>
        <w:br/>
      </w:r>
      <w:r>
        <w:rPr>
          <w:rFonts w:ascii="Consolas" w:hAnsi="Consolas"/>
          <w:shd w:fill="EEF2F4"/>
          <w:sz w:val="18"/>
          <w:szCs w:val="18"/>
        </w:rPr>
        <w:t xml:space="preserve">│ submit_*_response_v1/v2/v3         get/save/publish/list/restore     │</w:t>
      </w:r>
      <w:r>
        <w:br/>
      </w:r>
      <w:r>
        <w:rPr>
          <w:rFonts w:ascii="Consolas" w:hAnsi="Consolas"/>
          <w:shd w:fill="EEF2F4"/>
          <w:sz w:val="18"/>
          <w:szCs w:val="18"/>
        </w:rPr>
        <w:t>└───────────────┬───────────────────────────────┬─────────────────────┘</w:t>
      </w:r>
      <w:r>
        <w:br/>
      </w:r>
      <w:r>
        <w:rPr>
          <w:rFonts w:ascii="Consolas" w:hAnsi="Consolas"/>
          <w:shd w:fill="EEF2F4"/>
          <w:sz w:val="18"/>
          <w:szCs w:val="18"/>
        </w:rPr>
        <w:t xml:space="preserve">                ▼                               ▼</w:t>
      </w:r>
      <w:r>
        <w:br/>
      </w:r>
      <w:r>
        <w:rPr>
          <w:rFonts w:ascii="Consolas" w:hAnsi="Consolas"/>
          <w:shd w:fill="EEF2F4"/>
          <w:sz w:val="18"/>
          <w:szCs w:val="18"/>
        </w:rPr>
        <w:t>┌─────────────────────────────────────────────────────────────────────┐</w:t>
      </w:r>
      <w:r>
        <w:br/>
      </w:r>
      <w:r>
        <w:rPr>
          <w:rFonts w:ascii="Consolas" w:hAnsi="Consolas"/>
          <w:shd w:fill="EEF2F4"/>
          <w:sz w:val="18"/>
          <w:szCs w:val="18"/>
        </w:rPr>
        <w:t xml:space="preserve">│ PostgreSQL                                                          │</w:t>
      </w:r>
      <w:r>
        <w:br/>
      </w:r>
      <w:r>
        <w:rPr>
          <w:rFonts w:ascii="Consolas" w:hAnsi="Consolas"/>
          <w:shd w:fill="EEF2F4"/>
          <w:sz w:val="18"/>
          <w:szCs w:val="18"/>
        </w:rPr>
        <w:t xml:space="preserve">│                                                                     │</w:t>
      </w:r>
      <w:r>
        <w:br/>
      </w:r>
      <w:r>
        <w:rPr>
          <w:rFonts w:ascii="Consolas" w:hAnsi="Consolas"/>
          <w:shd w:fill="EEF2F4"/>
          <w:sz w:val="18"/>
          <w:szCs w:val="18"/>
        </w:rPr>
        <w:t xml:space="preserve">│ public : réponses + façades RPC                                     │</w:t>
      </w:r>
      <w:r>
        <w:br/>
      </w:r>
      <w:r>
        <w:rPr>
          <w:rFonts w:ascii="Consolas" w:hAnsi="Consolas"/>
          <w:shd w:fill="EEF2F4"/>
          <w:sz w:val="18"/>
          <w:szCs w:val="18"/>
        </w:rPr>
        <w:t xml:space="preserve">│ private : rôles, catalogue, versions, audit, validateurs            │</w:t>
      </w:r>
      <w:r>
        <w:br/>
      </w:r>
      <w:r>
        <w:rPr>
          <w:rFonts w:ascii="Consolas" w:hAnsi="Consolas"/>
          <w:shd w:fill="EEF2F4"/>
          <w:sz w:val="18"/>
          <w:szCs w:val="18"/>
        </w:rPr>
        <w:t xml:space="preserve">│ auth : comptes gérés par Supabase                                   │</w:t>
      </w:r>
      <w:r>
        <w:br/>
      </w:r>
      <w:r>
        <w:rPr>
          <w:rFonts w:ascii="Consolas" w:hAnsi="Consolas"/>
          <w:shd w:fill="EEF2F4"/>
          <w:sz w:val="18"/>
          <w:szCs w:val="18"/>
        </w:rPr>
        <w:t>└─────────────────────────────────────────────────────────────────────┘</w:t>
      </w:r>
    </w:p>
    <w:p>
      <w:pPr>
        <w:pStyle w:val="Heading2"/>
      </w:pPr>
      <w:r>
        <w:t>2.1 Flux public</w:t>
      </w:r>
    </w:p>
    <w:p>
      <w:pPr>
        <w:pStyle w:val="ListNumber"/>
        <w:ind w:left="520" w:hanging="280"/>
        <w:spacing w:after="70"/>
      </w:pPr>
      <w:r>
        <w:rPr>
          <w:b/>
          <w:color w:val="0B6B70"/>
        </w:rPr>
        <w:t xml:space="preserve">1. </w:t>
      </w:r>
      <w:r>
        <w:t xml:space="preserve">L’application charge l’unique catalogue publié avec </w:t>
      </w:r>
      <w:r>
        <w:rPr>
          <w:rFonts w:ascii="Consolas" w:hAnsi="Consolas"/>
          <w:shd w:fill="EEF2F4"/>
        </w:rPr>
        <w:t>get_active_specialty_catalog()</w:t>
      </w:r>
      <w:r>
        <w:t>.</w:t>
      </w:r>
    </w:p>
    <w:p>
      <w:pPr>
        <w:pStyle w:val="ListNumber"/>
        <w:ind w:left="520" w:hanging="280"/>
        <w:spacing w:after="70"/>
      </w:pPr>
      <w:r>
        <w:rPr>
          <w:b/>
          <w:color w:val="0B6B70"/>
        </w:rPr>
        <w:t xml:space="preserve">2. </w:t>
      </w:r>
      <w:r>
        <w:t>Le moteur construit le profil et le classement dans le navigateur.</w:t>
      </w:r>
    </w:p>
    <w:p>
      <w:pPr>
        <w:pStyle w:val="ListNumber"/>
        <w:ind w:left="520" w:hanging="280"/>
        <w:spacing w:after="70"/>
      </w:pPr>
      <w:r>
        <w:rPr>
          <w:b/>
          <w:color w:val="0B6B70"/>
        </w:rPr>
        <w:t xml:space="preserve">3. </w:t>
      </w:r>
      <w:r>
        <w:t xml:space="preserve">La soumission v3 transmet l’identifiant UUID de la version publiée utilisée et crée une ligne de </w:t>
      </w:r>
      <w:r>
        <w:rPr>
          <w:rFonts w:ascii="Consolas" w:hAnsi="Consolas"/>
          <w:shd w:fill="EEF2F4"/>
        </w:rPr>
        <w:t>submission_schema_version = 2</w:t>
      </w:r>
      <w:r>
        <w:t>.</w:t>
      </w:r>
    </w:p>
    <w:p>
      <w:pPr>
        <w:pStyle w:val="ListNumber"/>
        <w:ind w:left="520" w:hanging="280"/>
        <w:spacing w:after="70"/>
      </w:pPr>
      <w:r>
        <w:rPr>
          <w:b/>
          <w:color w:val="0B6B70"/>
        </w:rPr>
        <w:t xml:space="preserve">4. </w:t>
      </w:r>
      <w:r>
        <w:t>PostgreSQL vérifie que cet UUID correspond bien à un instantané publié.</w:t>
      </w:r>
    </w:p>
    <w:p>
      <w:pPr>
        <w:pStyle w:val="ListNumber"/>
        <w:ind w:left="520" w:hanging="280"/>
        <w:spacing w:after="70"/>
      </w:pPr>
      <w:r>
        <w:rPr>
          <w:b/>
          <w:color w:val="0B6B70"/>
        </w:rPr>
        <w:t xml:space="preserve">5. </w:t>
      </w:r>
      <w:r>
        <w:t>La réponse et la révision du catalogue sont enregistrées ensemble.</w:t>
      </w:r>
    </w:p>
    <w:p>
      <w:pPr>
        <w:pStyle w:val="ListNumber"/>
        <w:ind w:left="520" w:hanging="280"/>
        <w:spacing w:after="70"/>
      </w:pPr>
      <w:r>
        <w:rPr>
          <w:b/>
          <w:color w:val="0B6B70"/>
        </w:rPr>
        <w:t xml:space="preserve">6. </w:t>
      </w:r>
      <w:r>
        <w:t>Pour un spécialiste, la spécialité réelle et les cinq réponses qualitatives ne sont demandées qu'après les 81 notes et le choix des valeurs, afin de réduire le biais d'ancrage pendant le questionnaire principal.</w:t>
      </w:r>
    </w:p>
    <w:p>
      <w:pPr>
        <w:pStyle w:val="Heading2"/>
      </w:pPr>
      <w:r>
        <w:t>2.2 Flux administratif</w:t>
      </w:r>
    </w:p>
    <w:p>
      <w:pPr>
        <w:pStyle w:val="ListNumber"/>
        <w:ind w:left="520" w:hanging="280"/>
        <w:spacing w:after="70"/>
      </w:pPr>
      <w:r>
        <w:rPr>
          <w:b/>
          <w:color w:val="0B6B70"/>
        </w:rPr>
        <w:t xml:space="preserve">1. </w:t>
      </w:r>
      <w:r>
        <w:t>Supabase Auth authentifie le compte.</w:t>
      </w:r>
    </w:p>
    <w:p>
      <w:pPr>
        <w:pStyle w:val="ListNumber"/>
        <w:ind w:left="520" w:hanging="280"/>
        <w:spacing w:after="70"/>
      </w:pPr>
      <w:r>
        <w:rPr>
          <w:b/>
          <w:color w:val="0B6B70"/>
        </w:rPr>
        <w:t xml:space="preserve">2. </w:t>
      </w:r>
      <w:r>
        <w:rPr>
          <w:rFonts w:ascii="Consolas" w:hAnsi="Consolas"/>
          <w:shd w:fill="EEF2F4"/>
        </w:rPr>
        <w:t>current_user_portal_profile()</w:t>
      </w:r>
      <w:r>
        <w:t xml:space="preserve"> résout son autorisation et son rôle.</w:t>
      </w:r>
    </w:p>
    <w:p>
      <w:pPr>
        <w:pStyle w:val="ListNumber"/>
        <w:ind w:left="520" w:hanging="280"/>
        <w:spacing w:after="70"/>
      </w:pPr>
      <w:r>
        <w:rPr>
          <w:b/>
          <w:color w:val="0B6B70"/>
        </w:rPr>
        <w:t xml:space="preserve">3. </w:t>
      </w:r>
      <w:r>
        <w:t>Les données de recherche, y compris le verbatim qualitatif des spécialistes et les exports, restent accessibles uniquement aux chercheurs allowlistés.</w:t>
      </w:r>
    </w:p>
    <w:p>
      <w:pPr>
        <w:pStyle w:val="ListNumber"/>
        <w:ind w:left="520" w:hanging="280"/>
        <w:spacing w:after="70"/>
      </w:pPr>
      <w:r>
        <w:rPr>
          <w:b/>
          <w:color w:val="0B6B70"/>
        </w:rPr>
        <w:t xml:space="preserve">4. </w:t>
      </w:r>
      <w:r>
        <w:t>Doctor ou Professor ouvre le brouillon, le modifie et fournit une justification.</w:t>
      </w:r>
    </w:p>
    <w:p>
      <w:pPr>
        <w:pStyle w:val="ListNumber"/>
        <w:ind w:left="520" w:hanging="280"/>
        <w:spacing w:after="70"/>
      </w:pPr>
      <w:r>
        <w:rPr>
          <w:b/>
          <w:color w:val="0B6B70"/>
        </w:rPr>
        <w:t xml:space="preserve">5. </w:t>
      </w:r>
      <w:r>
        <w:t>Le verrou optimiste empêche l’écrasement silencieux d’un changement concurrent.</w:t>
      </w:r>
    </w:p>
    <w:p>
      <w:pPr>
        <w:pStyle w:val="ListNumber"/>
        <w:ind w:left="520" w:hanging="280"/>
        <w:spacing w:after="70"/>
      </w:pPr>
      <w:r>
        <w:rPr>
          <w:b/>
          <w:color w:val="0B6B70"/>
        </w:rPr>
        <w:t xml:space="preserve">6. </w:t>
      </w:r>
      <w:r>
        <w:t>Professor publie atomiquement la version complète.</w:t>
      </w:r>
    </w:p>
    <w:p>
      <w:pPr>
        <w:pStyle w:val="Heading1"/>
      </w:pPr>
      <w:r>
        <w:t>3. Séparation des schémas PostgreSQL</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Schéma</w:t>
            </w:r>
          </w:p>
        </w:tc>
        <w:tc>
          <w:tcPr>
            <w:shd w:fill="0B6B70"/>
          </w:tcPr>
          <w:p>
            <w:pPr>
              <w:pStyle w:val="TableHeader"/>
              <w:spacing w:after="0"/>
            </w:pPr>
            <w:r>
              <w:rPr>
                <w:b/>
                <w:color w:val="FFFFFF"/>
                <w:sz w:val="18"/>
                <w:szCs w:val="18"/>
              </w:rPr>
              <w:t>Exposition</w:t>
            </w:r>
          </w:p>
        </w:tc>
        <w:tc>
          <w:tcPr>
            <w:shd w:fill="0B6B70"/>
          </w:tcPr>
          <w:p>
            <w:pPr>
              <w:pStyle w:val="TableHeader"/>
              <w:spacing w:after="0"/>
            </w:pPr>
            <w:r>
              <w:rPr>
                <w:b/>
                <w:color w:val="FFFFFF"/>
                <w:sz w:val="18"/>
                <w:szCs w:val="18"/>
              </w:rPr>
              <w:t>Responsabilité</w:t>
            </w:r>
          </w:p>
        </w:tc>
      </w:tr>
      <w:tr>
        <w:tc>
          <w:tcPr>
            <w:shd w:fill="FFFFFF"/>
          </w:tcPr>
          <w:p>
            <w:pPr>
              <w:pStyle w:val="TableText"/>
              <w:spacing w:after="0"/>
            </w:pPr>
            <w:r>
              <w:rPr>
                <w:rFonts w:ascii="Consolas" w:hAnsi="Consolas"/>
                <w:shd w:fill="EEF2F4"/>
              </w:rPr>
              <w:t>auth</w:t>
            </w:r>
          </w:p>
        </w:tc>
        <w:tc>
          <w:tcPr>
            <w:shd w:fill="FFFFFF"/>
          </w:tcPr>
          <w:p>
            <w:pPr>
              <w:pStyle w:val="TableText"/>
              <w:spacing w:after="0"/>
            </w:pPr>
            <w:r>
              <w:t>Géré par Supabase</w:t>
            </w:r>
          </w:p>
        </w:tc>
        <w:tc>
          <w:tcPr>
            <w:shd w:fill="FFFFFF"/>
          </w:tcPr>
          <w:p>
            <w:pPr>
              <w:pStyle w:val="TableText"/>
              <w:spacing w:after="0"/>
            </w:pPr>
            <w:r>
              <w:t>Comptes, sessions, identité et authentification.</w:t>
            </w:r>
          </w:p>
        </w:tc>
      </w:tr>
      <w:tr>
        <w:tc>
          <w:tcPr>
            <w:shd w:fill="F5F8F8"/>
          </w:tcPr>
          <w:p>
            <w:pPr>
              <w:pStyle w:val="TableText"/>
              <w:spacing w:after="0"/>
            </w:pPr>
            <w:r>
              <w:rPr>
                <w:rFonts w:ascii="Consolas" w:hAnsi="Consolas"/>
                <w:shd w:fill="EEF2F4"/>
              </w:rPr>
              <w:t>public</w:t>
            </w:r>
          </w:p>
        </w:tc>
        <w:tc>
          <w:tcPr>
            <w:shd w:fill="F5F8F8"/>
          </w:tcPr>
          <w:p>
            <w:pPr>
              <w:pStyle w:val="TableText"/>
              <w:spacing w:after="0"/>
            </w:pPr>
            <w:r>
              <w:t>Exposé par l’API selon les privilèges</w:t>
            </w:r>
          </w:p>
        </w:tc>
        <w:tc>
          <w:tcPr>
            <w:shd w:fill="F5F8F8"/>
          </w:tcPr>
          <w:p>
            <w:pPr>
              <w:pStyle w:val="TableText"/>
              <w:spacing w:after="0"/>
            </w:pPr>
            <w:r>
              <w:t>Tables de réponses anonymes et façades RPC explicitement accordées.</w:t>
            </w:r>
          </w:p>
        </w:tc>
      </w:tr>
      <w:tr>
        <w:tc>
          <w:tcPr>
            <w:shd w:fill="FFFFFF"/>
          </w:tcPr>
          <w:p>
            <w:pPr>
              <w:pStyle w:val="TableText"/>
              <w:spacing w:after="0"/>
            </w:pPr>
            <w:r>
              <w:rPr>
                <w:rFonts w:ascii="Consolas" w:hAnsi="Consolas"/>
                <w:shd w:fill="EEF2F4"/>
              </w:rPr>
              <w:t>private</w:t>
            </w:r>
          </w:p>
        </w:tc>
        <w:tc>
          <w:tcPr>
            <w:shd w:fill="FFFFFF"/>
          </w:tcPr>
          <w:p>
            <w:pPr>
              <w:pStyle w:val="TableText"/>
              <w:spacing w:after="0"/>
            </w:pPr>
            <w:r>
              <w:t>Non exposé au navigateur</w:t>
            </w:r>
          </w:p>
        </w:tc>
        <w:tc>
          <w:tcPr>
            <w:shd w:fill="FFFFFF"/>
          </w:tcPr>
          <w:p>
            <w:pPr>
              <w:pStyle w:val="TableText"/>
              <w:spacing w:after="0"/>
            </w:pPr>
            <w:r>
              <w:t>Allowlist, rôles, validateurs, catalogue éditable, versions et journal d’audit.</w:t>
            </w:r>
          </w:p>
        </w:tc>
      </w:tr>
    </w:tbl>
    <w:p>
      <w:pPr>
        <w:spacing w:after="80"/>
      </w:pPr>
    </w:p>
    <w:p>
      <w:r>
        <w:t xml:space="preserve">Cette séparation limite la surface d’attaque. Les rôles </w:t>
      </w:r>
      <w:r>
        <w:rPr>
          <w:rFonts w:ascii="Consolas" w:hAnsi="Consolas"/>
          <w:shd w:fill="EEF2F4"/>
        </w:rPr>
        <w:t>anon</w:t>
      </w:r>
      <w:r>
        <w:t xml:space="preserve"> et </w:t>
      </w:r>
      <w:r>
        <w:rPr>
          <w:rFonts w:ascii="Consolas" w:hAnsi="Consolas"/>
          <w:shd w:fill="EEF2F4"/>
        </w:rPr>
        <w:t>authenticated</w:t>
      </w:r>
      <w:r>
        <w:t xml:space="preserve"> n’obtiennent aucun droit direct sur les tables privées. Les fonctions publiques </w:t>
      </w:r>
      <w:r>
        <w:rPr>
          <w:rFonts w:ascii="Consolas" w:hAnsi="Consolas"/>
          <w:shd w:fill="EEF2F4"/>
        </w:rPr>
        <w:t>SECURITY DEFINER</w:t>
      </w:r>
      <w:r>
        <w:t xml:space="preserve"> constituent les seuls passages autorisés et réalisent leurs propres contrôles de rôle et de validité.</w:t>
      </w:r>
    </w:p>
    <w:p>
      <w:pPr>
        <w:pStyle w:val="Heading1"/>
      </w:pPr>
      <w:r>
        <w:t>4. Diagramme des relations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auth.users</w:t>
      </w:r>
      <w:r>
        <w:br/>
      </w:r>
      <w:r>
        <w:rPr>
          <w:rFonts w:ascii="Consolas" w:hAnsi="Consolas"/>
          <w:shd w:fill="EEF2F4"/>
          <w:sz w:val="18"/>
          <w:szCs w:val="18"/>
        </w:rPr>
        <w:t xml:space="preserve">    │ 1</w:t>
      </w:r>
      <w:r>
        <w:br/>
      </w:r>
      <w:r>
        <w:rPr>
          <w:rFonts w:ascii="Consolas" w:hAnsi="Consolas"/>
          <w:shd w:fill="EEF2F4"/>
          <w:sz w:val="18"/>
          <w:szCs w:val="18"/>
        </w:rPr>
        <w:t xml:space="preserve">    │</w:t>
      </w:r>
      <w:r>
        <w:br/>
      </w:r>
      <w:r>
        <w:rPr>
          <w:rFonts w:ascii="Consolas" w:hAnsi="Consolas"/>
          <w:shd w:fill="EEF2F4"/>
          <w:sz w:val="18"/>
          <w:szCs w:val="18"/>
        </w:rPr>
        <w:t xml:space="preserve">    │ 0..1  ON DELETE CASCADE</w:t>
      </w:r>
      <w:r>
        <w:br/>
      </w:r>
      <w:r>
        <w:rPr>
          <w:rFonts w:ascii="Consolas" w:hAnsi="Consolas"/>
          <w:shd w:fill="EEF2F4"/>
          <w:sz w:val="18"/>
          <w:szCs w:val="18"/>
        </w:rPr>
        <w:t xml:space="preserve">    ▼</w:t>
      </w:r>
      <w:r>
        <w:br/>
      </w:r>
      <w:r>
        <w:rPr>
          <w:rFonts w:ascii="Consolas" w:hAnsi="Consolas"/>
          <w:shd w:fill="EEF2F4"/>
          <w:sz w:val="18"/>
          <w:szCs w:val="18"/>
        </w:rPr>
        <w:t>private.researchers</w:t>
      </w:r>
      <w:r>
        <w:br/>
      </w:r>
      <w:r>
        <w:rPr>
          <w:rFonts w:ascii="Consolas" w:hAnsi="Consolas"/>
          <w:shd w:fill="EEF2F4"/>
          <w:sz w:val="18"/>
          <w:szCs w:val="18"/>
        </w:rPr>
        <w:t xml:space="preserve">    user_id PK</w:t>
      </w:r>
      <w:r>
        <w:br/>
      </w:r>
      <w:r>
        <w:rPr>
          <w:rFonts w:ascii="Consolas" w:hAnsi="Consolas"/>
          <w:shd w:fill="EEF2F4"/>
          <w:sz w:val="18"/>
          <w:szCs w:val="18"/>
        </w:rPr>
        <w:t xml:space="preserve">    portal_role = researcher | doctor | professor</w:t>
      </w:r>
      <w:r>
        <w:br/>
      </w:r>
      <w:r>
        <w:rPr>
          <w:rFonts w:ascii="Consolas" w:hAnsi="Consolas"/>
          <w:shd w:fill="EEF2F4"/>
          <w:sz w:val="18"/>
          <w:szCs w:val="18"/>
        </w:rPr>
        <w:t xml:space="preserve"> </w:t>
      </w:r>
      <w:r>
        <w:br/>
      </w:r>
      <w:r>
        <w:rPr>
          <w:rFonts w:ascii="Consolas" w:hAnsi="Consolas"/>
          <w:shd w:fill="EEF2F4"/>
          <w:sz w:val="18"/>
          <w:szCs w:val="18"/>
        </w:rPr>
        <w:t>private.specialty_catalog_versions</w:t>
      </w:r>
      <w:r>
        <w:br/>
      </w:r>
      <w:r>
        <w:rPr>
          <w:rFonts w:ascii="Consolas" w:hAnsi="Consolas"/>
          <w:shd w:fill="EEF2F4"/>
          <w:sz w:val="18"/>
          <w:szCs w:val="18"/>
        </w:rPr>
        <w:t xml:space="preserve">    id UUID PK</w:t>
      </w:r>
      <w:r>
        <w:br/>
      </w:r>
      <w:r>
        <w:rPr>
          <w:rFonts w:ascii="Consolas" w:hAnsi="Consolas"/>
          <w:shd w:fill="EEF2F4"/>
          <w:sz w:val="18"/>
          <w:szCs w:val="18"/>
        </w:rPr>
        <w:t xml:space="preserve">    revision BIGINT UNIQUE</w:t>
      </w:r>
      <w:r>
        <w:br/>
      </w:r>
      <w:r>
        <w:rPr>
          <w:rFonts w:ascii="Consolas" w:hAnsi="Consolas"/>
          <w:shd w:fill="EEF2F4"/>
          <w:sz w:val="18"/>
          <w:szCs w:val="18"/>
        </w:rPr>
        <w:t xml:space="preserve">    parent_version_id ───────────────┐</w:t>
      </w:r>
      <w:r>
        <w:br/>
      </w:r>
      <w:r>
        <w:rPr>
          <w:rFonts w:ascii="Consolas" w:hAnsi="Consolas"/>
          <w:shd w:fill="EEF2F4"/>
          <w:sz w:val="18"/>
          <w:szCs w:val="18"/>
        </w:rPr>
        <w:t xml:space="preserve">    status draft | active | archived │ auto-référence</w:t>
      </w:r>
      <w:r>
        <w:br/>
      </w:r>
      <w:r>
        <w:rPr>
          <w:rFonts w:ascii="Consolas" w:hAnsi="Consolas"/>
          <w:shd w:fill="EEF2F4"/>
          <w:sz w:val="18"/>
          <w:szCs w:val="18"/>
        </w:rPr>
        <w:t xml:space="preserve">             │ 1                     │</w:t>
      </w:r>
      <w:r>
        <w:br/>
      </w:r>
      <w:r>
        <w:rPr>
          <w:rFonts w:ascii="Consolas" w:hAnsi="Consolas"/>
          <w:shd w:fill="EEF2F4"/>
          <w:sz w:val="18"/>
          <w:szCs w:val="18"/>
        </w:rPr>
        <w:t xml:space="preserve">             │                       └───────────────┐</w:t>
      </w:r>
      <w:r>
        <w:br/>
      </w:r>
      <w:r>
        <w:rPr>
          <w:rFonts w:ascii="Consolas" w:hAnsi="Consolas"/>
          <w:shd w:fill="EEF2F4"/>
          <w:sz w:val="18"/>
          <w:szCs w:val="18"/>
        </w:rPr>
        <w:t xml:space="preserve">             │ N                                     │</w:t>
      </w:r>
      <w:r>
        <w:br/>
      </w:r>
      <w:r>
        <w:rPr>
          <w:rFonts w:ascii="Consolas" w:hAnsi="Consolas"/>
          <w:shd w:fill="EEF2F4"/>
          <w:sz w:val="18"/>
          <w:szCs w:val="18"/>
        </w:rPr>
        <w:t xml:space="preserve">             ▼                                       │</w:t>
      </w:r>
      <w:r>
        <w:br/>
      </w:r>
      <w:r>
        <w:rPr>
          <w:rFonts w:ascii="Consolas" w:hAnsi="Consolas"/>
          <w:shd w:fill="EEF2F4"/>
          <w:sz w:val="18"/>
          <w:szCs w:val="18"/>
        </w:rPr>
        <w:t xml:space="preserve">private.specialty_catalog_entries                    │</w:t>
      </w:r>
      <w:r>
        <w:br/>
      </w:r>
      <w:r>
        <w:rPr>
          <w:rFonts w:ascii="Consolas" w:hAnsi="Consolas"/>
          <w:shd w:fill="EEF2F4"/>
          <w:sz w:val="18"/>
          <w:szCs w:val="18"/>
        </w:rPr>
        <w:t xml:space="preserve">    PK (version_id, name)                            │</w:t>
      </w:r>
      <w:r>
        <w:br/>
      </w:r>
      <w:r>
        <w:rPr>
          <w:rFonts w:ascii="Consolas" w:hAnsi="Consolas"/>
          <w:shd w:fill="EEF2F4"/>
          <w:sz w:val="18"/>
          <w:szCs w:val="18"/>
        </w:rPr>
        <w:t xml:space="preserve">    descriptions / clinical_summaries / profile      │</w:t>
      </w:r>
      <w:r>
        <w:br/>
      </w:r>
      <w:r>
        <w:rPr>
          <w:rFonts w:ascii="Consolas" w:hAnsi="Consolas"/>
          <w:shd w:fill="EEF2F4"/>
          <w:sz w:val="18"/>
          <w:szCs w:val="18"/>
        </w:rPr>
        <w:t xml:space="preserve">                                                     │</w:t>
      </w:r>
      <w:r>
        <w:br/>
      </w:r>
      <w:r>
        <w:rPr>
          <w:rFonts w:ascii="Consolas" w:hAnsi="Consolas"/>
          <w:shd w:fill="EEF2F4"/>
          <w:sz w:val="18"/>
          <w:szCs w:val="18"/>
        </w:rPr>
        <w:t xml:space="preserve">private.specialty_catalog_audit                      │</w:t>
      </w:r>
      <w:r>
        <w:br/>
      </w:r>
      <w:r>
        <w:rPr>
          <w:rFonts w:ascii="Consolas" w:hAnsi="Consolas"/>
          <w:shd w:fill="EEF2F4"/>
          <w:sz w:val="18"/>
          <w:szCs w:val="18"/>
        </w:rPr>
        <w:t xml:space="preserve">    version_id ──────────────────────────────────────┘</w:t>
      </w:r>
      <w:r>
        <w:br/>
      </w:r>
      <w:r>
        <w:rPr>
          <w:rFonts w:ascii="Consolas" w:hAnsi="Consolas"/>
          <w:shd w:fill="EEF2F4"/>
          <w:sz w:val="18"/>
          <w:szCs w:val="18"/>
        </w:rPr>
        <w:t xml:space="preserve">    journal append-only</w:t>
      </w:r>
      <w:r>
        <w:br/>
      </w:r>
      <w:r>
        <w:rPr>
          <w:rFonts w:ascii="Consolas" w:hAnsi="Consolas"/>
          <w:shd w:fill="EEF2F4"/>
          <w:sz w:val="18"/>
          <w:szCs w:val="18"/>
        </w:rPr>
        <w:t xml:space="preserve"> </w:t>
      </w:r>
      <w:r>
        <w:br/>
      </w:r>
      <w:r>
        <w:rPr>
          <w:rFonts w:ascii="Consolas" w:hAnsi="Consolas"/>
          <w:shd w:fill="EEF2F4"/>
          <w:sz w:val="18"/>
          <w:szCs w:val="18"/>
        </w:rPr>
        <w:t>private.trait_catalog</w:t>
      </w:r>
      <w:r>
        <w:br/>
      </w:r>
      <w:r>
        <w:rPr>
          <w:rFonts w:ascii="Consolas" w:hAnsi="Consolas"/>
          <w:shd w:fill="EEF2F4"/>
          <w:sz w:val="18"/>
          <w:szCs w:val="18"/>
        </w:rPr>
        <w:t xml:space="preserve">    code PK</w:t>
      </w:r>
      <w:r>
        <w:br/>
      </w:r>
      <w:r>
        <w:rPr>
          <w:rFonts w:ascii="Consolas" w:hAnsi="Consolas"/>
          <w:shd w:fill="EEF2F4"/>
          <w:sz w:val="18"/>
          <w:szCs w:val="18"/>
        </w:rPr>
        <w:t xml:space="preserve">    provenance de mesure utilisée pour valider profile JSONB</w:t>
      </w:r>
      <w:r>
        <w:br/>
      </w:r>
      <w:r>
        <w:rPr>
          <w:rFonts w:ascii="Consolas" w:hAnsi="Consolas"/>
          <w:shd w:fill="EEF2F4"/>
          <w:sz w:val="18"/>
          <w:szCs w:val="18"/>
        </w:rPr>
        <w:t xml:space="preserve"> </w:t>
      </w:r>
      <w:r>
        <w:br/>
      </w:r>
      <w:r>
        <w:rPr>
          <w:rFonts w:ascii="Consolas" w:hAnsi="Consolas"/>
          <w:shd w:fill="EEF2F4"/>
          <w:sz w:val="18"/>
          <w:szCs w:val="18"/>
        </w:rPr>
        <w:t xml:space="preserve">public.student_responses                 public.specialist_responses</w:t>
      </w:r>
      <w:r>
        <w:br/>
      </w:r>
      <w:r>
        <w:rPr>
          <w:rFonts w:ascii="Consolas" w:hAnsi="Consolas"/>
          <w:shd w:fill="EEF2F4"/>
          <w:sz w:val="18"/>
          <w:szCs w:val="18"/>
        </w:rPr>
        <w:t xml:space="preserve">    specialty_config_version_id ─┐           specialty_config_version_id ─┐</w:t>
      </w:r>
      <w:r>
        <w:br/>
      </w:r>
      <w:r>
        <w:rPr>
          <w:rFonts w:ascii="Consolas" w:hAnsi="Consolas"/>
          <w:shd w:fill="EEF2F4"/>
          <w:sz w:val="18"/>
          <w:szCs w:val="18"/>
        </w:rPr>
        <w:t xml:space="preserve">    specialty_config_revision ───┴────────── specialty_config_revision ───┴─►</w:t>
      </w:r>
      <w:r>
        <w:br/>
      </w:r>
      <w:r>
        <w:rPr>
          <w:rFonts w:ascii="Consolas" w:hAnsi="Consolas"/>
          <w:shd w:fill="EEF2F4"/>
          <w:sz w:val="18"/>
          <w:szCs w:val="18"/>
        </w:rPr>
        <w:t xml:space="preserve">             FK composite vers (id, revision) de specialty_catalog_versions</w:t>
      </w:r>
    </w:p>
    <w:p>
      <w:r>
        <w:t xml:space="preserve">Les réponses ne référencent pas </w:t>
      </w:r>
      <w:r>
        <w:rPr>
          <w:rFonts w:ascii="Consolas" w:hAnsi="Consolas"/>
          <w:shd w:fill="EEF2F4"/>
        </w:rPr>
        <w:t>auth.users</w:t>
      </w:r>
      <w:r>
        <w:t>. Elles restent anonymes du point de vue du modèle applicatif. Seuls les membres du portail ont une relation avec un compte Auth.</w:t>
      </w:r>
    </w:p>
    <w:p>
      <w:pPr>
        <w:pStyle w:val="Heading1"/>
      </w:pPr>
      <w:r>
        <w:t>5. Dictionnaire des tables</w:t>
      </w:r>
    </w:p>
    <w:p>
      <w:pPr>
        <w:pStyle w:val="Heading2"/>
      </w:pPr>
      <w:r>
        <w:t xml:space="preserve">5.1 </w:t>
      </w:r>
      <w:r>
        <w:rPr>
          <w:rFonts w:ascii="Consolas" w:hAnsi="Consolas"/>
          <w:shd w:fill="EEF2F4"/>
        </w:rPr>
        <w:t>auth.users</w:t>
      </w:r>
    </w:p>
    <w:p>
      <w:r>
        <w:t>Table gérée par Supabase Auth. Q Project ne la recrée pas et n’y stocke aucune donnée de questionnaire.</w:t>
      </w:r>
    </w:p>
    <w:p>
      <w:r>
        <w:t>Éléments utilisés par l’application :</w:t>
      </w:r>
    </w:p>
    <w:p>
      <w:pPr>
        <w:pStyle w:val="ListBullet"/>
        <w:ind w:left="520" w:hanging="280"/>
        <w:spacing w:after="70"/>
      </w:pPr>
      <w:r>
        <w:rPr>
          <w:b/>
          <w:color w:val="0B6B70"/>
        </w:rPr>
        <w:t xml:space="preserve">• </w:t>
      </w:r>
      <w:r>
        <w:rPr>
          <w:rFonts w:ascii="Consolas" w:hAnsi="Consolas"/>
          <w:shd w:fill="EEF2F4"/>
        </w:rPr>
        <w:t>id</w:t>
      </w:r>
      <w:r>
        <w:t xml:space="preserve"> : UUID du compte Auth ;</w:t>
      </w:r>
    </w:p>
    <w:p>
      <w:pPr>
        <w:pStyle w:val="ListBullet"/>
        <w:ind w:left="520" w:hanging="280"/>
        <w:spacing w:after="70"/>
      </w:pPr>
      <w:r>
        <w:rPr>
          <w:b/>
          <w:color w:val="0B6B70"/>
        </w:rPr>
        <w:t xml:space="preserve">• </w:t>
      </w:r>
      <w:r>
        <w:t>identité e-mail et état de confirmation, gérés par Supabase ;</w:t>
      </w:r>
    </w:p>
    <w:p>
      <w:pPr>
        <w:pStyle w:val="ListBullet"/>
        <w:ind w:left="520" w:hanging="280"/>
        <w:spacing w:after="70"/>
      </w:pPr>
      <w:r>
        <w:rPr>
          <w:b/>
          <w:color w:val="0B6B70"/>
        </w:rPr>
        <w:t xml:space="preserve">• </w:t>
      </w:r>
      <w:r>
        <w:t>mot de passe conservé uniquement sous forme sécurisée par le service Auth ;</w:t>
      </w:r>
    </w:p>
    <w:p>
      <w:pPr>
        <w:pStyle w:val="ListBullet"/>
        <w:ind w:left="520" w:hanging="280"/>
        <w:spacing w:after="70"/>
      </w:pPr>
      <w:r>
        <w:rPr>
          <w:b/>
          <w:color w:val="0B6B70"/>
        </w:rPr>
        <w:t xml:space="preserve">• </w:t>
      </w:r>
      <w:r>
        <w:t xml:space="preserve">session JWT utilisée par </w:t>
      </w:r>
      <w:r>
        <w:rPr>
          <w:rFonts w:ascii="Consolas" w:hAnsi="Consolas"/>
          <w:shd w:fill="EEF2F4"/>
        </w:rPr>
        <w:t>auth.uid()</w:t>
      </w:r>
      <w:r>
        <w:t xml:space="preserve"> dans PostgreSQL.</w:t>
      </w:r>
    </w:p>
    <w:p>
      <w:r>
        <w:t xml:space="preserve">La création, l’invitation ou la suppression d’un compte relève d’une opération d’administration Supabase. Un compte Auth seul ne donne aucun accès aux données de recherche : il doit également être actif dans </w:t>
      </w:r>
      <w:r>
        <w:rPr>
          <w:rFonts w:ascii="Consolas" w:hAnsi="Consolas"/>
          <w:shd w:fill="EEF2F4"/>
        </w:rPr>
        <w:t>private.researchers</w:t>
      </w:r>
      <w:r>
        <w:t>.</w:t>
      </w:r>
    </w:p>
    <w:p>
      <w:pPr>
        <w:pStyle w:val="Heading2"/>
      </w:pPr>
      <w:r>
        <w:t xml:space="preserve">5.2 </w:t>
      </w:r>
      <w:r>
        <w:rPr>
          <w:rFonts w:ascii="Consolas" w:hAnsi="Consolas"/>
          <w:shd w:fill="EEF2F4"/>
        </w:rPr>
        <w:t>private.researchers</w:t>
      </w:r>
    </w:p>
    <w:p>
      <w:r>
        <w:t>Allowlist des personnes autorisées à utiliser le dashboard.</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user_id</w:t>
            </w:r>
          </w:p>
        </w:tc>
        <w:tc>
          <w:tcPr>
            <w:shd w:fill="FFFFFF"/>
          </w:tcPr>
          <w:p>
            <w:pPr>
              <w:pStyle w:val="TableText"/>
              <w:spacing w:after="0"/>
            </w:pPr>
            <w:r>
              <w:rPr>
                <w:rFonts w:ascii="Consolas" w:hAnsi="Consolas"/>
                <w:shd w:fill="EEF2F4"/>
              </w:rPr>
              <w:t>uuid</w:t>
            </w:r>
            <w:r>
              <w:t xml:space="preserve"> PK, FK vers </w:t>
            </w:r>
            <w:r>
              <w:rPr>
                <w:rFonts w:ascii="Consolas" w:hAnsi="Consolas"/>
                <w:shd w:fill="EEF2F4"/>
              </w:rPr>
              <w:t>auth.users(id)</w:t>
            </w:r>
          </w:p>
        </w:tc>
        <w:tc>
          <w:tcPr>
            <w:shd w:fill="FFFFFF"/>
          </w:tcPr>
          <w:p>
            <w:pPr>
              <w:pStyle w:val="TableText"/>
              <w:spacing w:after="0"/>
            </w:pPr>
            <w:r>
              <w:t>Identité Auth. Suppression en cascade lorsque le compte Auth disparaît.</w:t>
            </w:r>
          </w:p>
        </w:tc>
      </w:tr>
      <w:tr>
        <w:tc>
          <w:tcPr>
            <w:shd w:fill="F5F8F8"/>
          </w:tcPr>
          <w:p>
            <w:pPr>
              <w:pStyle w:val="TableText"/>
              <w:spacing w:after="0"/>
            </w:pPr>
            <w:r>
              <w:rPr>
                <w:rFonts w:ascii="Consolas" w:hAnsi="Consolas"/>
                <w:shd w:fill="EEF2F4"/>
              </w:rPr>
              <w:t>display_name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Nom affiché dans le portail et l’historique.</w:t>
            </w:r>
          </w:p>
        </w:tc>
      </w:tr>
      <w:tr>
        <w:tc>
          <w:tcPr>
            <w:shd w:fill="FFFFFF"/>
          </w:tcPr>
          <w:p>
            <w:pPr>
              <w:pStyle w:val="TableText"/>
              <w:spacing w:after="0"/>
            </w:pPr>
            <w:r>
              <w:rPr>
                <w:rFonts w:ascii="Consolas" w:hAnsi="Consolas"/>
                <w:shd w:fill="EEF2F4"/>
              </w:rPr>
              <w:t>enabled</w:t>
            </w:r>
          </w:p>
        </w:tc>
        <w:tc>
          <w:tcPr>
            <w:shd w:fill="FFFFFF"/>
          </w:tcPr>
          <w:p>
            <w:pPr>
              <w:pStyle w:val="TableText"/>
              <w:spacing w:after="0"/>
            </w:pPr>
            <w:r>
              <w:rPr>
                <w:rFonts w:ascii="Consolas" w:hAnsi="Consolas"/>
                <w:shd w:fill="EEF2F4"/>
              </w:rPr>
              <w:t>boolean</w:t>
            </w:r>
          </w:p>
        </w:tc>
        <w:tc>
          <w:tcPr>
            <w:shd w:fill="FFFFFF"/>
          </w:tcPr>
          <w:p>
            <w:pPr>
              <w:pStyle w:val="TableText"/>
              <w:spacing w:after="0"/>
            </w:pPr>
            <w:r>
              <w:t>Révocation immédiate sans supprimer le compte Auth.</w:t>
            </w:r>
          </w:p>
        </w:tc>
      </w:tr>
      <w:tr>
        <w:tc>
          <w:tcPr>
            <w:shd w:fill="F5F8F8"/>
          </w:tcPr>
          <w:p>
            <w:pPr>
              <w:pStyle w:val="TableText"/>
              <w:spacing w:after="0"/>
            </w:pPr>
            <w:r>
              <w:rPr>
                <w:rFonts w:ascii="Consolas" w:hAnsi="Consolas"/>
                <w:shd w:fill="EEF2F4"/>
              </w:rPr>
              <w:t>created_at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d’ajout à l’allowlist.</w:t>
            </w:r>
          </w:p>
        </w:tc>
      </w:tr>
      <w:tr>
        <w:tc>
          <w:tcPr>
            <w:shd w:fill="FFFFFF"/>
          </w:tcPr>
          <w:p>
            <w:pPr>
              <w:pStyle w:val="TableText"/>
              <w:spacing w:after="0"/>
            </w:pPr>
            <w:r>
              <w:rPr>
                <w:rFonts w:ascii="Consolas" w:hAnsi="Consolas"/>
                <w:shd w:fill="EEF2F4"/>
              </w:rPr>
              <w:t>portal_role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researcher</w:t>
            </w:r>
            <w:r>
              <w:t xml:space="preserve">, </w:t>
            </w:r>
            <w:r>
              <w:rPr>
                <w:rFonts w:ascii="Consolas" w:hAnsi="Consolas"/>
                <w:shd w:fill="EEF2F4"/>
              </w:rPr>
              <w:t>doctor</w:t>
            </w:r>
            <w:r>
              <w:t xml:space="preserve"> ou </w:t>
            </w:r>
            <w:r>
              <w:rPr>
                <w:rFonts w:ascii="Consolas" w:hAnsi="Consolas"/>
                <w:shd w:fill="EEF2F4"/>
              </w:rPr>
              <w:t>professor</w:t>
            </w:r>
            <w:r>
              <w:t>.</w:t>
            </w:r>
          </w:p>
        </w:tc>
      </w:tr>
    </w:tbl>
    <w:p>
      <w:pPr>
        <w:spacing w:after="80"/>
      </w:pPr>
    </w:p>
    <w:p>
      <w:r>
        <w:t xml:space="preserve">La contrainte </w:t>
      </w:r>
      <w:r>
        <w:rPr>
          <w:rFonts w:ascii="Consolas" w:hAnsi="Consolas"/>
          <w:shd w:fill="EEF2F4"/>
        </w:rPr>
        <w:t>researchers_portal_role_check</w:t>
      </w:r>
      <w:r>
        <w:t xml:space="preserve"> empêche toute valeur de rôle non prévue.</w:t>
      </w:r>
    </w:p>
    <w:p>
      <w:pPr>
        <w:pStyle w:val="Heading2"/>
      </w:pPr>
      <w:r>
        <w:t xml:space="preserve">5.3 </w:t>
      </w:r>
      <w:r>
        <w:rPr>
          <w:rFonts w:ascii="Consolas" w:hAnsi="Consolas"/>
          <w:shd w:fill="EEF2F4"/>
        </w:rPr>
        <w:t>private.trait_catalog</w:t>
      </w:r>
    </w:p>
    <w:p>
      <w:r>
        <w:t>Catalogue technique des traits connus par le moteur. Cette table documente surtout la provenance de chaque mesure.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code</w:t>
            </w:r>
          </w:p>
        </w:tc>
        <w:tc>
          <w:tcPr>
            <w:shd w:fill="FFFFFF"/>
          </w:tcPr>
          <w:p>
            <w:pPr>
              <w:pStyle w:val="TableText"/>
              <w:spacing w:after="0"/>
            </w:pPr>
            <w:r>
              <w:rPr>
                <w:rFonts w:ascii="Consolas" w:hAnsi="Consolas"/>
                <w:shd w:fill="EEF2F4"/>
              </w:rPr>
              <w:t>text</w:t>
            </w:r>
            <w:r>
              <w:t xml:space="preserve"> PK</w:t>
            </w:r>
          </w:p>
        </w:tc>
        <w:tc>
          <w:tcPr>
            <w:shd w:fill="FFFFFF"/>
          </w:tcPr>
          <w:p>
            <w:pPr>
              <w:pStyle w:val="TableText"/>
              <w:spacing w:after="0"/>
            </w:pPr>
            <w:r>
              <w:t xml:space="preserve">Identifiant stable, par exemple </w:t>
            </w:r>
            <w:r>
              <w:rPr>
                <w:rFonts w:ascii="Consolas" w:hAnsi="Consolas"/>
                <w:shd w:fill="EEF2F4"/>
              </w:rPr>
              <w:t>precision</w:t>
            </w:r>
            <w:r>
              <w:t>.</w:t>
            </w:r>
          </w:p>
        </w:tc>
      </w:tr>
      <w:tr>
        <w:tc>
          <w:tcPr>
            <w:shd w:fill="F5F8F8"/>
          </w:tcPr>
          <w:p>
            <w:pPr>
              <w:pStyle w:val="TableText"/>
              <w:spacing w:after="0"/>
            </w:pPr>
            <w:r>
              <w:rPr>
                <w:rFonts w:ascii="Consolas" w:hAnsi="Consolas"/>
                <w:shd w:fill="EEF2F4"/>
              </w:rPr>
              <w:t>dimension</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thinking</w:t>
            </w:r>
            <w:r>
              <w:t xml:space="preserve">, </w:t>
            </w:r>
            <w:r>
              <w:rPr>
                <w:rFonts w:ascii="Consolas" w:hAnsi="Consolas"/>
                <w:shd w:fill="EEF2F4"/>
              </w:rPr>
              <w:t>working</w:t>
            </w:r>
            <w:r>
              <w:t xml:space="preserve">, </w:t>
            </w:r>
            <w:r>
              <w:rPr>
                <w:rFonts w:ascii="Consolas" w:hAnsi="Consolas"/>
                <w:shd w:fill="EEF2F4"/>
              </w:rPr>
              <w:t>interpersonal</w:t>
            </w:r>
            <w:r>
              <w:t xml:space="preserve">, </w:t>
            </w:r>
            <w:r>
              <w:rPr>
                <w:rFonts w:ascii="Consolas" w:hAnsi="Consolas"/>
                <w:shd w:fill="EEF2F4"/>
              </w:rPr>
              <w:t>technical</w:t>
            </w:r>
            <w:r>
              <w:t xml:space="preserve"> ou </w:t>
            </w:r>
            <w:r>
              <w:rPr>
                <w:rFonts w:ascii="Consolas" w:hAnsi="Consolas"/>
                <w:shd w:fill="EEF2F4"/>
              </w:rPr>
              <w:t>lifestyle</w:t>
            </w:r>
            <w:r>
              <w:t>.</w:t>
            </w:r>
          </w:p>
        </w:tc>
      </w:tr>
      <w:tr>
        <w:tc>
          <w:tcPr>
            <w:shd w:fill="FFFFFF"/>
          </w:tcPr>
          <w:p>
            <w:pPr>
              <w:pStyle w:val="TableText"/>
              <w:spacing w:after="0"/>
            </w:pPr>
            <w:r>
              <w:rPr>
                <w:rFonts w:ascii="Consolas" w:hAnsi="Consolas"/>
                <w:shd w:fill="EEF2F4"/>
              </w:rPr>
              <w:t>measurement_source</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question</w:t>
            </w:r>
            <w:r>
              <w:t xml:space="preserve">, </w:t>
            </w:r>
            <w:r>
              <w:rPr>
                <w:rFonts w:ascii="Consolas" w:hAnsi="Consolas"/>
                <w:shd w:fill="EEF2F4"/>
              </w:rPr>
              <w:t>question_and_value</w:t>
            </w:r>
            <w:r>
              <w:t xml:space="preserve">, </w:t>
            </w:r>
            <w:r>
              <w:rPr>
                <w:rFonts w:ascii="Consolas" w:hAnsi="Consolas"/>
                <w:shd w:fill="EEF2F4"/>
              </w:rPr>
              <w:t>value_only</w:t>
            </w:r>
            <w:r>
              <w:t xml:space="preserve"> ou </w:t>
            </w:r>
            <w:r>
              <w:rPr>
                <w:rFonts w:ascii="Consolas" w:hAnsi="Consolas"/>
                <w:shd w:fill="EEF2F4"/>
              </w:rPr>
              <w:t>unmeasured</w:t>
            </w:r>
            <w:r>
              <w:t>.</w:t>
            </w:r>
          </w:p>
        </w:tc>
      </w:tr>
      <w:tr>
        <w:tc>
          <w:tcPr>
            <w:shd w:fill="F5F8F8"/>
          </w:tcPr>
          <w:p>
            <w:pPr>
              <w:pStyle w:val="TableText"/>
              <w:spacing w:after="0"/>
            </w:pPr>
            <w:r>
              <w:rPr>
                <w:rFonts w:ascii="Consolas" w:hAnsi="Consolas"/>
                <w:shd w:fill="EEF2F4"/>
              </w:rPr>
              <w:t>warning</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Avertissement scientifique ou opérationnel.</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d’initialisation du trait.</w:t>
            </w:r>
          </w:p>
        </w:tc>
      </w:tr>
    </w:tbl>
    <w:p>
      <w:pPr>
        <w:spacing w:after="80"/>
      </w:pPr>
    </w:p>
    <w:p>
      <w:r>
        <w:t>Le profil JSONB de chaque spécialité ne peut référencer qu’un code présent dans cette table.</w:t>
      </w:r>
    </w:p>
    <w:p>
      <w:r>
        <w:t>Le catalogue courant contient 96 traits : 92 sont produits par les notes du questionnaire, 3 (</w:t>
      </w:r>
      <w:r>
        <w:rPr>
          <w:rFonts w:ascii="Consolas" w:hAnsi="Consolas"/>
          <w:shd w:fill="EEF2F4"/>
        </w:rPr>
        <w:t>manual_orientation</w:t>
      </w:r>
      <w:r>
        <w:t xml:space="preserve">, </w:t>
      </w:r>
      <w:r>
        <w:rPr>
          <w:rFonts w:ascii="Consolas" w:hAnsi="Consolas"/>
          <w:shd w:fill="EEF2F4"/>
        </w:rPr>
        <w:t>prestige_priority</w:t>
      </w:r>
      <w:r>
        <w:t xml:space="preserve">, </w:t>
      </w:r>
      <w:r>
        <w:rPr>
          <w:rFonts w:ascii="Consolas" w:hAnsi="Consolas"/>
          <w:shd w:fill="EEF2F4"/>
        </w:rPr>
        <w:t>security_priority</w:t>
      </w:r>
      <w:r>
        <w:t>) uniquement lorsqu'une valeur professionnelle correspondante est sélectionnée, et 1 (</w:t>
      </w:r>
      <w:r>
        <w:rPr>
          <w:rFonts w:ascii="Consolas" w:hAnsi="Consolas"/>
          <w:shd w:fill="EEF2F4"/>
        </w:rPr>
        <w:t>prevention_orientation</w:t>
      </w:r>
      <w:r>
        <w:t>) n'est actuellement produit par aucune question ni valeur.</w:t>
      </w:r>
    </w:p>
    <w:p>
      <w:pPr>
        <w:pStyle w:val="Heading2"/>
      </w:pPr>
      <w:r>
        <w:t xml:space="preserve">5.4 </w:t>
      </w:r>
      <w:r>
        <w:rPr>
          <w:rFonts w:ascii="Consolas" w:hAnsi="Consolas"/>
          <w:shd w:fill="EEF2F4"/>
        </w:rPr>
        <w:t>private.specialty_catalog_versions</w:t>
      </w:r>
    </w:p>
    <w:p>
      <w:r>
        <w:t>Registre des instantanés du catalogue.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uuid</w:t>
            </w:r>
            <w:r>
              <w:t xml:space="preserve"> PK</w:t>
            </w:r>
          </w:p>
        </w:tc>
        <w:tc>
          <w:tcPr>
            <w:shd w:fill="FFFFFF"/>
          </w:tcPr>
          <w:p>
            <w:pPr>
              <w:pStyle w:val="TableText"/>
              <w:spacing w:after="0"/>
            </w:pPr>
            <w:r>
              <w:t>Identifiant immuable de la version.</w:t>
            </w:r>
          </w:p>
        </w:tc>
      </w:tr>
      <w:tr>
        <w:tc>
          <w:tcPr>
            <w:shd w:fill="F5F8F8"/>
          </w:tcPr>
          <w:p>
            <w:pPr>
              <w:pStyle w:val="TableText"/>
              <w:spacing w:after="0"/>
            </w:pPr>
            <w:r>
              <w:rPr>
                <w:rFonts w:ascii="Consolas" w:hAnsi="Consolas"/>
                <w:shd w:fill="EEF2F4"/>
              </w:rPr>
              <w:t>revision</w:t>
            </w:r>
          </w:p>
        </w:tc>
        <w:tc>
          <w:tcPr>
            <w:shd w:fill="F5F8F8"/>
          </w:tcPr>
          <w:p>
            <w:pPr>
              <w:pStyle w:val="TableText"/>
              <w:spacing w:after="0"/>
            </w:pPr>
            <w:r>
              <w:rPr>
                <w:rFonts w:ascii="Consolas" w:hAnsi="Consolas"/>
                <w:shd w:fill="EEF2F4"/>
              </w:rPr>
              <w:t>bigint identity</w:t>
            </w:r>
            <w:r>
              <w:t>, unique</w:t>
            </w:r>
          </w:p>
        </w:tc>
        <w:tc>
          <w:tcPr>
            <w:shd w:fill="F5F8F8"/>
          </w:tcPr>
          <w:p>
            <w:pPr>
              <w:pStyle w:val="TableText"/>
              <w:spacing w:after="0"/>
            </w:pPr>
            <w:r>
              <w:t>Numéro humain croissant.</w:t>
            </w:r>
          </w:p>
        </w:tc>
      </w:tr>
      <w:tr>
        <w:tc>
          <w:tcPr>
            <w:shd w:fill="FFFFFF"/>
          </w:tcPr>
          <w:p>
            <w:pPr>
              <w:pStyle w:val="TableText"/>
              <w:spacing w:after="0"/>
            </w:pPr>
            <w:r>
              <w:rPr>
                <w:rFonts w:ascii="Consolas" w:hAnsi="Consolas"/>
                <w:shd w:fill="EEF2F4"/>
              </w:rPr>
              <w:t>label</w:t>
            </w:r>
          </w:p>
        </w:tc>
        <w:tc>
          <w:tcPr>
            <w:shd w:fill="FFFFFF"/>
          </w:tcPr>
          <w:p>
            <w:pPr>
              <w:pStyle w:val="TableText"/>
              <w:spacing w:after="0"/>
            </w:pPr>
            <w:r>
              <w:rPr>
                <w:rFonts w:ascii="Consolas" w:hAnsi="Consolas"/>
                <w:shd w:fill="EEF2F4"/>
              </w:rPr>
              <w:t>text</w:t>
            </w:r>
          </w:p>
        </w:tc>
        <w:tc>
          <w:tcPr>
            <w:shd w:fill="FFFFFF"/>
          </w:tcPr>
          <w:p>
            <w:pPr>
              <w:pStyle w:val="TableText"/>
              <w:spacing w:after="0"/>
            </w:pPr>
            <w:r>
              <w:t>Libellé lisible de la version.</w:t>
            </w:r>
          </w:p>
        </w:tc>
      </w:tr>
      <w:tr>
        <w:tc>
          <w:tcPr>
            <w:shd w:fill="F5F8F8"/>
          </w:tcPr>
          <w:p>
            <w:pPr>
              <w:pStyle w:val="TableText"/>
              <w:spacing w:after="0"/>
            </w:pPr>
            <w:r>
              <w:rPr>
                <w:rFonts w:ascii="Consolas" w:hAnsi="Consolas"/>
                <w:shd w:fill="EEF2F4"/>
              </w:rPr>
              <w:t>status</w:t>
            </w:r>
          </w:p>
        </w:tc>
        <w:tc>
          <w:tcPr>
            <w:shd w:fill="F5F8F8"/>
          </w:tcPr>
          <w:p>
            <w:pPr>
              <w:pStyle w:val="TableText"/>
              <w:spacing w:after="0"/>
            </w:pPr>
            <w:r>
              <w:rPr>
                <w:rFonts w:ascii="Consolas" w:hAnsi="Consolas"/>
                <w:shd w:fill="EEF2F4"/>
              </w:rPr>
              <w:t>text</w:t>
            </w:r>
          </w:p>
        </w:tc>
        <w:tc>
          <w:tcPr>
            <w:shd w:fill="F5F8F8"/>
          </w:tcPr>
          <w:p>
            <w:pPr>
              <w:pStyle w:val="TableText"/>
              <w:spacing w:after="0"/>
            </w:pPr>
            <w:r>
              <w:rPr>
                <w:rFonts w:ascii="Consolas" w:hAnsi="Consolas"/>
                <w:shd w:fill="EEF2F4"/>
              </w:rPr>
              <w:t>draft</w:t>
            </w:r>
            <w:r>
              <w:t xml:space="preserve">, </w:t>
            </w:r>
            <w:r>
              <w:rPr>
                <w:rFonts w:ascii="Consolas" w:hAnsi="Consolas"/>
                <w:shd w:fill="EEF2F4"/>
              </w:rPr>
              <w:t>active</w:t>
            </w:r>
            <w:r>
              <w:t xml:space="preserve"> ou </w:t>
            </w:r>
            <w:r>
              <w:rPr>
                <w:rFonts w:ascii="Consolas" w:hAnsi="Consolas"/>
                <w:shd w:fill="EEF2F4"/>
              </w:rPr>
              <w:t>archived</w:t>
            </w:r>
            <w:r>
              <w:t>.</w:t>
            </w:r>
          </w:p>
        </w:tc>
      </w:tr>
      <w:tr>
        <w:tc>
          <w:tcPr>
            <w:shd w:fill="FFFFFF"/>
          </w:tcPr>
          <w:p>
            <w:pPr>
              <w:pStyle w:val="TableText"/>
              <w:spacing w:after="0"/>
            </w:pPr>
            <w:r>
              <w:rPr>
                <w:rFonts w:ascii="Consolas" w:hAnsi="Consolas"/>
                <w:shd w:fill="EEF2F4"/>
              </w:rPr>
              <w:t>lock_version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Verrou optimiste incrémenté lors des modifications.</w:t>
            </w:r>
          </w:p>
        </w:tc>
      </w:tr>
      <w:tr>
        <w:tc>
          <w:tcPr>
            <w:shd w:fill="F5F8F8"/>
          </w:tcPr>
          <w:p>
            <w:pPr>
              <w:pStyle w:val="TableText"/>
              <w:spacing w:after="0"/>
            </w:pPr>
            <w:r>
              <w:rPr>
                <w:rFonts w:ascii="Consolas" w:hAnsi="Consolas"/>
                <w:shd w:fill="EEF2F4"/>
              </w:rPr>
              <w:t>parent_version_id</w:t>
            </w:r>
          </w:p>
        </w:tc>
        <w:tc>
          <w:tcPr>
            <w:shd w:fill="F5F8F8"/>
          </w:tcPr>
          <w:p>
            <w:pPr>
              <w:pStyle w:val="TableText"/>
              <w:spacing w:after="0"/>
            </w:pPr>
            <w:r>
              <w:rPr>
                <w:rFonts w:ascii="Consolas" w:hAnsi="Consolas"/>
                <w:shd w:fill="EEF2F4"/>
              </w:rPr>
              <w:t>uuid</w:t>
            </w:r>
            <w:r>
              <w:t>, FK auto-référente</w:t>
            </w:r>
          </w:p>
        </w:tc>
        <w:tc>
          <w:tcPr>
            <w:shd w:fill="F5F8F8"/>
          </w:tcPr>
          <w:p>
            <w:pPr>
              <w:pStyle w:val="TableText"/>
              <w:spacing w:after="0"/>
            </w:pPr>
            <w:r>
              <w:t>Version dont le brouillon est issu.</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 de 3 à 1 000 caractères.</w:t>
            </w:r>
          </w:p>
        </w:tc>
      </w:tr>
      <w:tr>
        <w:tc>
          <w:tcPr>
            <w:shd w:fill="F5F8F8"/>
          </w:tcPr>
          <w:p>
            <w:pPr>
              <w:pStyle w:val="TableText"/>
              <w:spacing w:after="0"/>
            </w:pPr>
            <w:r>
              <w:rPr>
                <w:rFonts w:ascii="Consolas" w:hAnsi="Consolas"/>
                <w:shd w:fill="EEF2F4"/>
              </w:rPr>
              <w:t>created_by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Acteur ayant créé le brouillon.</w:t>
            </w:r>
          </w:p>
        </w:tc>
      </w:tr>
      <w:tr>
        <w:tc>
          <w:tcPr>
            <w:shd w:fill="FFFFFF"/>
          </w:tcPr>
          <w:p>
            <w:pPr>
              <w:pStyle w:val="TableText"/>
              <w:spacing w:after="0"/>
            </w:pPr>
            <w:r>
              <w:rPr>
                <w:rFonts w:ascii="Consolas" w:hAnsi="Consolas"/>
                <w:shd w:fill="EEF2F4"/>
              </w:rPr>
              <w:t>created_at</w:t>
            </w:r>
          </w:p>
        </w:tc>
        <w:tc>
          <w:tcPr>
            <w:shd w:fill="FFFFFF"/>
          </w:tcPr>
          <w:p>
            <w:pPr>
              <w:pStyle w:val="TableText"/>
              <w:spacing w:after="0"/>
            </w:pPr>
            <w:r>
              <w:rPr>
                <w:rFonts w:ascii="Consolas" w:hAnsi="Consolas"/>
                <w:shd w:fill="EEF2F4"/>
              </w:rPr>
              <w:t>timestamptz</w:t>
            </w:r>
          </w:p>
        </w:tc>
        <w:tc>
          <w:tcPr>
            <w:shd w:fill="FFFFFF"/>
          </w:tcPr>
          <w:p>
            <w:pPr>
              <w:pStyle w:val="TableText"/>
              <w:spacing w:after="0"/>
            </w:pPr>
            <w:r>
              <w:t>Date de création.</w:t>
            </w:r>
          </w:p>
        </w:tc>
      </w:tr>
      <w:tr>
        <w:tc>
          <w:tcPr>
            <w:shd w:fill="F5F8F8"/>
          </w:tcPr>
          <w:p>
            <w:pPr>
              <w:pStyle w:val="TableText"/>
              <w:spacing w:after="0"/>
            </w:pPr>
            <w:r>
              <w:rPr>
                <w:rFonts w:ascii="Consolas" w:hAnsi="Consolas"/>
                <w:shd w:fill="EEF2F4"/>
              </w:rPr>
              <w:t>published_by</w:t>
            </w:r>
          </w:p>
        </w:tc>
        <w:tc>
          <w:tcPr>
            <w:shd w:fill="F5F8F8"/>
          </w:tcPr>
          <w:p>
            <w:pPr>
              <w:pStyle w:val="TableText"/>
              <w:spacing w:after="0"/>
            </w:pPr>
            <w:r>
              <w:rPr>
                <w:rFonts w:ascii="Consolas" w:hAnsi="Consolas"/>
                <w:shd w:fill="EEF2F4"/>
              </w:rPr>
              <w:t>uuid</w:t>
            </w:r>
            <w:r>
              <w:t>, nullable</w:t>
            </w:r>
          </w:p>
        </w:tc>
        <w:tc>
          <w:tcPr>
            <w:shd w:fill="F5F8F8"/>
          </w:tcPr>
          <w:p>
            <w:pPr>
              <w:pStyle w:val="TableText"/>
              <w:spacing w:after="0"/>
            </w:pPr>
            <w:r>
              <w:t>Professor ayant publié.</w:t>
            </w:r>
          </w:p>
        </w:tc>
      </w:tr>
      <w:tr>
        <w:tc>
          <w:tcPr>
            <w:shd w:fill="FFFFFF"/>
          </w:tcPr>
          <w:p>
            <w:pPr>
              <w:pStyle w:val="TableText"/>
              <w:spacing w:after="0"/>
            </w:pPr>
            <w:r>
              <w:rPr>
                <w:rFonts w:ascii="Consolas" w:hAnsi="Consolas"/>
                <w:shd w:fill="EEF2F4"/>
              </w:rPr>
              <w:t>published_at</w:t>
            </w:r>
          </w:p>
        </w:tc>
        <w:tc>
          <w:tcPr>
            <w:shd w:fill="FFFFFF"/>
          </w:tcPr>
          <w:p>
            <w:pPr>
              <w:pStyle w:val="TableText"/>
              <w:spacing w:after="0"/>
            </w:pPr>
            <w:r>
              <w:rPr>
                <w:rFonts w:ascii="Consolas" w:hAnsi="Consolas"/>
                <w:shd w:fill="EEF2F4"/>
              </w:rPr>
              <w:t>timestamptz</w:t>
            </w:r>
            <w:r>
              <w:t>, nullable</w:t>
            </w:r>
          </w:p>
        </w:tc>
        <w:tc>
          <w:tcPr>
            <w:shd w:fill="FFFFFF"/>
          </w:tcPr>
          <w:p>
            <w:pPr>
              <w:pStyle w:val="TableText"/>
              <w:spacing w:after="0"/>
            </w:pPr>
            <w:r>
              <w:t>Date de publication.</w:t>
            </w:r>
          </w:p>
        </w:tc>
      </w:tr>
      <w:tr>
        <w:tc>
          <w:tcPr>
            <w:shd w:fill="F5F8F8"/>
          </w:tcPr>
          <w:p>
            <w:pPr>
              <w:pStyle w:val="TableText"/>
              <w:spacing w:after="0"/>
            </w:pPr>
            <w:r>
              <w:rPr>
                <w:rFonts w:ascii="Consolas" w:hAnsi="Consolas"/>
                <w:shd w:fill="EEF2F4"/>
              </w:rPr>
              <w:t>checksum</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Empreinte déterministe du contenu publié.</w:t>
            </w:r>
          </w:p>
        </w:tc>
      </w:tr>
    </w:tbl>
    <w:p>
      <w:pPr>
        <w:spacing w:after="80"/>
      </w:pPr>
    </w:p>
    <w:p>
      <w:r>
        <w:t>Deux index uniques partiels imposent au maximum :</w:t>
      </w:r>
    </w:p>
    <w:p>
      <w:pPr>
        <w:pStyle w:val="ListBullet"/>
        <w:ind w:left="520" w:hanging="280"/>
        <w:spacing w:after="70"/>
      </w:pPr>
      <w:r>
        <w:rPr>
          <w:b/>
          <w:color w:val="0B6B70"/>
        </w:rPr>
        <w:t xml:space="preserve">• </w:t>
      </w:r>
      <w:r>
        <w:t xml:space="preserve">une seule version </w:t>
      </w:r>
      <w:r>
        <w:rPr>
          <w:rFonts w:ascii="Consolas" w:hAnsi="Consolas"/>
          <w:shd w:fill="EEF2F4"/>
        </w:rPr>
        <w:t>active</w:t>
      </w:r>
      <w:r>
        <w:t xml:space="preserve"> ;</w:t>
      </w:r>
    </w:p>
    <w:p>
      <w:pPr>
        <w:pStyle w:val="ListBullet"/>
        <w:ind w:left="520" w:hanging="280"/>
        <w:spacing w:after="70"/>
      </w:pPr>
      <w:r>
        <w:rPr>
          <w:b/>
          <w:color w:val="0B6B70"/>
        </w:rPr>
        <w:t xml:space="preserve">• </w:t>
      </w:r>
      <w:r>
        <w:t xml:space="preserve">une seule version </w:t>
      </w:r>
      <w:r>
        <w:rPr>
          <w:rFonts w:ascii="Consolas" w:hAnsi="Consolas"/>
          <w:shd w:fill="EEF2F4"/>
        </w:rPr>
        <w:t>draft</w:t>
      </w:r>
      <w:r>
        <w:t>.</w:t>
      </w:r>
    </w:p>
    <w:p>
      <w:r>
        <w:t xml:space="preserve">Une version </w:t>
      </w:r>
      <w:r>
        <w:rPr>
          <w:rFonts w:ascii="Consolas" w:hAnsi="Consolas"/>
          <w:shd w:fill="EEF2F4"/>
        </w:rPr>
        <w:t>draft</w:t>
      </w:r>
      <w:r>
        <w:t xml:space="preserve"> ne possède ni date de publication ni checksum. Une version </w:t>
      </w:r>
      <w:r>
        <w:rPr>
          <w:rFonts w:ascii="Consolas" w:hAnsi="Consolas"/>
          <w:shd w:fill="EEF2F4"/>
        </w:rPr>
        <w:t>active</w:t>
      </w:r>
      <w:r>
        <w:t xml:space="preserve"> ou </w:t>
      </w:r>
      <w:r>
        <w:rPr>
          <w:rFonts w:ascii="Consolas" w:hAnsi="Consolas"/>
          <w:shd w:fill="EEF2F4"/>
        </w:rPr>
        <w:t>archived</w:t>
      </w:r>
      <w:r>
        <w:t xml:space="preserve"> possède sa date de publication et son empreinte. Les versions publiées ne sont pas éditées : une nouvelle modification passe toujours par un autre brouillon.</w:t>
      </w:r>
    </w:p>
    <w:p>
      <w:pPr>
        <w:pStyle w:val="Heading2"/>
      </w:pPr>
      <w:r>
        <w:t xml:space="preserve">5.5 </w:t>
      </w:r>
      <w:r>
        <w:rPr>
          <w:rFonts w:ascii="Consolas" w:hAnsi="Consolas"/>
          <w:shd w:fill="EEF2F4"/>
        </w:rPr>
        <w:t>private.specialty_catalog_entries</w:t>
      </w:r>
    </w:p>
    <w:p>
      <w:r>
        <w:t>Contenu complet des spécialités pour une version donnée.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version_id</w:t>
            </w:r>
          </w:p>
        </w:tc>
        <w:tc>
          <w:tcPr>
            <w:shd w:fill="FFFFFF"/>
          </w:tcPr>
          <w:p>
            <w:pPr>
              <w:pStyle w:val="TableText"/>
              <w:spacing w:after="0"/>
            </w:pPr>
            <w:r>
              <w:rPr>
                <w:rFonts w:ascii="Consolas" w:hAnsi="Consolas"/>
                <w:shd w:fill="EEF2F4"/>
              </w:rPr>
              <w:t>uuid</w:t>
            </w:r>
            <w:r>
              <w:t>, FK</w:t>
            </w:r>
          </w:p>
        </w:tc>
        <w:tc>
          <w:tcPr>
            <w:shd w:fill="FFFFFF"/>
          </w:tcPr>
          <w:p>
            <w:pPr>
              <w:pStyle w:val="TableText"/>
              <w:spacing w:after="0"/>
            </w:pPr>
            <w:r>
              <w:t>Version propriétaire de l’entrée.</w:t>
            </w:r>
          </w:p>
        </w:tc>
      </w:tr>
      <w:tr>
        <w:tc>
          <w:tcPr>
            <w:shd w:fill="F5F8F8"/>
          </w:tcPr>
          <w:p>
            <w:pPr>
              <w:pStyle w:val="TableText"/>
              <w:spacing w:after="0"/>
            </w:pPr>
            <w:r>
              <w:rPr>
                <w:rFonts w:ascii="Consolas" w:hAnsi="Consolas"/>
                <w:shd w:fill="EEF2F4"/>
              </w:rPr>
              <w:t>name</w:t>
            </w:r>
          </w:p>
        </w:tc>
        <w:tc>
          <w:tcPr>
            <w:shd w:fill="F5F8F8"/>
          </w:tcPr>
          <w:p>
            <w:pPr>
              <w:pStyle w:val="TableText"/>
              <w:spacing w:after="0"/>
            </w:pPr>
            <w:r>
              <w:rPr>
                <w:rFonts w:ascii="Consolas" w:hAnsi="Consolas"/>
                <w:shd w:fill="EEF2F4"/>
              </w:rPr>
              <w:t>text</w:t>
            </w:r>
          </w:p>
        </w:tc>
        <w:tc>
          <w:tcPr>
            <w:shd w:fill="F5F8F8"/>
          </w:tcPr>
          <w:p>
            <w:pPr>
              <w:pStyle w:val="TableText"/>
              <w:spacing w:after="0"/>
            </w:pPr>
            <w:r>
              <w:t>Nom canonique de la spécialité.</w:t>
            </w:r>
          </w:p>
        </w:tc>
      </w:tr>
      <w:tr>
        <w:tc>
          <w:tcPr>
            <w:shd w:fill="FFFFFF"/>
          </w:tcPr>
          <w:p>
            <w:pPr>
              <w:pStyle w:val="TableText"/>
              <w:spacing w:after="0"/>
            </w:pPr>
            <w:r>
              <w:rPr>
                <w:rFonts w:ascii="Consolas" w:hAnsi="Consolas"/>
                <w:shd w:fill="EEF2F4"/>
              </w:rPr>
              <w:t>category</w:t>
            </w:r>
          </w:p>
        </w:tc>
        <w:tc>
          <w:tcPr>
            <w:shd w:fill="FFFFFF"/>
          </w:tcPr>
          <w:p>
            <w:pPr>
              <w:pStyle w:val="TableText"/>
              <w:spacing w:after="0"/>
            </w:pPr>
            <w:r>
              <w:rPr>
                <w:rFonts w:ascii="Consolas" w:hAnsi="Consolas"/>
                <w:shd w:fill="EEF2F4"/>
              </w:rPr>
              <w:t>text</w:t>
            </w:r>
          </w:p>
        </w:tc>
        <w:tc>
          <w:tcPr>
            <w:shd w:fill="FFFFFF"/>
          </w:tcPr>
          <w:p>
            <w:pPr>
              <w:pStyle w:val="TableText"/>
              <w:spacing w:after="0"/>
            </w:pPr>
            <w:r>
              <w:t>Catégorie médicale contrôlée.</w:t>
            </w:r>
          </w:p>
        </w:tc>
      </w:tr>
      <w:tr>
        <w:tc>
          <w:tcPr>
            <w:shd w:fill="F5F8F8"/>
          </w:tcPr>
          <w:p>
            <w:pPr>
              <w:pStyle w:val="TableText"/>
              <w:spacing w:after="0"/>
            </w:pPr>
            <w:r>
              <w:rPr>
                <w:rFonts w:ascii="Consolas" w:hAnsi="Consolas"/>
                <w:shd w:fill="EEF2F4"/>
              </w:rPr>
              <w:t>descriptions</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Textes courts </w:t>
            </w:r>
            <w:r>
              <w:rPr>
                <w:rFonts w:ascii="Consolas" w:hAnsi="Consolas"/>
                <w:shd w:fill="EEF2F4"/>
              </w:rPr>
              <w:t>{en, fr, ro}</w:t>
            </w:r>
            <w:r>
              <w:t>.</w:t>
            </w:r>
          </w:p>
        </w:tc>
      </w:tr>
      <w:tr>
        <w:tc>
          <w:tcPr>
            <w:shd w:fill="FFFFFF"/>
          </w:tcPr>
          <w:p>
            <w:pPr>
              <w:pStyle w:val="TableText"/>
              <w:spacing w:after="0"/>
            </w:pPr>
            <w:r>
              <w:rPr>
                <w:rFonts w:ascii="Consolas" w:hAnsi="Consolas"/>
                <w:shd w:fill="EEF2F4"/>
              </w:rPr>
              <w:t>clinical_summaries</w:t>
            </w:r>
          </w:p>
        </w:tc>
        <w:tc>
          <w:tcPr>
            <w:shd w:fill="FFFFFF"/>
          </w:tcPr>
          <w:p>
            <w:pPr>
              <w:pStyle w:val="TableText"/>
              <w:spacing w:after="0"/>
            </w:pPr>
            <w:r>
              <w:rPr>
                <w:rFonts w:ascii="Consolas" w:hAnsi="Consolas"/>
                <w:shd w:fill="EEF2F4"/>
              </w:rPr>
              <w:t>jsonb</w:t>
            </w:r>
          </w:p>
        </w:tc>
        <w:tc>
          <w:tcPr>
            <w:shd w:fill="FFFFFF"/>
          </w:tcPr>
          <w:p>
            <w:pPr>
              <w:pStyle w:val="TableText"/>
              <w:spacing w:after="0"/>
            </w:pPr>
            <w:r>
              <w:t xml:space="preserve">Résumés cliniques </w:t>
            </w:r>
            <w:r>
              <w:rPr>
                <w:rFonts w:ascii="Consolas" w:hAnsi="Consolas"/>
                <w:shd w:fill="EEF2F4"/>
              </w:rPr>
              <w:t>{en, fr, ro}</w:t>
            </w:r>
            <w:r>
              <w:t>.</w:t>
            </w:r>
          </w:p>
        </w:tc>
      </w:tr>
      <w:tr>
        <w:tc>
          <w:tcPr>
            <w:shd w:fill="F5F8F8"/>
          </w:tcPr>
          <w:p>
            <w:pPr>
              <w:pStyle w:val="TableText"/>
              <w:spacing w:after="0"/>
            </w:pPr>
            <w:r>
              <w:rPr>
                <w:rFonts w:ascii="Consolas" w:hAnsi="Consolas"/>
                <w:shd w:fill="EEF2F4"/>
              </w:rPr>
              <w:t>profile</w:t>
            </w:r>
          </w:p>
        </w:tc>
        <w:tc>
          <w:tcPr>
            <w:shd w:fill="F5F8F8"/>
          </w:tcPr>
          <w:p>
            <w:pPr>
              <w:pStyle w:val="TableText"/>
              <w:spacing w:after="0"/>
            </w:pPr>
            <w:r>
              <w:rPr>
                <w:rFonts w:ascii="Consolas" w:hAnsi="Consolas"/>
                <w:shd w:fill="EEF2F4"/>
              </w:rPr>
              <w:t>jsonb</w:t>
            </w:r>
          </w:p>
        </w:tc>
        <w:tc>
          <w:tcPr>
            <w:shd w:fill="F5F8F8"/>
          </w:tcPr>
          <w:p>
            <w:pPr>
              <w:pStyle w:val="TableText"/>
              <w:spacing w:after="0"/>
            </w:pPr>
            <w:r>
              <w:t xml:space="preserve">Dictionnaire </w:t>
            </w:r>
            <w:r>
              <w:rPr>
                <w:rFonts w:ascii="Consolas" w:hAnsi="Consolas"/>
                <w:shd w:fill="EEF2F4"/>
              </w:rPr>
              <w:t>trait: [cible, importance]</w:t>
            </w:r>
            <w:r>
              <w:t>.</w:t>
            </w:r>
          </w:p>
        </w:tc>
      </w:tr>
      <w:tr>
        <w:tc>
          <w:tcPr>
            <w:shd w:fill="FFFFFF"/>
          </w:tcPr>
          <w:p>
            <w:pPr>
              <w:pStyle w:val="TableText"/>
              <w:spacing w:after="0"/>
            </w:pPr>
            <w:r>
              <w:rPr>
                <w:rFonts w:ascii="Consolas" w:hAnsi="Consolas"/>
                <w:shd w:fill="EEF2F4"/>
              </w:rPr>
              <w:t>updated_by</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Dernier éditeur.</w:t>
            </w:r>
          </w:p>
        </w:tc>
      </w:tr>
      <w:tr>
        <w:tc>
          <w:tcPr>
            <w:shd w:fill="F5F8F8"/>
          </w:tcPr>
          <w:p>
            <w:pPr>
              <w:pStyle w:val="TableText"/>
              <w:spacing w:after="0"/>
            </w:pPr>
            <w:r>
              <w:rPr>
                <w:rFonts w:ascii="Consolas" w:hAnsi="Consolas"/>
                <w:shd w:fill="EEF2F4"/>
              </w:rPr>
              <w:t>updated_at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dernière modification.</w:t>
            </w:r>
          </w:p>
        </w:tc>
      </w:tr>
    </w:tbl>
    <w:p>
      <w:pPr>
        <w:spacing w:after="80"/>
      </w:pPr>
    </w:p>
    <w:p>
      <w:r>
        <w:t xml:space="preserve">Clé primaire : </w:t>
      </w:r>
      <w:r>
        <w:rPr>
          <w:rFonts w:ascii="Consolas" w:hAnsi="Consolas"/>
          <w:shd w:fill="EEF2F4"/>
        </w:rPr>
        <w:t>(version_id, name)</w:t>
      </w:r>
      <w:r>
        <w:t>.</w:t>
      </w:r>
    </w:p>
    <w:p>
      <w:r>
        <w:t>Règles principales :</w:t>
      </w:r>
    </w:p>
    <w:p>
      <w:pPr>
        <w:pStyle w:val="ListBullet"/>
        <w:ind w:left="520" w:hanging="280"/>
        <w:spacing w:after="70"/>
      </w:pPr>
      <w:r>
        <w:rPr>
          <w:b/>
          <w:color w:val="0B6B70"/>
        </w:rPr>
        <w:t xml:space="preserve">• </w:t>
      </w:r>
      <w:r>
        <w:t xml:space="preserve">les trois langues </w:t>
      </w:r>
      <w:r>
        <w:rPr>
          <w:rFonts w:ascii="Consolas" w:hAnsi="Consolas"/>
          <w:shd w:fill="EEF2F4"/>
        </w:rPr>
        <w:t>en</w:t>
      </w:r>
      <w:r>
        <w:t xml:space="preserve">, </w:t>
      </w:r>
      <w:r>
        <w:rPr>
          <w:rFonts w:ascii="Consolas" w:hAnsi="Consolas"/>
          <w:shd w:fill="EEF2F4"/>
        </w:rPr>
        <w:t>fr</w:t>
      </w:r>
      <w:r>
        <w:t xml:space="preserve"> et </w:t>
      </w:r>
      <w:r>
        <w:rPr>
          <w:rFonts w:ascii="Consolas" w:hAnsi="Consolas"/>
          <w:shd w:fill="EEF2F4"/>
        </w:rPr>
        <w:t>ro</w:t>
      </w:r>
      <w:r>
        <w:t xml:space="preserve"> sont obligatoires ;</w:t>
      </w:r>
    </w:p>
    <w:p>
      <w:pPr>
        <w:pStyle w:val="ListBullet"/>
        <w:ind w:left="520" w:hanging="280"/>
        <w:spacing w:after="70"/>
      </w:pPr>
      <w:r>
        <w:rPr>
          <w:b/>
          <w:color w:val="0B6B70"/>
        </w:rPr>
        <w:t xml:space="preserve">• </w:t>
      </w:r>
      <w:r>
        <w:t>une description contient de 1 à 2 000 caractères par langue ;</w:t>
      </w:r>
    </w:p>
    <w:p>
      <w:pPr>
        <w:pStyle w:val="ListBullet"/>
        <w:ind w:left="520" w:hanging="280"/>
        <w:spacing w:after="70"/>
      </w:pPr>
      <w:r>
        <w:rPr>
          <w:b/>
          <w:color w:val="0B6B70"/>
        </w:rPr>
        <w:t xml:space="preserve">• </w:t>
      </w:r>
      <w:r>
        <w:t>un résumé clinique contient de 20 à 5 000 caractères par langue ;</w:t>
      </w:r>
    </w:p>
    <w:p>
      <w:pPr>
        <w:pStyle w:val="ListBullet"/>
        <w:ind w:left="520" w:hanging="280"/>
        <w:spacing w:after="70"/>
      </w:pPr>
      <w:r>
        <w:rPr>
          <w:b/>
          <w:color w:val="0B6B70"/>
        </w:rPr>
        <w:t xml:space="preserve">• </w:t>
      </w:r>
      <w:r>
        <w:t>une cible est un entier compris entre 0 et 100 ;</w:t>
      </w:r>
    </w:p>
    <w:p>
      <w:pPr>
        <w:pStyle w:val="ListBullet"/>
        <w:ind w:left="520" w:hanging="280"/>
        <w:spacing w:after="70"/>
      </w:pPr>
      <w:r>
        <w:rPr>
          <w:b/>
          <w:color w:val="0B6B70"/>
        </w:rPr>
        <w:t xml:space="preserve">• </w:t>
      </w:r>
      <w:r>
        <w:t>l’importance est bornée par la base et l’interface standard expose l’échelle 1 à 3 ;</w:t>
      </w:r>
    </w:p>
    <w:p>
      <w:pPr>
        <w:pStyle w:val="ListBullet"/>
        <w:ind w:left="520" w:hanging="280"/>
        <w:spacing w:after="70"/>
      </w:pPr>
      <w:r>
        <w:rPr>
          <w:b/>
          <w:color w:val="0B6B70"/>
        </w:rPr>
        <w:t xml:space="preserve">• </w:t>
      </w:r>
      <w:r>
        <w:t>les noms et catégories ne peuvent pas être changés par l’éditeur ;</w:t>
      </w:r>
    </w:p>
    <w:p>
      <w:pPr>
        <w:pStyle w:val="ListBullet"/>
        <w:ind w:left="520" w:hanging="280"/>
        <w:spacing w:after="70"/>
      </w:pPr>
      <w:r>
        <w:rPr>
          <w:b/>
          <w:color w:val="0B6B70"/>
        </w:rPr>
        <w:t xml:space="preserve">• </w:t>
      </w:r>
      <w:r>
        <w:t>une entrée d’une version publiée ne peut pas être modifiée ou supprimée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être modifié tant qu’il reste non mesuré.</w:t>
      </w:r>
    </w:p>
    <w:p>
      <w:pPr>
        <w:pStyle w:val="Heading3"/>
      </w:pPr>
      <w:r>
        <w:t>Révision d'intégrité du schéma 2</w:t>
      </w:r>
    </w:p>
    <w:p>
      <w:r>
        <w:t xml:space="preserve">La migration du 4 septembre 2026 ne modifie pas en place l'instantané actif. Elle en crée une copie, complète uniquement des clés absentes puis publie la copie comme une nouvelle révision immuable. L'ancien actif devient </w:t>
      </w:r>
      <w:r>
        <w:rPr>
          <w:rFonts w:ascii="Consolas" w:hAnsi="Consolas"/>
          <w:shd w:fill="EEF2F4"/>
        </w:rPr>
        <w:t>archived</w:t>
      </w:r>
      <w:r>
        <w:t xml:space="preserve">, un nouveau checksum est calculé et l'opération est inscrite dans </w:t>
      </w:r>
      <w:r>
        <w:rPr>
          <w:rFonts w:ascii="Consolas" w:hAnsi="Consolas"/>
          <w:shd w:fill="EEF2F4"/>
        </w:rPr>
        <w:t>private.specialty_catalog_audit</w:t>
      </w:r>
      <w:r>
        <w:t xml:space="preserve"> avec l'acteur </w:t>
      </w:r>
      <w:r>
        <w:rPr>
          <w:rFonts w:ascii="Consolas" w:hAnsi="Consolas"/>
          <w:shd w:fill="EEF2F4"/>
        </w:rPr>
        <w:t>system</w:t>
      </w:r>
      <w:r>
        <w:t>.</w:t>
      </w:r>
    </w:p>
    <w:p>
      <w:r>
        <w:t xml:space="preserve">Cette réparation aligne les profils avec les traits clés déjà annoncés dans les métadonnées des spécialités, par exemple </w:t>
      </w:r>
      <w:r>
        <w:rPr>
          <w:rFonts w:ascii="Consolas" w:hAnsi="Consolas"/>
          <w:shd w:fill="EEF2F4"/>
        </w:rPr>
        <w:t>communication</w:t>
      </w:r>
      <w:r>
        <w:t xml:space="preserve">, </w:t>
      </w:r>
      <w:r>
        <w:rPr>
          <w:rFonts w:ascii="Consolas" w:hAnsi="Consolas"/>
          <w:shd w:fill="EEF2F4"/>
        </w:rPr>
        <w:t>precision</w:t>
      </w:r>
      <w:r>
        <w:t xml:space="preserve">, </w:t>
      </w:r>
      <w:r>
        <w:rPr>
          <w:rFonts w:ascii="Consolas" w:hAnsi="Consolas"/>
          <w:shd w:fill="EEF2F4"/>
        </w:rPr>
        <w:t>detail_orientation</w:t>
      </w:r>
      <w:r>
        <w:t xml:space="preserve">, </w:t>
      </w:r>
      <w:r>
        <w:rPr>
          <w:rFonts w:ascii="Consolas" w:hAnsi="Consolas"/>
          <w:shd w:fill="EEF2F4"/>
        </w:rPr>
        <w:t>long_term_orientation</w:t>
      </w:r>
      <w:r>
        <w:t xml:space="preserve">, </w:t>
      </w:r>
      <w:r>
        <w:rPr>
          <w:rFonts w:ascii="Consolas" w:hAnsi="Consolas"/>
          <w:shd w:fill="EEF2F4"/>
        </w:rPr>
        <w:t>cognitive_empathy</w:t>
      </w:r>
      <w:r>
        <w:t xml:space="preserve">, </w:t>
      </w:r>
      <w:r>
        <w:rPr>
          <w:rFonts w:ascii="Consolas" w:hAnsi="Consolas"/>
          <w:shd w:fill="EEF2F4"/>
        </w:rPr>
        <w:t>care_coordination</w:t>
      </w:r>
      <w:r>
        <w:t xml:space="preserve">, </w:t>
      </w:r>
      <w:r>
        <w:rPr>
          <w:rFonts w:ascii="Consolas" w:hAnsi="Consolas"/>
          <w:shd w:fill="EEF2F4"/>
        </w:rPr>
        <w:t>teamwork</w:t>
      </w:r>
      <w:r>
        <w:t xml:space="preserve">, </w:t>
      </w:r>
      <w:r>
        <w:rPr>
          <w:rFonts w:ascii="Consolas" w:hAnsi="Consolas"/>
          <w:shd w:fill="EEF2F4"/>
        </w:rPr>
        <w:t>patience</w:t>
      </w:r>
      <w:r>
        <w:t xml:space="preserve">, </w:t>
      </w:r>
      <w:r>
        <w:rPr>
          <w:rFonts w:ascii="Consolas" w:hAnsi="Consolas"/>
          <w:shd w:fill="EEF2F4"/>
        </w:rPr>
        <w:t>technology_interest</w:t>
      </w:r>
      <w:r>
        <w:t xml:space="preserve">, </w:t>
      </w:r>
      <w:r>
        <w:rPr>
          <w:rFonts w:ascii="Consolas" w:hAnsi="Consolas"/>
          <w:shd w:fill="EEF2F4"/>
        </w:rPr>
        <w:t>social_energy</w:t>
      </w:r>
      <w:r>
        <w:t xml:space="preserve">, </w:t>
      </w:r>
      <w:r>
        <w:rPr>
          <w:rFonts w:ascii="Consolas" w:hAnsi="Consolas"/>
          <w:shd w:fill="EEF2F4"/>
        </w:rPr>
        <w:t>independence</w:t>
      </w:r>
      <w:r>
        <w:t xml:space="preserve"> et </w:t>
      </w:r>
      <w:r>
        <w:rPr>
          <w:rFonts w:ascii="Consolas" w:hAnsi="Consolas"/>
          <w:shd w:fill="EEF2F4"/>
        </w:rPr>
        <w:t>lifestyle_priority</w:t>
      </w:r>
      <w:r>
        <w:t xml:space="preserve">. Une cible existante gagne toujours sur la valeur proposée par la migration : seules les omissions sont comblées. Un éventuel brouillon en cours reçoit la même réparation additive, son </w:t>
      </w:r>
      <w:r>
        <w:rPr>
          <w:rFonts w:ascii="Consolas" w:hAnsi="Consolas"/>
          <w:shd w:fill="EEF2F4"/>
        </w:rPr>
        <w:t>lock_version</w:t>
      </w:r>
      <w:r>
        <w:t xml:space="preserve"> est incrémenté et chaque changement est audité.</w:t>
      </w:r>
    </w:p>
    <w:p>
      <w:r>
        <w:rPr>
          <w:rFonts w:ascii="Consolas" w:hAnsi="Consolas"/>
          <w:shd w:fill="EEF2F4"/>
        </w:rPr>
        <w:t>prevention_orientation</w:t>
      </w:r>
      <w:r>
        <w:t xml:space="preserve"> est explicitement exclu de cette opération. Sa présence dans une description ou parmi des traits clés ne transforme pas ce concept en mesure : </w:t>
      </w:r>
      <w:r>
        <w:rPr>
          <w:rFonts w:ascii="Consolas" w:hAnsi="Consolas"/>
          <w:shd w:fill="EEF2F4"/>
        </w:rPr>
        <w:t>q81-v1</w:t>
      </w:r>
      <w:r>
        <w:t xml:space="preserve"> ne produit toujours aucune valeur comparable pour ce trait.</w:t>
      </w:r>
    </w:p>
    <w:p>
      <w:pPr>
        <w:pStyle w:val="Heading2"/>
      </w:pPr>
      <w:r>
        <w:t xml:space="preserve">5.6 </w:t>
      </w:r>
      <w:r>
        <w:rPr>
          <w:rFonts w:ascii="Consolas" w:hAnsi="Consolas"/>
          <w:shd w:fill="EEF2F4"/>
        </w:rPr>
        <w:t>private.specialty_catalog_audit</w:t>
      </w:r>
    </w:p>
    <w:p>
      <w:r>
        <w:t>Journal append-only de chaque action significative.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Colonne</w:t>
            </w:r>
          </w:p>
        </w:tc>
        <w:tc>
          <w:tcPr>
            <w:shd w:fill="0B6B70"/>
          </w:tcPr>
          <w:p>
            <w:pPr>
              <w:pStyle w:val="TableHeader"/>
              <w:spacing w:after="0"/>
            </w:pPr>
            <w:r>
              <w:rPr>
                <w:b/>
                <w:color w:val="FFFFFF"/>
                <w:sz w:val="18"/>
                <w:szCs w:val="18"/>
              </w:rPr>
              <w:t>Type</w:t>
            </w:r>
          </w:p>
        </w:tc>
        <w:tc>
          <w:tcPr>
            <w:shd w:fill="0B6B70"/>
          </w:tcPr>
          <w:p>
            <w:pPr>
              <w:pStyle w:val="TableHeader"/>
              <w:spacing w:after="0"/>
            </w:pPr>
            <w:r>
              <w:rPr>
                <w:b/>
                <w:color w:val="FFFFFF"/>
                <w:sz w:val="18"/>
                <w:szCs w:val="18"/>
              </w:rPr>
              <w:t>Rôle</w:t>
            </w:r>
          </w:p>
        </w:tc>
      </w:tr>
      <w:tr>
        <w:tc>
          <w:tcPr>
            <w:shd w:fill="FFFFFF"/>
          </w:tcPr>
          <w:p>
            <w:pPr>
              <w:pStyle w:val="TableText"/>
              <w:spacing w:after="0"/>
            </w:pPr>
            <w:r>
              <w:rPr>
                <w:rFonts w:ascii="Consolas" w:hAnsi="Consolas"/>
                <w:shd w:fill="EEF2F4"/>
              </w:rPr>
              <w:t>id</w:t>
            </w:r>
          </w:p>
        </w:tc>
        <w:tc>
          <w:tcPr>
            <w:shd w:fill="FFFFFF"/>
          </w:tcPr>
          <w:p>
            <w:pPr>
              <w:pStyle w:val="TableText"/>
              <w:spacing w:after="0"/>
            </w:pPr>
            <w:r>
              <w:rPr>
                <w:rFonts w:ascii="Consolas" w:hAnsi="Consolas"/>
                <w:shd w:fill="EEF2F4"/>
              </w:rPr>
              <w:t>bigint identity</w:t>
            </w:r>
            <w:r>
              <w:t xml:space="preserve"> PK</w:t>
            </w:r>
          </w:p>
        </w:tc>
        <w:tc>
          <w:tcPr>
            <w:shd w:fill="FFFFFF"/>
          </w:tcPr>
          <w:p>
            <w:pPr>
              <w:pStyle w:val="TableText"/>
              <w:spacing w:after="0"/>
            </w:pPr>
            <w:r>
              <w:t>Numéro d’événement.</w:t>
            </w:r>
          </w:p>
        </w:tc>
      </w:tr>
      <w:tr>
        <w:tc>
          <w:tcPr>
            <w:shd w:fill="F5F8F8"/>
          </w:tcPr>
          <w:p>
            <w:pPr>
              <w:pStyle w:val="TableText"/>
              <w:spacing w:after="0"/>
            </w:pPr>
            <w:r>
              <w:rPr>
                <w:rFonts w:ascii="Consolas" w:hAnsi="Consolas"/>
                <w:shd w:fill="EEF2F4"/>
              </w:rPr>
              <w:t>occurred_at</w:t>
            </w:r>
          </w:p>
        </w:tc>
        <w:tc>
          <w:tcPr>
            <w:shd w:fill="F5F8F8"/>
          </w:tcPr>
          <w:p>
            <w:pPr>
              <w:pStyle w:val="TableText"/>
              <w:spacing w:after="0"/>
            </w:pPr>
            <w:r>
              <w:rPr>
                <w:rFonts w:ascii="Consolas" w:hAnsi="Consolas"/>
                <w:shd w:fill="EEF2F4"/>
              </w:rPr>
              <w:t>timestamptz</w:t>
            </w:r>
          </w:p>
        </w:tc>
        <w:tc>
          <w:tcPr>
            <w:shd w:fill="F5F8F8"/>
          </w:tcPr>
          <w:p>
            <w:pPr>
              <w:pStyle w:val="TableText"/>
              <w:spacing w:after="0"/>
            </w:pPr>
            <w:r>
              <w:t>Date de l’action.</w:t>
            </w:r>
          </w:p>
        </w:tc>
      </w:tr>
      <w:tr>
        <w:tc>
          <w:tcPr>
            <w:shd w:fill="FFFFFF"/>
          </w:tcPr>
          <w:p>
            <w:pPr>
              <w:pStyle w:val="TableText"/>
              <w:spacing w:after="0"/>
            </w:pPr>
            <w:r>
              <w:rPr>
                <w:rFonts w:ascii="Consolas" w:hAnsi="Consolas"/>
                <w:shd w:fill="EEF2F4"/>
              </w:rPr>
              <w:t>actor_user_id</w:t>
            </w:r>
          </w:p>
        </w:tc>
        <w:tc>
          <w:tcPr>
            <w:shd w:fill="FFFFFF"/>
          </w:tcPr>
          <w:p>
            <w:pPr>
              <w:pStyle w:val="TableText"/>
              <w:spacing w:after="0"/>
            </w:pPr>
            <w:r>
              <w:rPr>
                <w:rFonts w:ascii="Consolas" w:hAnsi="Consolas"/>
                <w:shd w:fill="EEF2F4"/>
              </w:rPr>
              <w:t>uuid</w:t>
            </w:r>
            <w:r>
              <w:t>, nullable</w:t>
            </w:r>
          </w:p>
        </w:tc>
        <w:tc>
          <w:tcPr>
            <w:shd w:fill="FFFFFF"/>
          </w:tcPr>
          <w:p>
            <w:pPr>
              <w:pStyle w:val="TableText"/>
              <w:spacing w:after="0"/>
            </w:pPr>
            <w:r>
              <w:t>Compte ayant effectué l’action.</w:t>
            </w:r>
          </w:p>
        </w:tc>
      </w:tr>
      <w:tr>
        <w:tc>
          <w:tcPr>
            <w:shd w:fill="F5F8F8"/>
          </w:tcPr>
          <w:p>
            <w:pPr>
              <w:pStyle w:val="TableText"/>
              <w:spacing w:after="0"/>
            </w:pPr>
            <w:r>
              <w:rPr>
                <w:rFonts w:ascii="Consolas" w:hAnsi="Consolas"/>
                <w:shd w:fill="EEF2F4"/>
              </w:rPr>
              <w:t>actor_role</w:t>
            </w:r>
          </w:p>
        </w:tc>
        <w:tc>
          <w:tcPr>
            <w:shd w:fill="F5F8F8"/>
          </w:tcPr>
          <w:p>
            <w:pPr>
              <w:pStyle w:val="TableText"/>
              <w:spacing w:after="0"/>
            </w:pPr>
            <w:r>
              <w:rPr>
                <w:rFonts w:ascii="Consolas" w:hAnsi="Consolas"/>
                <w:shd w:fill="EEF2F4"/>
              </w:rPr>
              <w:t>text</w:t>
            </w:r>
          </w:p>
        </w:tc>
        <w:tc>
          <w:tcPr>
            <w:shd w:fill="F5F8F8"/>
          </w:tcPr>
          <w:p>
            <w:pPr>
              <w:pStyle w:val="TableText"/>
              <w:spacing w:after="0"/>
            </w:pPr>
            <w:r>
              <w:t xml:space="preserve">Rôle au moment de l’action ou </w:t>
            </w:r>
            <w:r>
              <w:rPr>
                <w:rFonts w:ascii="Consolas" w:hAnsi="Consolas"/>
                <w:shd w:fill="EEF2F4"/>
              </w:rPr>
              <w:t>system</w:t>
            </w:r>
            <w:r>
              <w:t>.</w:t>
            </w:r>
          </w:p>
        </w:tc>
      </w:tr>
      <w:tr>
        <w:tc>
          <w:tcPr>
            <w:shd w:fill="FFFFFF"/>
          </w:tcPr>
          <w:p>
            <w:pPr>
              <w:pStyle w:val="TableText"/>
              <w:spacing w:after="0"/>
            </w:pPr>
            <w:r>
              <w:rPr>
                <w:rFonts w:ascii="Consolas" w:hAnsi="Consolas"/>
                <w:shd w:fill="EEF2F4"/>
              </w:rPr>
              <w:t>action</w:t>
            </w:r>
          </w:p>
        </w:tc>
        <w:tc>
          <w:tcPr>
            <w:shd w:fill="FFFFFF"/>
          </w:tcPr>
          <w:p>
            <w:pPr>
              <w:pStyle w:val="TableText"/>
              <w:spacing w:after="0"/>
            </w:pPr>
            <w:r>
              <w:rPr>
                <w:rFonts w:ascii="Consolas" w:hAnsi="Consolas"/>
                <w:shd w:fill="EEF2F4"/>
              </w:rPr>
              <w:t>text</w:t>
            </w:r>
          </w:p>
        </w:tc>
        <w:tc>
          <w:tcPr>
            <w:shd w:fill="FFFFFF"/>
          </w:tcPr>
          <w:p>
            <w:pPr>
              <w:pStyle w:val="TableText"/>
              <w:spacing w:after="0"/>
            </w:pPr>
            <w:r>
              <w:rPr>
                <w:rFonts w:ascii="Consolas" w:hAnsi="Consolas"/>
                <w:shd w:fill="EEF2F4"/>
              </w:rPr>
              <w:t>seeded</w:t>
            </w:r>
            <w:r>
              <w:t xml:space="preserve">, </w:t>
            </w:r>
            <w:r>
              <w:rPr>
                <w:rFonts w:ascii="Consolas" w:hAnsi="Consolas"/>
                <w:shd w:fill="EEF2F4"/>
              </w:rPr>
              <w:t>draft_created</w:t>
            </w:r>
            <w:r>
              <w:t xml:space="preserve">, </w:t>
            </w:r>
            <w:r>
              <w:rPr>
                <w:rFonts w:ascii="Consolas" w:hAnsi="Consolas"/>
                <w:shd w:fill="EEF2F4"/>
              </w:rPr>
              <w:t>entry_updated</w:t>
            </w:r>
            <w:r>
              <w:t xml:space="preserve">, </w:t>
            </w:r>
            <w:r>
              <w:rPr>
                <w:rFonts w:ascii="Consolas" w:hAnsi="Consolas"/>
                <w:shd w:fill="EEF2F4"/>
              </w:rPr>
              <w:t>published</w:t>
            </w:r>
            <w:r>
              <w:t xml:space="preserve"> ou </w:t>
            </w:r>
            <w:r>
              <w:rPr>
                <w:rFonts w:ascii="Consolas" w:hAnsi="Consolas"/>
                <w:shd w:fill="EEF2F4"/>
              </w:rPr>
              <w:t>restore_requested</w:t>
            </w:r>
            <w:r>
              <w:t>.</w:t>
            </w:r>
          </w:p>
        </w:tc>
      </w:tr>
      <w:tr>
        <w:tc>
          <w:tcPr>
            <w:shd w:fill="F5F8F8"/>
          </w:tcPr>
          <w:p>
            <w:pPr>
              <w:pStyle w:val="TableText"/>
              <w:spacing w:after="0"/>
            </w:pPr>
            <w:r>
              <w:rPr>
                <w:rFonts w:ascii="Consolas" w:hAnsi="Consolas"/>
                <w:shd w:fill="EEF2F4"/>
              </w:rPr>
              <w:t>version_id</w:t>
            </w:r>
          </w:p>
        </w:tc>
        <w:tc>
          <w:tcPr>
            <w:shd w:fill="F5F8F8"/>
          </w:tcPr>
          <w:p>
            <w:pPr>
              <w:pStyle w:val="TableText"/>
              <w:spacing w:after="0"/>
            </w:pPr>
            <w:r>
              <w:rPr>
                <w:rFonts w:ascii="Consolas" w:hAnsi="Consolas"/>
                <w:shd w:fill="EEF2F4"/>
              </w:rPr>
              <w:t>uuid</w:t>
            </w:r>
            <w:r>
              <w:t>, FK</w:t>
            </w:r>
          </w:p>
        </w:tc>
        <w:tc>
          <w:tcPr>
            <w:shd w:fill="F5F8F8"/>
          </w:tcPr>
          <w:p>
            <w:pPr>
              <w:pStyle w:val="TableText"/>
              <w:spacing w:after="0"/>
            </w:pPr>
            <w:r>
              <w:t>Version concernée.</w:t>
            </w:r>
          </w:p>
        </w:tc>
      </w:tr>
      <w:tr>
        <w:tc>
          <w:tcPr>
            <w:shd w:fill="FFFFFF"/>
          </w:tcPr>
          <w:p>
            <w:pPr>
              <w:pStyle w:val="TableText"/>
              <w:spacing w:after="0"/>
            </w:pPr>
            <w:r>
              <w:rPr>
                <w:rFonts w:ascii="Consolas" w:hAnsi="Consolas"/>
                <w:shd w:fill="EEF2F4"/>
              </w:rPr>
              <w:t>version_revision</w:t>
            </w:r>
          </w:p>
        </w:tc>
        <w:tc>
          <w:tcPr>
            <w:shd w:fill="FFFFFF"/>
          </w:tcPr>
          <w:p>
            <w:pPr>
              <w:pStyle w:val="TableText"/>
              <w:spacing w:after="0"/>
            </w:pPr>
            <w:r>
              <w:rPr>
                <w:rFonts w:ascii="Consolas" w:hAnsi="Consolas"/>
                <w:shd w:fill="EEF2F4"/>
              </w:rPr>
              <w:t>bigint</w:t>
            </w:r>
          </w:p>
        </w:tc>
        <w:tc>
          <w:tcPr>
            <w:shd w:fill="FFFFFF"/>
          </w:tcPr>
          <w:p>
            <w:pPr>
              <w:pStyle w:val="TableText"/>
              <w:spacing w:after="0"/>
            </w:pPr>
            <w:r>
              <w:t>Révision lisible concernée.</w:t>
            </w:r>
          </w:p>
        </w:tc>
      </w:tr>
      <w:tr>
        <w:tc>
          <w:tcPr>
            <w:shd w:fill="F5F8F8"/>
          </w:tcPr>
          <w:p>
            <w:pPr>
              <w:pStyle w:val="TableText"/>
              <w:spacing w:after="0"/>
            </w:pPr>
            <w:r>
              <w:rPr>
                <w:rFonts w:ascii="Consolas" w:hAnsi="Consolas"/>
                <w:shd w:fill="EEF2F4"/>
              </w:rPr>
              <w:t>specialty_name</w:t>
            </w:r>
          </w:p>
        </w:tc>
        <w:tc>
          <w:tcPr>
            <w:shd w:fill="F5F8F8"/>
          </w:tcPr>
          <w:p>
            <w:pPr>
              <w:pStyle w:val="TableText"/>
              <w:spacing w:after="0"/>
            </w:pPr>
            <w:r>
              <w:rPr>
                <w:rFonts w:ascii="Consolas" w:hAnsi="Consolas"/>
                <w:shd w:fill="EEF2F4"/>
              </w:rPr>
              <w:t>text</w:t>
            </w:r>
            <w:r>
              <w:t>, nullable</w:t>
            </w:r>
          </w:p>
        </w:tc>
        <w:tc>
          <w:tcPr>
            <w:shd w:fill="F5F8F8"/>
          </w:tcPr>
          <w:p>
            <w:pPr>
              <w:pStyle w:val="TableText"/>
              <w:spacing w:after="0"/>
            </w:pPr>
            <w:r>
              <w:t>Spécialité concernée lorsqu’applicable.</w:t>
            </w:r>
          </w:p>
        </w:tc>
      </w:tr>
      <w:tr>
        <w:tc>
          <w:tcPr>
            <w:shd w:fill="FFFFFF"/>
          </w:tcPr>
          <w:p>
            <w:pPr>
              <w:pStyle w:val="TableText"/>
              <w:spacing w:after="0"/>
            </w:pPr>
            <w:r>
              <w:rPr>
                <w:rFonts w:ascii="Consolas" w:hAnsi="Consolas"/>
                <w:shd w:fill="EEF2F4"/>
              </w:rPr>
              <w:t>note</w:t>
            </w:r>
          </w:p>
        </w:tc>
        <w:tc>
          <w:tcPr>
            <w:shd w:fill="FFFFFF"/>
          </w:tcPr>
          <w:p>
            <w:pPr>
              <w:pStyle w:val="TableText"/>
              <w:spacing w:after="0"/>
            </w:pPr>
            <w:r>
              <w:rPr>
                <w:rFonts w:ascii="Consolas" w:hAnsi="Consolas"/>
                <w:shd w:fill="EEF2F4"/>
              </w:rPr>
              <w:t>text</w:t>
            </w:r>
          </w:p>
        </w:tc>
        <w:tc>
          <w:tcPr>
            <w:shd w:fill="FFFFFF"/>
          </w:tcPr>
          <w:p>
            <w:pPr>
              <w:pStyle w:val="TableText"/>
              <w:spacing w:after="0"/>
            </w:pPr>
            <w:r>
              <w:t>Justification obligatoire.</w:t>
            </w:r>
          </w:p>
        </w:tc>
      </w:tr>
      <w:tr>
        <w:tc>
          <w:tcPr>
            <w:shd w:fill="F5F8F8"/>
          </w:tcPr>
          <w:p>
            <w:pPr>
              <w:pStyle w:val="TableText"/>
              <w:spacing w:after="0"/>
            </w:pPr>
            <w:r>
              <w:rPr>
                <w:rFonts w:ascii="Consolas" w:hAnsi="Consolas"/>
                <w:shd w:fill="EEF2F4"/>
              </w:rPr>
              <w:t>before_value</w:t>
            </w:r>
          </w:p>
        </w:tc>
        <w:tc>
          <w:tcPr>
            <w:shd w:fill="F5F8F8"/>
          </w:tcPr>
          <w:p>
            <w:pPr>
              <w:pStyle w:val="TableText"/>
              <w:spacing w:after="0"/>
            </w:pPr>
            <w:r>
              <w:rPr>
                <w:rFonts w:ascii="Consolas" w:hAnsi="Consolas"/>
                <w:shd w:fill="EEF2F4"/>
              </w:rPr>
              <w:t>jsonb</w:t>
            </w:r>
            <w:r>
              <w:t>, nullable</w:t>
            </w:r>
          </w:p>
        </w:tc>
        <w:tc>
          <w:tcPr>
            <w:shd w:fill="F5F8F8"/>
          </w:tcPr>
          <w:p>
            <w:pPr>
              <w:pStyle w:val="TableText"/>
              <w:spacing w:after="0"/>
            </w:pPr>
            <w:r>
              <w:t>État précédent.</w:t>
            </w:r>
          </w:p>
        </w:tc>
      </w:tr>
      <w:tr>
        <w:tc>
          <w:tcPr>
            <w:shd w:fill="FFFFFF"/>
          </w:tcPr>
          <w:p>
            <w:pPr>
              <w:pStyle w:val="TableText"/>
              <w:spacing w:after="0"/>
            </w:pPr>
            <w:r>
              <w:rPr>
                <w:rFonts w:ascii="Consolas" w:hAnsi="Consolas"/>
                <w:shd w:fill="EEF2F4"/>
              </w:rPr>
              <w:t>after_value</w:t>
            </w:r>
          </w:p>
        </w:tc>
        <w:tc>
          <w:tcPr>
            <w:shd w:fill="FFFFFF"/>
          </w:tcPr>
          <w:p>
            <w:pPr>
              <w:pStyle w:val="TableText"/>
              <w:spacing w:after="0"/>
            </w:pPr>
            <w:r>
              <w:rPr>
                <w:rFonts w:ascii="Consolas" w:hAnsi="Consolas"/>
                <w:shd w:fill="EEF2F4"/>
              </w:rPr>
              <w:t>jsonb</w:t>
            </w:r>
            <w:r>
              <w:t>, nullable</w:t>
            </w:r>
          </w:p>
        </w:tc>
        <w:tc>
          <w:tcPr>
            <w:shd w:fill="FFFFFF"/>
          </w:tcPr>
          <w:p>
            <w:pPr>
              <w:pStyle w:val="TableText"/>
              <w:spacing w:after="0"/>
            </w:pPr>
            <w:r>
              <w:t>Nouvel état.</w:t>
            </w:r>
          </w:p>
        </w:tc>
      </w:tr>
    </w:tbl>
    <w:p>
      <w:pPr>
        <w:spacing w:after="80"/>
      </w:pPr>
    </w:p>
    <w:p>
      <w:r>
        <w:t>Le journal permet de déterminer qui a changé quoi, quand, avec quelle justification et dans quelle version. Les comptes doivent donc rester individuels ; un compte partagé détruirait cette attribution.</w:t>
      </w:r>
    </w:p>
    <w:p>
      <w:pPr>
        <w:pStyle w:val="Heading2"/>
      </w:pPr>
      <w:r>
        <w:t xml:space="preserve">5.7 </w:t>
      </w:r>
      <w:r>
        <w:rPr>
          <w:rFonts w:ascii="Consolas" w:hAnsi="Consolas"/>
          <w:shd w:fill="EEF2F4"/>
        </w:rPr>
        <w:t>public.student_responses</w:t>
      </w:r>
    </w:p>
    <w:p>
      <w:r>
        <w:t>Réponses anonymes des étudiants.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Contexte</w:t>
            </w:r>
          </w:p>
        </w:tc>
        <w:tc>
          <w:tcPr>
            <w:shd w:fill="F5F8F8"/>
          </w:tcPr>
          <w:p>
            <w:pPr>
              <w:pStyle w:val="TableText"/>
              <w:spacing w:after="0"/>
            </w:pPr>
            <w:r>
              <w:rPr>
                <w:rFonts w:ascii="Consolas" w:hAnsi="Consolas"/>
                <w:shd w:fill="EEF2F4"/>
              </w:rPr>
              <w:t>study_year</w:t>
            </w:r>
            <w:r>
              <w:t xml:space="preserve">, </w:t>
            </w:r>
            <w:r>
              <w:rPr>
                <w:rFonts w:ascii="Consolas" w:hAnsi="Consolas"/>
                <w:shd w:fill="EEF2F4"/>
              </w:rPr>
              <w:t>preferred_specialty</w:t>
            </w:r>
            <w:r>
              <w:t xml:space="preserve">, </w:t>
            </w:r>
            <w:r>
              <w:rPr>
                <w:rFonts w:ascii="Consolas" w:hAnsi="Consolas"/>
                <w:shd w:fill="EEF2F4"/>
              </w:rPr>
              <w:t>language</w:t>
            </w:r>
          </w:p>
        </w:tc>
        <w:tc>
          <w:tcPr>
            <w:shd w:fill="F5F8F8"/>
          </w:tcPr>
          <w:p>
            <w:pPr>
              <w:pStyle w:val="TableText"/>
              <w:spacing w:after="0"/>
            </w:pPr>
            <w:r>
              <w:t xml:space="preserve">Métadonnées facultatives et langue. Pour toute nouvelle réponse, </w:t>
            </w:r>
            <w:r>
              <w:rPr>
                <w:rFonts w:ascii="Consolas" w:hAnsi="Consolas"/>
                <w:shd w:fill="EEF2F4"/>
              </w:rPr>
              <w:t>study_year</w:t>
            </w:r>
            <w:r>
              <w:t xml:space="preserve"> vaut </w:t>
            </w:r>
            <w:r>
              <w:rPr>
                <w:rFonts w:ascii="Consolas" w:hAnsi="Consolas"/>
                <w:shd w:fill="EEF2F4"/>
              </w:rPr>
              <w:t>NULL</w:t>
            </w:r>
            <w:r>
              <w:t xml:space="preserve"> ou un entier de 1 à 6.</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p>
        </w:tc>
        <w:tc>
          <w:tcPr>
            <w:shd w:fill="FFFFFF"/>
          </w:tcPr>
          <w:p>
            <w:pPr>
              <w:pStyle w:val="TableText"/>
              <w:spacing w:after="0"/>
            </w:pPr>
            <w:r>
              <w:t>81 notes et 1 à 4 valeurs professionnelles.</w:t>
            </w:r>
          </w:p>
        </w:tc>
      </w:tr>
      <w:tr>
        <w:tc>
          <w:tcPr>
            <w:shd w:fill="F5F8F8"/>
          </w:tcPr>
          <w:p>
            <w:pPr>
              <w:pStyle w:val="TableText"/>
              <w:spacing w:after="0"/>
            </w:pPr>
            <w:r>
              <w:t>Résultat client</w:t>
            </w:r>
          </w:p>
        </w:tc>
        <w:tc>
          <w:tcPr>
            <w:shd w:fill="F5F8F8"/>
          </w:tcPr>
          <w:p>
            <w:pPr>
              <w:pStyle w:val="TableText"/>
              <w:spacing w:after="0"/>
            </w:pPr>
            <w:r>
              <w:rPr>
                <w:rFonts w:ascii="Consolas" w:hAnsi="Consolas"/>
                <w:shd w:fill="EEF2F4"/>
              </w:rPr>
              <w:t>client_scores</w:t>
            </w:r>
          </w:p>
        </w:tc>
        <w:tc>
          <w:tcPr>
            <w:shd w:fill="F5F8F8"/>
          </w:tcPr>
          <w:p>
            <w:pPr>
              <w:pStyle w:val="TableText"/>
              <w:spacing w:after="0"/>
            </w:pPr>
            <w:r>
              <w:t>Classement calculé dans le navigateur, non vérifié.</w:t>
            </w:r>
          </w:p>
        </w:tc>
      </w:tr>
      <w:tr>
        <w:tc>
          <w:tcPr>
            <w:shd w:fill="FFFFFF"/>
          </w:tcPr>
          <w:p>
            <w:pPr>
              <w:pStyle w:val="TableText"/>
              <w:spacing w:after="0"/>
            </w:pPr>
            <w:r>
              <w:t>Versions scientifiques</w:t>
            </w:r>
          </w:p>
        </w:tc>
        <w:tc>
          <w:tcPr>
            <w:shd w:fill="FFFFFF"/>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scoring_version</w:t>
            </w:r>
            <w:r>
              <w:t xml:space="preserve">, </w:t>
            </w:r>
            <w:r>
              <w:rPr>
                <w:rFonts w:ascii="Consolas" w:hAnsi="Consolas"/>
                <w:shd w:fill="EEF2F4"/>
              </w:rPr>
              <w:t>consent_version</w:t>
            </w:r>
          </w:p>
        </w:tc>
        <w:tc>
          <w:tcPr>
            <w:shd w:fill="FFFFFF"/>
          </w:tcPr>
          <w:p>
            <w:pPr>
              <w:pStyle w:val="TableText"/>
              <w:spacing w:after="0"/>
            </w:pPr>
            <w:r>
              <w:t>Versions nécessaires à l’interprétation.</w:t>
            </w:r>
          </w:p>
        </w:tc>
      </w:tr>
      <w:tr>
        <w:tc>
          <w:tcPr>
            <w:shd w:fill="F5F8F8"/>
          </w:tcPr>
          <w:p>
            <w:pPr>
              <w:pStyle w:val="TableText"/>
              <w:spacing w:after="0"/>
            </w:pPr>
            <w:r>
              <w:t>Provenance du catalogue</w:t>
            </w:r>
          </w:p>
        </w:tc>
        <w:tc>
          <w:tcPr>
            <w:shd w:fill="F5F8F8"/>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5F8F8"/>
          </w:tcPr>
          <w:p>
            <w:pPr>
              <w:pStyle w:val="TableText"/>
              <w:spacing w:after="0"/>
            </w:pPr>
            <w:r>
              <w:t>Instantané publié exact utilisé par les soumissions v2 et v3 ; obligatoire pour le schéma 2.</w:t>
            </w:r>
          </w:p>
        </w:tc>
      </w:tr>
    </w:tbl>
    <w:p>
      <w:pPr>
        <w:spacing w:after="80"/>
      </w:pPr>
    </w:p>
    <w:p>
      <w:r>
        <w:t xml:space="preserve">La paire de provenance est soit entièrement absente, soit entièrement présente. Une clé étrangère composite pointe vers </w:t>
      </w:r>
      <w:r>
        <w:rPr>
          <w:rFonts w:ascii="Consolas" w:hAnsi="Consolas"/>
          <w:shd w:fill="EEF2F4"/>
        </w:rPr>
        <w:t>(id, revision)</w:t>
      </w:r>
      <w:r>
        <w:t xml:space="preserve"> de </w:t>
      </w:r>
      <w:r>
        <w:rPr>
          <w:rFonts w:ascii="Consolas" w:hAnsi="Consolas"/>
          <w:shd w:fill="EEF2F4"/>
        </w:rPr>
        <w:t>private.specialty_catalog_versions</w:t>
      </w:r>
      <w:r>
        <w:t xml:space="preserve">. La contrainte 1–6 est ajoutée en mode </w:t>
      </w:r>
      <w:r>
        <w:rPr>
          <w:rFonts w:ascii="Consolas" w:hAnsi="Consolas"/>
          <w:shd w:fill="EEF2F4"/>
        </w:rPr>
        <w:t>NOT VALID</w:t>
      </w:r>
      <w:r>
        <w:t xml:space="preserve"> : elle bloque les nouvelles valeurs hors plage, tandis que les éventuelles lignes historiques 7–12 restent intactes et auditables.</w:t>
      </w:r>
    </w:p>
    <w:p>
      <w:pPr>
        <w:pStyle w:val="Heading2"/>
      </w:pPr>
      <w:r>
        <w:t xml:space="preserve">5.8 </w:t>
      </w:r>
      <w:r>
        <w:rPr>
          <w:rFonts w:ascii="Consolas" w:hAnsi="Consolas"/>
          <w:shd w:fill="EEF2F4"/>
        </w:rPr>
        <w:t>public.specialist_responses</w:t>
      </w:r>
    </w:p>
    <w:p>
      <w:r>
        <w:t>Réponses anonymes des médecins spécialistes utilisées pour étudier la calibration.</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3133"/>
        <w:gridCol w:w="3133"/>
        <w:gridCol w:w="3133"/>
      </w:tblGrid>
      <w:tr>
        <w:trPr>
          <w:tblHeader/>
        </w:trPr>
        <w:tc>
          <w:tcPr>
            <w:shd w:fill="0B6B70"/>
          </w:tcPr>
          <w:p>
            <w:pPr>
              <w:pStyle w:val="TableHeader"/>
              <w:spacing w:after="0"/>
            </w:pPr>
            <w:r>
              <w:rPr>
                <w:b/>
                <w:color w:val="FFFFFF"/>
                <w:sz w:val="18"/>
                <w:szCs w:val="18"/>
              </w:rPr>
              <w:t>Groupe</w:t>
            </w:r>
          </w:p>
        </w:tc>
        <w:tc>
          <w:tcPr>
            <w:shd w:fill="0B6B70"/>
          </w:tcPr>
          <w:p>
            <w:pPr>
              <w:pStyle w:val="TableHeader"/>
              <w:spacing w:after="0"/>
            </w:pPr>
            <w:r>
              <w:rPr>
                <w:b/>
                <w:color w:val="FFFFFF"/>
                <w:sz w:val="18"/>
                <w:szCs w:val="18"/>
              </w:rPr>
              <w:t>Colonnes</w:t>
            </w:r>
          </w:p>
        </w:tc>
        <w:tc>
          <w:tcPr>
            <w:shd w:fill="0B6B70"/>
          </w:tcPr>
          <w:p>
            <w:pPr>
              <w:pStyle w:val="TableHeader"/>
              <w:spacing w:after="0"/>
            </w:pPr>
            <w:r>
              <w:rPr>
                <w:b/>
                <w:color w:val="FFFFFF"/>
                <w:sz w:val="18"/>
                <w:szCs w:val="18"/>
              </w:rPr>
              <w:t>Description</w:t>
            </w:r>
          </w:p>
        </w:tc>
      </w:tr>
      <w:tr>
        <w:tc>
          <w:tcPr>
            <w:shd w:fill="FFFFFF"/>
          </w:tcPr>
          <w:p>
            <w:pPr>
              <w:pStyle w:val="TableText"/>
              <w:spacing w:after="0"/>
            </w:pPr>
            <w:r>
              <w:t>Identité technique</w:t>
            </w:r>
          </w:p>
        </w:tc>
        <w:tc>
          <w:tcPr>
            <w:shd w:fill="FFFFFF"/>
          </w:tcPr>
          <w:p>
            <w:pPr>
              <w:pStyle w:val="TableText"/>
              <w:spacing w:after="0"/>
            </w:pPr>
            <w:r>
              <w:rPr>
                <w:rFonts w:ascii="Consolas" w:hAnsi="Consolas"/>
                <w:shd w:fill="EEF2F4"/>
              </w:rPr>
              <w:t>id</w:t>
            </w:r>
            <w:r>
              <w:t xml:space="preserve">, </w:t>
            </w:r>
            <w:r>
              <w:rPr>
                <w:rFonts w:ascii="Consolas" w:hAnsi="Consolas"/>
                <w:shd w:fill="EEF2F4"/>
              </w:rPr>
              <w:t>created_at</w:t>
            </w:r>
          </w:p>
        </w:tc>
        <w:tc>
          <w:tcPr>
            <w:shd w:fill="FFFFFF"/>
          </w:tcPr>
          <w:p>
            <w:pPr>
              <w:pStyle w:val="TableText"/>
              <w:spacing w:after="0"/>
            </w:pPr>
            <w:r>
              <w:t>UUID de soumission et horodatage. Aucun lien vers Auth.</w:t>
            </w:r>
          </w:p>
        </w:tc>
      </w:tr>
      <w:tr>
        <w:tc>
          <w:tcPr>
            <w:shd w:fill="F5F8F8"/>
          </w:tcPr>
          <w:p>
            <w:pPr>
              <w:pStyle w:val="TableText"/>
              <w:spacing w:after="0"/>
            </w:pPr>
            <w:r>
              <w:t>Spécialité réelle</w:t>
            </w:r>
          </w:p>
        </w:tc>
        <w:tc>
          <w:tcPr>
            <w:shd w:fill="F5F8F8"/>
          </w:tcPr>
          <w:p>
            <w:pPr>
              <w:pStyle w:val="TableText"/>
              <w:spacing w:after="0"/>
            </w:pPr>
            <w:r>
              <w:rPr>
                <w:rFonts w:ascii="Consolas" w:hAnsi="Consolas"/>
                <w:shd w:fill="EEF2F4"/>
              </w:rPr>
              <w:t>actual_specialty</w:t>
            </w:r>
          </w:p>
        </w:tc>
        <w:tc>
          <w:tcPr>
            <w:shd w:fill="F5F8F8"/>
          </w:tcPr>
          <w:p>
            <w:pPr>
              <w:pStyle w:val="TableText"/>
              <w:spacing w:after="0"/>
            </w:pPr>
            <w:r>
              <w:t>Spécialité déclarée par le participant.</w:t>
            </w:r>
          </w:p>
        </w:tc>
      </w:tr>
      <w:tr>
        <w:tc>
          <w:tcPr>
            <w:shd w:fill="FFFFFF"/>
          </w:tcPr>
          <w:p>
            <w:pPr>
              <w:pStyle w:val="TableText"/>
              <w:spacing w:after="0"/>
            </w:pPr>
            <w:r>
              <w:t>Données brutes</w:t>
            </w:r>
          </w:p>
        </w:tc>
        <w:tc>
          <w:tcPr>
            <w:shd w:fill="FFFFFF"/>
          </w:tcPr>
          <w:p>
            <w:pPr>
              <w:pStyle w:val="TableText"/>
              <w:spacing w:after="0"/>
            </w:pPr>
            <w:r>
              <w:rPr>
                <w:rFonts w:ascii="Consolas" w:hAnsi="Consolas"/>
                <w:shd w:fill="EEF2F4"/>
              </w:rPr>
              <w:t>ratings</w:t>
            </w:r>
            <w:r>
              <w:t xml:space="preserve">, </w:t>
            </w:r>
            <w:r>
              <w:rPr>
                <w:rFonts w:ascii="Consolas" w:hAnsi="Consolas"/>
                <w:shd w:fill="EEF2F4"/>
              </w:rPr>
              <w:t>selected_values</w:t>
            </w:r>
            <w:r>
              <w:t xml:space="preserve">, </w:t>
            </w:r>
            <w:r>
              <w:rPr>
                <w:rFonts w:ascii="Consolas" w:hAnsi="Consolas"/>
                <w:shd w:fill="EEF2F4"/>
              </w:rPr>
              <w:t>language</w:t>
            </w:r>
          </w:p>
        </w:tc>
        <w:tc>
          <w:tcPr>
            <w:shd w:fill="FFFFFF"/>
          </w:tcPr>
          <w:p>
            <w:pPr>
              <w:pStyle w:val="TableText"/>
              <w:spacing w:after="0"/>
            </w:pPr>
            <w:r>
              <w:t>81 notes, valeurs choisies et langue.</w:t>
            </w:r>
          </w:p>
        </w:tc>
      </w:tr>
      <w:tr>
        <w:tc>
          <w:tcPr>
            <w:shd w:fill="F5F8F8"/>
          </w:tcPr>
          <w:p>
            <w:pPr>
              <w:pStyle w:val="TableText"/>
              <w:spacing w:after="0"/>
            </w:pPr>
            <w:r>
              <w:t>Entretien qualitatif courant</w:t>
            </w:r>
          </w:p>
        </w:tc>
        <w:tc>
          <w:tcPr>
            <w:shd w:fill="F5F8F8"/>
          </w:tcPr>
          <w:p>
            <w:pPr>
              <w:pStyle w:val="TableText"/>
              <w:spacing w:after="0"/>
            </w:pPr>
            <w:r>
              <w:rPr>
                <w:rFonts w:ascii="Consolas" w:hAnsi="Consolas"/>
                <w:shd w:fill="EEF2F4"/>
              </w:rPr>
              <w:t>current_specialty_view</w:t>
            </w:r>
            <w:r>
              <w:t xml:space="preserve">, </w:t>
            </w:r>
            <w:r>
              <w:rPr>
                <w:rFonts w:ascii="Consolas" w:hAnsi="Consolas"/>
                <w:shd w:fill="EEF2F4"/>
              </w:rPr>
              <w:t>specialty_changes_over_years</w:t>
            </w:r>
            <w:r>
              <w:t xml:space="preserve">, </w:t>
            </w:r>
            <w:r>
              <w:rPr>
                <w:rFonts w:ascii="Consolas" w:hAnsi="Consolas"/>
                <w:shd w:fill="EEF2F4"/>
              </w:rPr>
              <w:t>most_important_specialty_quality</w:t>
            </w:r>
            <w:r>
              <w:t xml:space="preserve">, </w:t>
            </w:r>
            <w:r>
              <w:rPr>
                <w:rFonts w:ascii="Consolas" w:hAnsi="Consolas"/>
                <w:shd w:fill="EEF2F4"/>
              </w:rPr>
              <w:t>student_self_question</w:t>
            </w:r>
          </w:p>
        </w:tc>
        <w:tc>
          <w:tcPr>
            <w:shd w:fill="F5F8F8"/>
          </w:tcPr>
          <w:p>
            <w:pPr>
              <w:pStyle w:val="TableText"/>
              <w:spacing w:after="0"/>
            </w:pPr>
            <w:r>
              <w:t>Quatre textes obligatoires du schéma 2, nettoyés des espaces périphériques. Les trois premiers acceptent 3 à 2 000 caractères ; la question destinée à l'étudiant, 3 à 1 000 caractères.</w:t>
            </w:r>
          </w:p>
        </w:tc>
      </w:tr>
      <w:tr>
        <w:tc>
          <w:tcPr>
            <w:shd w:fill="FFFFFF"/>
          </w:tcPr>
          <w:p>
            <w:pPr>
              <w:pStyle w:val="TableText"/>
              <w:spacing w:after="0"/>
            </w:pPr>
            <w:r>
              <w:t>Choix à refaire</w:t>
            </w:r>
          </w:p>
        </w:tc>
        <w:tc>
          <w:tcPr>
            <w:shd w:fill="FFFFFF"/>
          </w:tcPr>
          <w:p>
            <w:pPr>
              <w:pStyle w:val="TableText"/>
              <w:spacing w:after="0"/>
            </w:pPr>
            <w:r>
              <w:rPr>
                <w:rFonts w:ascii="Consolas" w:hAnsi="Consolas"/>
                <w:shd w:fill="EEF2F4"/>
              </w:rPr>
              <w:t>would_choose_again_code</w:t>
            </w:r>
            <w:r>
              <w:t xml:space="preserve">, </w:t>
            </w:r>
            <w:r>
              <w:rPr>
                <w:rFonts w:ascii="Consolas" w:hAnsi="Consolas"/>
                <w:shd w:fill="EEF2F4"/>
              </w:rPr>
              <w:t>would_not_choose_again_reason</w:t>
            </w:r>
          </w:p>
        </w:tc>
        <w:tc>
          <w:tcPr>
            <w:shd w:fill="FFFFFF"/>
          </w:tcPr>
          <w:p>
            <w:pPr>
              <w:pStyle w:val="TableText"/>
              <w:spacing w:after="0"/>
            </w:pPr>
            <w:r>
              <w:t xml:space="preserve">Code obligatoire </w:t>
            </w:r>
            <w:r>
              <w:rPr>
                <w:rFonts w:ascii="Consolas" w:hAnsi="Consolas"/>
                <w:shd w:fill="EEF2F4"/>
              </w:rPr>
              <w:t>yes</w:t>
            </w:r>
            <w:r>
              <w:t xml:space="preserve"> ou </w:t>
            </w:r>
            <w:r>
              <w:rPr>
                <w:rFonts w:ascii="Consolas" w:hAnsi="Consolas"/>
                <w:shd w:fill="EEF2F4"/>
              </w:rPr>
              <w:t>no</w:t>
            </w:r>
            <w:r>
              <w:t xml:space="preserve">. La raison de 3 à 2 000 caractères est obligatoire si la réponse vaut </w:t>
            </w:r>
            <w:r>
              <w:rPr>
                <w:rFonts w:ascii="Consolas" w:hAnsi="Consolas"/>
                <w:shd w:fill="EEF2F4"/>
              </w:rPr>
              <w:t>no</w:t>
            </w:r>
            <w:r>
              <w:t xml:space="preserve"> et doit rester </w:t>
            </w:r>
            <w:r>
              <w:rPr>
                <w:rFonts w:ascii="Consolas" w:hAnsi="Consolas"/>
                <w:shd w:fill="EEF2F4"/>
              </w:rPr>
              <w:t>NULL</w:t>
            </w:r>
            <w:r>
              <w:t xml:space="preserve"> si elle vaut </w:t>
            </w:r>
            <w:r>
              <w:rPr>
                <w:rFonts w:ascii="Consolas" w:hAnsi="Consolas"/>
                <w:shd w:fill="EEF2F4"/>
              </w:rPr>
              <w:t>yes</w:t>
            </w:r>
            <w:r>
              <w:t>.</w:t>
            </w:r>
          </w:p>
        </w:tc>
      </w:tr>
      <w:tr>
        <w:tc>
          <w:tcPr>
            <w:shd w:fill="F5F8F8"/>
          </w:tcPr>
          <w:p>
            <w:pPr>
              <w:pStyle w:val="TableText"/>
              <w:spacing w:after="0"/>
            </w:pPr>
            <w:r>
              <w:t>Champs structurés legacy</w:t>
            </w:r>
          </w:p>
        </w:tc>
        <w:tc>
          <w:tcPr>
            <w:shd w:fill="F5F8F8"/>
          </w:tcPr>
          <w:p>
            <w:pPr>
              <w:pStyle w:val="TableText"/>
              <w:spacing w:after="0"/>
            </w:pPr>
            <w:r>
              <w:rPr>
                <w:rFonts w:ascii="Consolas" w:hAnsi="Consolas"/>
                <w:shd w:fill="EEF2F4"/>
              </w:rPr>
              <w:t>years_of_experience</w:t>
            </w:r>
            <w:r>
              <w:t xml:space="preserve">, </w:t>
            </w:r>
            <w:r>
              <w:rPr>
                <w:rFonts w:ascii="Consolas" w:hAnsi="Consolas"/>
                <w:shd w:fill="EEF2F4"/>
              </w:rPr>
              <w:t>career_satisfaction</w:t>
            </w:r>
            <w:r>
              <w:t xml:space="preserve">, </w:t>
            </w:r>
            <w:r>
              <w:rPr>
                <w:rFonts w:ascii="Consolas" w:hAnsi="Consolas"/>
                <w:shd w:fill="EEF2F4"/>
              </w:rPr>
              <w:t>intention_to_change_code</w:t>
            </w:r>
            <w:r>
              <w:t xml:space="preserve">, </w:t>
            </w:r>
            <w:r>
              <w:rPr>
                <w:rFonts w:ascii="Consolas" w:hAnsi="Consolas"/>
                <w:shd w:fill="EEF2F4"/>
              </w:rPr>
              <w:t>voluntary_choice_code</w:t>
            </w:r>
          </w:p>
        </w:tc>
        <w:tc>
          <w:tcPr>
            <w:shd w:fill="F5F8F8"/>
          </w:tcPr>
          <w:p>
            <w:pPr>
              <w:pStyle w:val="TableText"/>
              <w:spacing w:after="0"/>
            </w:pPr>
            <w:r>
              <w:t xml:space="preserve">Anciens champs conservés pour relire les lignes historiques. Les nouvelles lignes de schéma 2 les laissent à </w:t>
            </w:r>
            <w:r>
              <w:rPr>
                <w:rFonts w:ascii="Consolas" w:hAnsi="Consolas"/>
                <w:shd w:fill="EEF2F4"/>
              </w:rPr>
              <w:t>NULL</w:t>
            </w:r>
            <w:r>
              <w:t>.</w:t>
            </w:r>
          </w:p>
        </w:tc>
      </w:tr>
      <w:tr>
        <w:tc>
          <w:tcPr>
            <w:shd w:fill="FFFFFF"/>
          </w:tcPr>
          <w:p>
            <w:pPr>
              <w:pStyle w:val="TableText"/>
              <w:spacing w:after="0"/>
            </w:pPr>
            <w:r>
              <w:t>Libellés legacy</w:t>
            </w:r>
          </w:p>
        </w:tc>
        <w:tc>
          <w:tcPr>
            <w:shd w:fill="FFFFFF"/>
          </w:tcPr>
          <w:p>
            <w:pPr>
              <w:pStyle w:val="TableText"/>
              <w:spacing w:after="0"/>
            </w:pPr>
            <w:r>
              <w:rPr>
                <w:rFonts w:ascii="Consolas" w:hAnsi="Consolas"/>
                <w:shd w:fill="EEF2F4"/>
              </w:rPr>
              <w:t>would_choose_again</w:t>
            </w:r>
            <w:r>
              <w:t xml:space="preserve">, </w:t>
            </w:r>
            <w:r>
              <w:rPr>
                <w:rFonts w:ascii="Consolas" w:hAnsi="Consolas"/>
                <w:shd w:fill="EEF2F4"/>
              </w:rPr>
              <w:t>intention_to_change</w:t>
            </w:r>
            <w:r>
              <w:t xml:space="preserve">, </w:t>
            </w:r>
            <w:r>
              <w:rPr>
                <w:rFonts w:ascii="Consolas" w:hAnsi="Consolas"/>
                <w:shd w:fill="EEF2F4"/>
              </w:rPr>
              <w:t>voluntary_choice</w:t>
            </w:r>
          </w:p>
        </w:tc>
        <w:tc>
          <w:tcPr>
            <w:shd w:fill="FFFFFF"/>
          </w:tcPr>
          <w:p>
            <w:pPr>
              <w:pStyle w:val="TableText"/>
              <w:spacing w:after="0"/>
            </w:pPr>
            <w:r>
              <w:t xml:space="preserve">Anciennes étiquettes localisées conservées pour l'historique ; elles restent </w:t>
            </w:r>
            <w:r>
              <w:rPr>
                <w:rFonts w:ascii="Consolas" w:hAnsi="Consolas"/>
                <w:shd w:fill="EEF2F4"/>
              </w:rPr>
              <w:t>NULL</w:t>
            </w:r>
            <w:r>
              <w:t xml:space="preserve"> pour le schéma 2.</w:t>
            </w:r>
          </w:p>
        </w:tc>
      </w:tr>
      <w:tr>
        <w:tc>
          <w:tcPr>
            <w:shd w:fill="F5F8F8"/>
          </w:tcPr>
          <w:p>
            <w:pPr>
              <w:pStyle w:val="TableText"/>
              <w:spacing w:after="0"/>
            </w:pPr>
            <w:r>
              <w:t>Versions scientifiques</w:t>
            </w:r>
          </w:p>
        </w:tc>
        <w:tc>
          <w:tcPr>
            <w:shd w:fill="F5F8F8"/>
          </w:tcPr>
          <w:p>
            <w:pPr>
              <w:pStyle w:val="TableText"/>
              <w:spacing w:after="0"/>
            </w:pPr>
            <w:r>
              <w:rPr>
                <w:rFonts w:ascii="Consolas" w:hAnsi="Consolas"/>
                <w:shd w:fill="EEF2F4"/>
              </w:rPr>
              <w:t>submission_schema_version</w:t>
            </w:r>
            <w:r>
              <w:t xml:space="preserve">, </w:t>
            </w:r>
            <w:r>
              <w:rPr>
                <w:rFonts w:ascii="Consolas" w:hAnsi="Consolas"/>
                <w:shd w:fill="EEF2F4"/>
              </w:rPr>
              <w:t>questionnaire_version</w:t>
            </w:r>
            <w:r>
              <w:t xml:space="preserve">, </w:t>
            </w:r>
            <w:r>
              <w:rPr>
                <w:rFonts w:ascii="Consolas" w:hAnsi="Consolas"/>
                <w:shd w:fill="EEF2F4"/>
              </w:rPr>
              <w:t>value_catalog_version</w:t>
            </w:r>
            <w:r>
              <w:t xml:space="preserve">, </w:t>
            </w:r>
            <w:r>
              <w:rPr>
                <w:rFonts w:ascii="Consolas" w:hAnsi="Consolas"/>
                <w:shd w:fill="EEF2F4"/>
              </w:rPr>
              <w:t>specialty_catalog_version</w:t>
            </w:r>
            <w:r>
              <w:t xml:space="preserve">, </w:t>
            </w:r>
            <w:r>
              <w:rPr>
                <w:rFonts w:ascii="Consolas" w:hAnsi="Consolas"/>
                <w:shd w:fill="EEF2F4"/>
              </w:rPr>
              <w:t>calibration_version</w:t>
            </w:r>
            <w:r>
              <w:t xml:space="preserve">, </w:t>
            </w:r>
            <w:r>
              <w:rPr>
                <w:rFonts w:ascii="Consolas" w:hAnsi="Consolas"/>
                <w:shd w:fill="EEF2F4"/>
              </w:rPr>
              <w:t>consent_version</w:t>
            </w:r>
          </w:p>
        </w:tc>
        <w:tc>
          <w:tcPr>
            <w:shd w:fill="F5F8F8"/>
          </w:tcPr>
          <w:p>
            <w:pPr>
              <w:pStyle w:val="TableText"/>
              <w:spacing w:after="0"/>
            </w:pPr>
            <w:r>
              <w:t>Versions nécessaires à l’analyse.</w:t>
            </w:r>
          </w:p>
        </w:tc>
      </w:tr>
      <w:tr>
        <w:tc>
          <w:tcPr>
            <w:shd w:fill="FFFFFF"/>
          </w:tcPr>
          <w:p>
            <w:pPr>
              <w:pStyle w:val="TableText"/>
              <w:spacing w:after="0"/>
            </w:pPr>
            <w:r>
              <w:t>Provenance du catalogue</w:t>
            </w:r>
          </w:p>
        </w:tc>
        <w:tc>
          <w:tcPr>
            <w:shd w:fill="FFFFFF"/>
          </w:tcPr>
          <w:p>
            <w:pPr>
              <w:pStyle w:val="TableText"/>
              <w:spacing w:after="0"/>
            </w:pPr>
            <w:r>
              <w:rPr>
                <w:rFonts w:ascii="Consolas" w:hAnsi="Consolas"/>
                <w:shd w:fill="EEF2F4"/>
              </w:rPr>
              <w:t>specialty_config_version_id</w:t>
            </w:r>
            <w:r>
              <w:t xml:space="preserve">, </w:t>
            </w:r>
            <w:r>
              <w:rPr>
                <w:rFonts w:ascii="Consolas" w:hAnsi="Consolas"/>
                <w:shd w:fill="EEF2F4"/>
              </w:rPr>
              <w:t>specialty_config_revision</w:t>
            </w:r>
          </w:p>
        </w:tc>
        <w:tc>
          <w:tcPr>
            <w:shd w:fill="FFFFFF"/>
          </w:tcPr>
          <w:p>
            <w:pPr>
              <w:pStyle w:val="TableText"/>
              <w:spacing w:after="0"/>
            </w:pPr>
            <w:r>
              <w:t>Instantané publié exact utilisé par les soumissions v2 et v3 ; obligatoire pour le schéma 2.</w:t>
            </w:r>
          </w:p>
        </w:tc>
      </w:tr>
    </w:tbl>
    <w:p>
      <w:pPr>
        <w:spacing w:after="80"/>
      </w:pPr>
    </w:p>
    <w:p>
      <w:r>
        <w:t xml:space="preserve">Comme pour les étudiants, la paire </w:t>
      </w:r>
      <w:r>
        <w:rPr>
          <w:rFonts w:ascii="Consolas" w:hAnsi="Consolas"/>
          <w:shd w:fill="EEF2F4"/>
        </w:rPr>
        <w:t>(specialty_config_version_id, specialty_config_revision)</w:t>
      </w:r>
      <w:r>
        <w:t xml:space="preserve"> est cohérente et contrôlée par une clé étrangère composite. La suppression de l'ancien formulaire ne supprime donc aucune colonne ni aucune réponse historique : elle sépare le protocole courant de l'ancien par </w:t>
      </w:r>
      <w:r>
        <w:rPr>
          <w:rFonts w:ascii="Consolas" w:hAnsi="Consolas"/>
          <w:shd w:fill="EEF2F4"/>
        </w:rPr>
        <w:t>submission_schema_version</w:t>
      </w:r>
      <w:r>
        <w:t xml:space="preserve"> et les versions scientifiques.</w:t>
      </w:r>
    </w:p>
    <w:p>
      <w:r>
        <w:t>Pour le protocole courant, les versions enregistrées sont :</w:t>
      </w:r>
    </w:p>
    <w:p>
      <w:pPr>
        <w:pStyle w:val="ListBullet"/>
        <w:ind w:left="520" w:hanging="280"/>
        <w:spacing w:after="70"/>
      </w:pPr>
      <w:r>
        <w:rPr>
          <w:b/>
          <w:color w:val="0B6B70"/>
        </w:rPr>
        <w:t xml:space="preserve">• </w:t>
      </w:r>
      <w:r>
        <w:rPr>
          <w:rFonts w:ascii="Consolas" w:hAnsi="Consolas"/>
          <w:shd w:fill="EEF2F4"/>
        </w:rPr>
        <w:t>submission_schema_version = 2</w:t>
      </w:r>
      <w:r>
        <w:t xml:space="preserve"> ;</w:t>
      </w:r>
    </w:p>
    <w:p>
      <w:pPr>
        <w:pStyle w:val="ListBullet"/>
        <w:ind w:left="520" w:hanging="280"/>
        <w:spacing w:after="70"/>
      </w:pPr>
      <w:r>
        <w:rPr>
          <w:b/>
          <w:color w:val="0B6B70"/>
        </w:rPr>
        <w:t xml:space="preserve">• </w:t>
      </w:r>
      <w:r>
        <w:rPr>
          <w:rFonts w:ascii="Consolas" w:hAnsi="Consolas"/>
          <w:shd w:fill="EEF2F4"/>
        </w:rPr>
        <w:t>questionnaire_version = q81-v1</w:t>
      </w:r>
      <w:r>
        <w:t xml:space="preserve"> ;</w:t>
      </w:r>
    </w:p>
    <w:p>
      <w:pPr>
        <w:pStyle w:val="ListBullet"/>
        <w:ind w:left="520" w:hanging="280"/>
        <w:spacing w:after="70"/>
      </w:pPr>
      <w:r>
        <w:rPr>
          <w:b/>
          <w:color w:val="0B6B70"/>
        </w:rPr>
        <w:t xml:space="preserve">• </w:t>
      </w:r>
      <w:r>
        <w:rPr>
          <w:rFonts w:ascii="Consolas" w:hAnsi="Consolas"/>
          <w:shd w:fill="EEF2F4"/>
        </w:rPr>
        <w:t>value_catalog_version = career-values-v1</w:t>
      </w:r>
      <w:r>
        <w:t xml:space="preserve"> ;</w:t>
      </w:r>
    </w:p>
    <w:p>
      <w:pPr>
        <w:pStyle w:val="ListBullet"/>
        <w:ind w:left="520" w:hanging="280"/>
        <w:spacing w:after="70"/>
      </w:pPr>
      <w:r>
        <w:rPr>
          <w:b/>
          <w:color w:val="0B6B70"/>
        </w:rPr>
        <w:t xml:space="preserve">• </w:t>
      </w:r>
      <w:r>
        <w:rPr>
          <w:rFonts w:ascii="Consolas" w:hAnsi="Consolas"/>
          <w:shd w:fill="EEF2F4"/>
        </w:rPr>
        <w:t>specialty_catalog_version = medical-specialties-v1</w:t>
      </w:r>
      <w:r>
        <w:t xml:space="preserve"> ;</w:t>
      </w:r>
    </w:p>
    <w:p>
      <w:pPr>
        <w:pStyle w:val="ListBullet"/>
        <w:ind w:left="520" w:hanging="280"/>
        <w:spacing w:after="70"/>
      </w:pPr>
      <w:r>
        <w:rPr>
          <w:b/>
          <w:color w:val="0B6B70"/>
        </w:rPr>
        <w:t xml:space="preserve">• </w:t>
      </w:r>
      <w:r>
        <w:rPr>
          <w:rFonts w:ascii="Consolas" w:hAnsi="Consolas"/>
          <w:shd w:fill="EEF2F4"/>
        </w:rPr>
        <w:t>scoring_version = client-scoring-v2</w:t>
      </w:r>
      <w:r>
        <w:t xml:space="preserve"> pour les étudiants ;</w:t>
      </w:r>
    </w:p>
    <w:p>
      <w:pPr>
        <w:pStyle w:val="ListBullet"/>
        <w:ind w:left="520" w:hanging="280"/>
        <w:spacing w:after="70"/>
      </w:pPr>
      <w:r>
        <w:rPr>
          <w:b/>
          <w:color w:val="0B6B70"/>
        </w:rPr>
        <w:t xml:space="preserve">• </w:t>
      </w:r>
      <w:r>
        <w:rPr>
          <w:rFonts w:ascii="Consolas" w:hAnsi="Consolas"/>
          <w:shd w:fill="EEF2F4"/>
        </w:rPr>
        <w:t>calibration_version = calibration-v2-qualitative</w:t>
      </w:r>
      <w:r>
        <w:t xml:space="preserve"> pour les spécialistes ;</w:t>
      </w:r>
    </w:p>
    <w:p>
      <w:pPr>
        <w:pStyle w:val="ListBullet"/>
        <w:ind w:left="520" w:hanging="280"/>
        <w:spacing w:after="70"/>
      </w:pPr>
      <w:r>
        <w:rPr>
          <w:b/>
          <w:color w:val="0B6B70"/>
        </w:rPr>
        <w:t xml:space="preserve">• </w:t>
      </w:r>
      <w:r>
        <w:rPr>
          <w:rFonts w:ascii="Consolas" w:hAnsi="Consolas"/>
          <w:shd w:fill="EEF2F4"/>
        </w:rPr>
        <w:t>consent_version = research-consent-2026-09-04</w:t>
      </w:r>
      <w:r>
        <w:t>.</w:t>
      </w:r>
    </w:p>
    <w:p>
      <w:r>
        <w:t xml:space="preserve">Le libellé stable </w:t>
      </w:r>
      <w:r>
        <w:rPr>
          <w:rFonts w:ascii="Consolas" w:hAnsi="Consolas"/>
          <w:shd w:fill="EEF2F4"/>
        </w:rPr>
        <w:t>medical-specialties-v1</w:t>
      </w:r>
      <w:r>
        <w:t xml:space="preserve"> désigne le format canonique du catalogue. La provenance de son contenu effectif est donnée séparément par l'UUID et la révision de l'instantané publié.</w:t>
      </w:r>
    </w:p>
    <w:p>
      <w:pPr>
        <w:pStyle w:val="Heading1"/>
      </w:pPr>
      <w:r>
        <w:t>6. Fonctions RPC et points d’entrée</w:t>
      </w:r>
    </w:p>
    <w:p>
      <w:pPr>
        <w:pStyle w:val="Heading2"/>
      </w:pPr>
      <w:r>
        <w:t>6.1 Accès et identité du portail</w:t>
      </w:r>
    </w:p>
    <w:p>
      <w:pPr>
        <w:pStyle w:val="Heading3"/>
      </w:pPr>
      <w:r>
        <w:rPr>
          <w:rFonts w:ascii="Consolas" w:hAnsi="Consolas"/>
          <w:shd w:fill="EEF2F4"/>
        </w:rPr>
        <w:t>current_user_is_researcher()</w:t>
      </w:r>
    </w:p>
    <w:p>
      <w:r>
        <w:t xml:space="preserve">Retourne un booléen indiquant si </w:t>
      </w:r>
      <w:r>
        <w:rPr>
          <w:rFonts w:ascii="Consolas" w:hAnsi="Consolas"/>
          <w:shd w:fill="EEF2F4"/>
        </w:rPr>
        <w:t>auth.uid()</w:t>
      </w:r>
      <w:r>
        <w:t xml:space="preserve"> correspond à un chercheur actif. Cette fonction maintient la compatibilité avec le dashboard de recherche existant.</w:t>
      </w:r>
    </w:p>
    <w:p>
      <w:pPr>
        <w:pStyle w:val="Heading3"/>
      </w:pPr>
      <w:r>
        <w:rPr>
          <w:rFonts w:ascii="Consolas" w:hAnsi="Consolas"/>
          <w:shd w:fill="EEF2F4"/>
        </w:rPr>
        <w:t>current_user_portal_profile()</w:t>
      </w:r>
    </w:p>
    <w:p>
      <w:r>
        <w:t>Retourne un objet JSON minimal : autorisation, nom affiché, rôle, droit de consulter la recherche, droit d’éditer le catalogue et droit de publier. Elle ne renvoie ni e-mail ni donnée Auth sensible.</w:t>
      </w:r>
    </w:p>
    <w:p>
      <w:pPr>
        <w:pStyle w:val="Heading2"/>
      </w:pPr>
      <w:r>
        <w:t>6.2 Lecture du catalogue</w:t>
      </w:r>
    </w:p>
    <w:p>
      <w:pPr>
        <w:pStyle w:val="Heading3"/>
      </w:pPr>
      <w:r>
        <w:rPr>
          <w:rFonts w:ascii="Consolas" w:hAnsi="Consolas"/>
          <w:shd w:fill="EEF2F4"/>
        </w:rPr>
        <w:t>get_active_specialty_catalog()</w:t>
      </w:r>
    </w:p>
    <w:p>
      <w:r>
        <w:t xml:space="preserve">Accessible publiquement. Retourne uniquement l’instantané </w:t>
      </w:r>
      <w:r>
        <w:rPr>
          <w:rFonts w:ascii="Consolas" w:hAnsi="Consolas"/>
          <w:shd w:fill="EEF2F4"/>
        </w:rPr>
        <w:t>active</w:t>
      </w:r>
      <w:r>
        <w:t xml:space="preserve"> : métadonnées de version, 58 spécialités, textes localisés et profils de matching. Aucun brouillon, acteur interne ou journal d’audit n’est exposé.</w:t>
      </w:r>
    </w:p>
    <w:p>
      <w:pPr>
        <w:pStyle w:val="Heading3"/>
      </w:pPr>
      <w:r>
        <w:rPr>
          <w:rFonts w:ascii="Consolas" w:hAnsi="Consolas"/>
          <w:shd w:fill="EEF2F4"/>
        </w:rPr>
        <w:t>get_specialty_catalog_draft()</w:t>
      </w:r>
    </w:p>
    <w:p>
      <w:r>
        <w:t xml:space="preserve">Réservée à Doctor et Professor. Retourne le brouillon courant avec son </w:t>
      </w:r>
      <w:r>
        <w:rPr>
          <w:rFonts w:ascii="Consolas" w:hAnsi="Consolas"/>
          <w:shd w:fill="EEF2F4"/>
        </w:rPr>
        <w:t>lock_version</w:t>
      </w:r>
      <w:r>
        <w:t>. En l’absence de brouillon, elle retourne l’actif comme base de travail.</w:t>
      </w:r>
    </w:p>
    <w:p>
      <w:pPr>
        <w:pStyle w:val="Heading3"/>
      </w:pPr>
      <w:r>
        <w:rPr>
          <w:rFonts w:ascii="Consolas" w:hAnsi="Consolas"/>
          <w:shd w:fill="EEF2F4"/>
        </w:rPr>
        <w:t>list_specialty_catalog_versions()</w:t>
      </w:r>
    </w:p>
    <w:p>
      <w:r>
        <w:t>Réservée à Doctor et Professor. Retourne l’historique des versions, leur statut, leur parent, leur justification, leur acteur, leur date et leur checksum.</w:t>
      </w:r>
    </w:p>
    <w:p>
      <w:pPr>
        <w:pStyle w:val="Heading2"/>
      </w:pPr>
      <w:r>
        <w:t>6.3 Édition et publication</w:t>
      </w:r>
    </w:p>
    <w:p>
      <w:pPr>
        <w:pStyle w:val="Heading3"/>
      </w:pPr>
      <w:r>
        <w:rPr>
          <w:rFonts w:ascii="Consolas" w:hAnsi="Consolas"/>
          <w:shd w:fill="EEF2F4"/>
        </w:rPr>
        <w:t>save_specialty_catalog_entry_draft(...)</w:t>
      </w:r>
    </w:p>
    <w:p>
      <w:r>
        <w:t>Réservée à Doctor et Professor. Elle :</w:t>
      </w:r>
    </w:p>
    <w:p>
      <w:pPr>
        <w:pStyle w:val="ListNumber"/>
        <w:ind w:left="520" w:hanging="280"/>
        <w:spacing w:after="70"/>
      </w:pPr>
      <w:r>
        <w:rPr>
          <w:b/>
          <w:color w:val="0B6B70"/>
        </w:rPr>
        <w:t xml:space="preserve">1. </w:t>
      </w:r>
      <w:r>
        <w:t>vérifie le rôle ;</w:t>
      </w:r>
    </w:p>
    <w:p>
      <w:pPr>
        <w:pStyle w:val="ListNumber"/>
        <w:ind w:left="520" w:hanging="280"/>
        <w:spacing w:after="70"/>
      </w:pPr>
      <w:r>
        <w:rPr>
          <w:b/>
          <w:color w:val="0B6B70"/>
        </w:rPr>
        <w:t xml:space="preserve">2. </w:t>
      </w:r>
      <w:r>
        <w:t>exige une note de changement ;</w:t>
      </w:r>
    </w:p>
    <w:p>
      <w:pPr>
        <w:pStyle w:val="ListNumber"/>
        <w:ind w:left="520" w:hanging="280"/>
        <w:spacing w:after="70"/>
      </w:pPr>
      <w:r>
        <w:rPr>
          <w:b/>
          <w:color w:val="0B6B70"/>
        </w:rPr>
        <w:t xml:space="preserve">3. </w:t>
      </w:r>
      <w:r>
        <w:t>contrôle le verrou optimiste ;</w:t>
      </w:r>
    </w:p>
    <w:p>
      <w:pPr>
        <w:pStyle w:val="ListNumber"/>
        <w:ind w:left="520" w:hanging="280"/>
        <w:spacing w:after="70"/>
      </w:pPr>
      <w:r>
        <w:rPr>
          <w:b/>
          <w:color w:val="0B6B70"/>
        </w:rPr>
        <w:t xml:space="preserve">4. </w:t>
      </w:r>
      <w:r>
        <w:t>crée le brouillon depuis l’actif si nécessaire ;</w:t>
      </w:r>
    </w:p>
    <w:p>
      <w:pPr>
        <w:pStyle w:val="ListNumber"/>
        <w:ind w:left="520" w:hanging="280"/>
        <w:spacing w:after="70"/>
      </w:pPr>
      <w:r>
        <w:rPr>
          <w:b/>
          <w:color w:val="0B6B70"/>
        </w:rPr>
        <w:t xml:space="preserve">5. </w:t>
      </w:r>
      <w:r>
        <w:t>valide les trois langues et le profil ;</w:t>
      </w:r>
    </w:p>
    <w:p>
      <w:pPr>
        <w:pStyle w:val="ListNumber"/>
        <w:ind w:left="520" w:hanging="280"/>
        <w:spacing w:after="70"/>
      </w:pPr>
      <w:r>
        <w:rPr>
          <w:b/>
          <w:color w:val="0B6B70"/>
        </w:rPr>
        <w:t xml:space="preserve">6. </w:t>
      </w:r>
      <w:r>
        <w:t xml:space="preserve">interdit toute modification de </w:t>
      </w:r>
      <w:r>
        <w:rPr>
          <w:rFonts w:ascii="Consolas" w:hAnsi="Consolas"/>
          <w:shd w:fill="EEF2F4"/>
        </w:rPr>
        <w:t>prevention_orientation</w:t>
      </w:r>
      <w:r>
        <w:t xml:space="preserve"> ;</w:t>
      </w:r>
    </w:p>
    <w:p>
      <w:pPr>
        <w:pStyle w:val="ListNumber"/>
        <w:ind w:left="520" w:hanging="280"/>
        <w:spacing w:after="70"/>
      </w:pPr>
      <w:r>
        <w:rPr>
          <w:b/>
          <w:color w:val="0B6B70"/>
        </w:rPr>
        <w:t xml:space="preserve">7. </w:t>
      </w:r>
      <w:r>
        <w:t xml:space="preserve">incrémente </w:t>
      </w:r>
      <w:r>
        <w:rPr>
          <w:rFonts w:ascii="Consolas" w:hAnsi="Consolas"/>
          <w:shd w:fill="EEF2F4"/>
        </w:rPr>
        <w:t>lock_version</w:t>
      </w:r>
      <w:r>
        <w:t xml:space="preserve"> ;</w:t>
      </w:r>
    </w:p>
    <w:p>
      <w:pPr>
        <w:pStyle w:val="ListNumber"/>
        <w:ind w:left="520" w:hanging="280"/>
        <w:spacing w:after="70"/>
      </w:pPr>
      <w:r>
        <w:rPr>
          <w:b/>
          <w:color w:val="0B6B70"/>
        </w:rPr>
        <w:t xml:space="preserve">8. </w:t>
      </w:r>
      <w:r>
        <w:t>écrit l’avant/après dans le journal d’audit.</w:t>
      </w:r>
    </w:p>
    <w:p>
      <w:pPr>
        <w:pStyle w:val="Heading3"/>
      </w:pPr>
      <w:r>
        <w:rPr>
          <w:rFonts w:ascii="Consolas" w:hAnsi="Consolas"/>
          <w:shd w:fill="EEF2F4"/>
        </w:rPr>
        <w:t>publish_specialty_catalog_draft(...)</w:t>
      </w:r>
    </w:p>
    <w:p>
      <w:r>
        <w:t>Réservée à Professor. La publication vérifie dans une transaction :</w:t>
      </w:r>
    </w:p>
    <w:p>
      <w:pPr>
        <w:pStyle w:val="ListBullet"/>
        <w:ind w:left="520" w:hanging="280"/>
        <w:spacing w:after="70"/>
      </w:pPr>
      <w:r>
        <w:rPr>
          <w:b/>
          <w:color w:val="0B6B70"/>
        </w:rPr>
        <w:t xml:space="preserve">• </w:t>
      </w:r>
      <w:r>
        <w:t>le verrou du brouillon ;</w:t>
      </w:r>
    </w:p>
    <w:p>
      <w:pPr>
        <w:pStyle w:val="ListBullet"/>
        <w:ind w:left="520" w:hanging="280"/>
        <w:spacing w:after="70"/>
      </w:pPr>
      <w:r>
        <w:rPr>
          <w:b/>
          <w:color w:val="0B6B70"/>
        </w:rPr>
        <w:t xml:space="preserve">• </w:t>
      </w:r>
      <w:r>
        <w:t>la présence exacte des 58 spécialités ;</w:t>
      </w:r>
    </w:p>
    <w:p>
      <w:pPr>
        <w:pStyle w:val="ListBullet"/>
        <w:ind w:left="520" w:hanging="280"/>
        <w:spacing w:after="70"/>
      </w:pPr>
      <w:r>
        <w:rPr>
          <w:b/>
          <w:color w:val="0B6B70"/>
        </w:rPr>
        <w:t xml:space="preserve">• </w:t>
      </w:r>
      <w:r>
        <w:t>la validité de chaque entrée ;</w:t>
      </w:r>
    </w:p>
    <w:p>
      <w:pPr>
        <w:pStyle w:val="ListBullet"/>
        <w:ind w:left="520" w:hanging="280"/>
        <w:spacing w:after="70"/>
      </w:pPr>
      <w:r>
        <w:rPr>
          <w:b/>
          <w:color w:val="0B6B70"/>
        </w:rPr>
        <w:t xml:space="preserve">• </w:t>
      </w:r>
      <w:r>
        <w:t xml:space="preserve">l’absence de changement interdit sur </w:t>
      </w:r>
      <w:r>
        <w:rPr>
          <w:rFonts w:ascii="Consolas" w:hAnsi="Consolas"/>
          <w:shd w:fill="EEF2F4"/>
        </w:rPr>
        <w:t>prevention_orientation</w:t>
      </w:r>
      <w:r>
        <w:t>.</w:t>
      </w:r>
    </w:p>
    <w:p>
      <w:r>
        <w:t>Elle calcule ensuite le checksum, archive l’ancienne version active et active le brouillon. L’opération est atomique : il ne doit jamais exister un catalogue à moitié publié.</w:t>
      </w:r>
    </w:p>
    <w:p>
      <w:pPr>
        <w:pStyle w:val="Heading3"/>
      </w:pPr>
      <w:r>
        <w:rPr>
          <w:rFonts w:ascii="Consolas" w:hAnsi="Consolas"/>
          <w:shd w:fill="EEF2F4"/>
        </w:rPr>
        <w:t>restore_specialty_catalog_version(...)</w:t>
      </w:r>
    </w:p>
    <w:p>
      <w:r>
        <w:t>Réservée à Professor. La restauration ne réécrit pas l’historique. Elle copie un instantané publié antérieur dans une nouvelle révision, archive l’actif courant et publie la copie de façon atomique. Elle ne réactive jamais directement l’ancienne ligne historique.</w:t>
      </w:r>
    </w:p>
    <w:p>
      <w:pPr>
        <w:pStyle w:val="Heading2"/>
      </w:pPr>
      <w:r>
        <w:t>6.4 Soumissions de recherche</w:t>
      </w:r>
    </w:p>
    <w:p>
      <w:pPr>
        <w:pStyle w:val="Heading3"/>
      </w:pPr>
      <w:r>
        <w:rPr>
          <w:rFonts w:ascii="Consolas" w:hAnsi="Consolas"/>
          <w:shd w:fill="EEF2F4"/>
        </w:rPr>
        <w:t>submit_student_response_v1(...)</w:t>
      </w:r>
      <w:r>
        <w:t xml:space="preserve"> et </w:t>
      </w:r>
      <w:r>
        <w:rPr>
          <w:rFonts w:ascii="Consolas" w:hAnsi="Consolas"/>
          <w:shd w:fill="EEF2F4"/>
        </w:rPr>
        <w:t>submit_specialist_response_v1(...)</w:t>
      </w:r>
    </w:p>
    <w:p>
      <w:r>
        <w:t>Fonctions historiques conservées pour compatibilité. Elles valident strictement le payload mais ne demandaient pas initialement l’identifiant de la configuration dynamique.</w:t>
      </w:r>
    </w:p>
    <w:p>
      <w:pPr>
        <w:pStyle w:val="Heading3"/>
      </w:pPr>
      <w:r>
        <w:rPr>
          <w:rFonts w:ascii="Consolas" w:hAnsi="Consolas"/>
          <w:shd w:fill="EEF2F4"/>
        </w:rPr>
        <w:t>submit_student_response_v2(...)</w:t>
      </w:r>
      <w:r>
        <w:t xml:space="preserve"> et </w:t>
      </w:r>
      <w:r>
        <w:rPr>
          <w:rFonts w:ascii="Consolas" w:hAnsi="Consolas"/>
          <w:shd w:fill="EEF2F4"/>
        </w:rPr>
        <w:t>submit_specialist_response_v2(...)</w:t>
      </w:r>
    </w:p>
    <w:p>
      <w:r>
        <w:t xml:space="preserve">Ajoutent </w:t>
      </w:r>
      <w:r>
        <w:rPr>
          <w:rFonts w:ascii="Consolas" w:hAnsi="Consolas"/>
          <w:shd w:fill="EEF2F4"/>
        </w:rPr>
        <w:t>p_specialty_config_version_id</w:t>
      </w:r>
      <w:r>
        <w:t>. La base refuse un identifiant absent ou un instantané qui n’a jamais été publié. La révision correspondante est résolue côté serveur puis enregistrée avec la réponse.</w:t>
      </w:r>
    </w:p>
    <w:p>
      <w:r>
        <w:t>Les fonctions restent idempotentes sur l’UUID de soumission. Un rejeu avec une provenance différente est refusé.</w:t>
      </w:r>
    </w:p>
    <w:p>
      <w:pPr>
        <w:pStyle w:val="Heading3"/>
      </w:pPr>
      <w:r>
        <w:rPr>
          <w:rFonts w:ascii="Consolas" w:hAnsi="Consolas"/>
          <w:shd w:fill="EEF2F4"/>
        </w:rPr>
        <w:t>submit_student_response_v3(...)</w:t>
      </w:r>
    </w:p>
    <w:p>
      <w:r>
        <w:t xml:space="preserve">Point d'entrée courant des étudiants. Il conserve les 81 items et le catalogue de valeurs, accepte uniquement une année d’études facultative comprise entre 1 et 6, impose </w:t>
      </w:r>
      <w:r>
        <w:rPr>
          <w:rFonts w:ascii="Consolas" w:hAnsi="Consolas"/>
          <w:shd w:fill="EEF2F4"/>
        </w:rPr>
        <w:t>client-scoring-v2</w:t>
      </w:r>
      <w:r>
        <w:t xml:space="preserve">, </w:t>
      </w:r>
      <w:r>
        <w:rPr>
          <w:rFonts w:ascii="Consolas" w:hAnsi="Consolas"/>
          <w:shd w:fill="EEF2F4"/>
        </w:rPr>
        <w:t>research-consent-2026-09-04</w:t>
      </w:r>
      <w:r>
        <w:t xml:space="preserve"> et la provenance exacte d'un catalogue publié, puis écrit </w:t>
      </w:r>
      <w:r>
        <w:rPr>
          <w:rFonts w:ascii="Consolas" w:hAnsi="Consolas"/>
          <w:shd w:fill="EEF2F4"/>
        </w:rPr>
        <w:t>submission_schema_version = 2</w:t>
      </w:r>
      <w:r>
        <w:t>. L'UUID fourni par le client reste idempotent : un rejeu strictement identique renvoie le même identifiant, tandis qu'un payload différent avec le même UUID est refusé.</w:t>
      </w:r>
    </w:p>
    <w:p>
      <w:pPr>
        <w:pStyle w:val="Heading3"/>
      </w:pPr>
      <w:r>
        <w:rPr>
          <w:rFonts w:ascii="Consolas" w:hAnsi="Consolas"/>
          <w:shd w:fill="EEF2F4"/>
        </w:rPr>
        <w:t>submit_specialist_response_v3(...)</w:t>
      </w:r>
    </w:p>
    <w:p>
      <w:r>
        <w:t>Point d'entrée courant des spécialistes. Après les 81 notes et les valeurs, il reçoit :</w:t>
      </w:r>
    </w:p>
    <w:p>
      <w:pPr>
        <w:pStyle w:val="ListNumber"/>
        <w:ind w:left="520" w:hanging="280"/>
        <w:spacing w:after="70"/>
      </w:pPr>
      <w:r>
        <w:rPr>
          <w:b/>
          <w:color w:val="0B6B70"/>
        </w:rPr>
        <w:t xml:space="preserve">1. </w:t>
      </w:r>
      <w:r>
        <w:t>la spécialité actuelle ;</w:t>
      </w:r>
    </w:p>
    <w:p>
      <w:pPr>
        <w:pStyle w:val="ListNumber"/>
        <w:ind w:left="520" w:hanging="280"/>
        <w:spacing w:after="70"/>
      </w:pPr>
      <w:r>
        <w:rPr>
          <w:b/>
          <w:color w:val="0B6B70"/>
        </w:rPr>
        <w:t xml:space="preserve">2. </w:t>
      </w:r>
      <w:r>
        <w:t>la manière dont le spécialiste voit aujourd'hui sa spécialité ;</w:t>
      </w:r>
    </w:p>
    <w:p>
      <w:pPr>
        <w:pStyle w:val="ListNumber"/>
        <w:ind w:left="520" w:hanging="280"/>
        <w:spacing w:after="70"/>
      </w:pPr>
      <w:r>
        <w:rPr>
          <w:b/>
          <w:color w:val="0B6B70"/>
        </w:rPr>
        <w:t xml:space="preserve">3. </w:t>
      </w:r>
      <w:r>
        <w:t>ce qui a changé au fil des années ;</w:t>
      </w:r>
    </w:p>
    <w:p>
      <w:pPr>
        <w:pStyle w:val="ListNumber"/>
        <w:ind w:left="520" w:hanging="280"/>
        <w:spacing w:after="70"/>
      </w:pPr>
      <w:r>
        <w:rPr>
          <w:b/>
          <w:color w:val="0B6B70"/>
        </w:rPr>
        <w:t xml:space="preserve">4. </w:t>
      </w:r>
      <w:r>
        <w:t>la qualité la plus importante pour cette spécialité ;</w:t>
      </w:r>
    </w:p>
    <w:p>
      <w:pPr>
        <w:pStyle w:val="ListNumber"/>
        <w:ind w:left="520" w:hanging="280"/>
        <w:spacing w:after="70"/>
      </w:pPr>
      <w:r>
        <w:rPr>
          <w:b/>
          <w:color w:val="0B6B70"/>
        </w:rPr>
        <w:t xml:space="preserve">5. </w:t>
      </w:r>
      <w:r>
        <w:t xml:space="preserve">le choix </w:t>
      </w:r>
      <w:r>
        <w:rPr>
          <w:rFonts w:ascii="Consolas" w:hAnsi="Consolas"/>
          <w:shd w:fill="EEF2F4"/>
        </w:rPr>
        <w:t>yes</w:t>
      </w:r>
      <w:r>
        <w:t xml:space="preserve"> ou </w:t>
      </w:r>
      <w:r>
        <w:rPr>
          <w:rFonts w:ascii="Consolas" w:hAnsi="Consolas"/>
          <w:shd w:fill="EEF2F4"/>
        </w:rPr>
        <w:t>no</w:t>
      </w:r>
      <w:r>
        <w:t xml:space="preserve"> de refaire la même spécialité, avec une justification obligatoire seulement pour </w:t>
      </w:r>
      <w:r>
        <w:rPr>
          <w:rFonts w:ascii="Consolas" w:hAnsi="Consolas"/>
          <w:shd w:fill="EEF2F4"/>
        </w:rPr>
        <w:t>no</w:t>
      </w:r>
      <w:r>
        <w:t xml:space="preserve"> ;</w:t>
      </w:r>
    </w:p>
    <w:p>
      <w:pPr>
        <w:pStyle w:val="ListNumber"/>
        <w:ind w:left="520" w:hanging="280"/>
        <w:spacing w:after="70"/>
      </w:pPr>
      <w:r>
        <w:rPr>
          <w:b/>
          <w:color w:val="0B6B70"/>
        </w:rPr>
        <w:t xml:space="preserve">6. </w:t>
      </w:r>
      <w:r>
        <w:t>la question qu'un étudiant devrait se poser avant de choisir cette spécialité.</w:t>
      </w:r>
    </w:p>
    <w:p>
      <w:r>
        <w:t xml:space="preserve">La fonction normalise les espaces périphériques, vérifie les longueurs et le caractère conditionnel de la justification, exige </w:t>
      </w:r>
      <w:r>
        <w:rPr>
          <w:rFonts w:ascii="Consolas" w:hAnsi="Consolas"/>
          <w:shd w:fill="EEF2F4"/>
        </w:rPr>
        <w:t>calibration-v2-qualitative</w:t>
      </w:r>
      <w:r>
        <w:t xml:space="preserve">, </w:t>
      </w:r>
      <w:r>
        <w:rPr>
          <w:rFonts w:ascii="Consolas" w:hAnsi="Consolas"/>
          <w:shd w:fill="EEF2F4"/>
        </w:rPr>
        <w:t>research-consent-2026-09-04</w:t>
      </w:r>
      <w:r>
        <w:t xml:space="preserve"> et une provenance publiée, puis écrit une ligne de schéma 2. Les anciens champs d'expérience, satisfaction, intention de changement et caractère volontaire sont volontairement écrits à </w:t>
      </w:r>
      <w:r>
        <w:rPr>
          <w:rFonts w:ascii="Consolas" w:hAnsi="Consolas"/>
          <w:shd w:fill="EEF2F4"/>
        </w:rPr>
        <w:t>NULL</w:t>
      </w:r>
      <w:r>
        <w:t>.</w:t>
      </w:r>
    </w:p>
    <w:p>
      <w:r>
        <w:t xml:space="preserve">Les façades </w:t>
      </w:r>
      <w:r>
        <w:rPr>
          <w:rFonts w:ascii="Consolas" w:hAnsi="Consolas"/>
          <w:shd w:fill="EEF2F4"/>
        </w:rPr>
        <w:t>public.*_v3</w:t>
      </w:r>
      <w:r>
        <w:t xml:space="preserve"> sont exécutables par </w:t>
      </w:r>
      <w:r>
        <w:rPr>
          <w:rFonts w:ascii="Consolas" w:hAnsi="Consolas"/>
          <w:shd w:fill="EEF2F4"/>
        </w:rPr>
        <w:t>anon</w:t>
      </w:r>
      <w:r>
        <w:t xml:space="preserve"> et </w:t>
      </w:r>
      <w:r>
        <w:rPr>
          <w:rFonts w:ascii="Consolas" w:hAnsi="Consolas"/>
          <w:shd w:fill="EEF2F4"/>
        </w:rPr>
        <w:t>authenticated</w:t>
      </w:r>
      <w:r>
        <w:t xml:space="preserve">. Elles délèguent aux implémentations </w:t>
      </w:r>
      <w:r>
        <w:rPr>
          <w:rFonts w:ascii="Consolas" w:hAnsi="Consolas"/>
          <w:shd w:fill="EEF2F4"/>
        </w:rPr>
        <w:t>private.*_v3</w:t>
      </w:r>
      <w:r>
        <w:t>, auxquelles ces rôles n'ont aucun droit direct.</w:t>
      </w:r>
    </w:p>
    <w:p>
      <w:pPr>
        <w:pStyle w:val="Heading2"/>
      </w:pPr>
      <w:r>
        <w:t>6.5 Consultation et export des réponses qualitatives</w:t>
      </w:r>
    </w:p>
    <w:p>
      <w:r>
        <w:t>Les comptes allowlistés disposant du droit de recherche peuvent :</w:t>
      </w:r>
    </w:p>
    <w:p>
      <w:pPr>
        <w:pStyle w:val="ListBullet"/>
        <w:ind w:left="520" w:hanging="280"/>
        <w:spacing w:after="70"/>
      </w:pPr>
      <w:r>
        <w:rPr>
          <w:b/>
          <w:color w:val="0B6B70"/>
        </w:rPr>
        <w:t xml:space="preserve">• </w:t>
      </w:r>
      <w:r>
        <w:t>filtrer les spécialistes selon la complétude de l'entretien qualitatif ;</w:t>
      </w:r>
    </w:p>
    <w:p>
      <w:pPr>
        <w:pStyle w:val="ListBullet"/>
        <w:ind w:left="520" w:hanging="280"/>
        <w:spacing w:after="70"/>
      </w:pPr>
      <w:r>
        <w:rPr>
          <w:b/>
          <w:color w:val="0B6B70"/>
        </w:rPr>
        <w:t xml:space="preserve">• </w:t>
      </w:r>
      <w:r>
        <w:t>prévisualiser la réponse sur la perception actuelle dans la liste ;</w:t>
      </w:r>
    </w:p>
    <w:p>
      <w:pPr>
        <w:pStyle w:val="ListBullet"/>
        <w:ind w:left="520" w:hanging="280"/>
        <w:spacing w:after="70"/>
      </w:pPr>
      <w:r>
        <w:rPr>
          <w:b/>
          <w:color w:val="0B6B70"/>
        </w:rPr>
        <w:t xml:space="preserve">• </w:t>
      </w:r>
      <w:r>
        <w:t>ouvrir le détail d'une réponse et lire les cinq réponses dans leur intégralité ;</w:t>
      </w:r>
    </w:p>
    <w:p>
      <w:pPr>
        <w:pStyle w:val="ListBullet"/>
        <w:ind w:left="520" w:hanging="280"/>
        <w:spacing w:after="70"/>
      </w:pPr>
      <w:r>
        <w:rPr>
          <w:b/>
          <w:color w:val="0B6B70"/>
        </w:rPr>
        <w:t xml:space="preserve">• </w:t>
      </w:r>
      <w:r>
        <w:t>exporter les colonnes qualitatives en JSON ou dans les CSV large, long et analytique ;</w:t>
      </w:r>
    </w:p>
    <w:p>
      <w:pPr>
        <w:pStyle w:val="ListBullet"/>
        <w:ind w:left="520" w:hanging="280"/>
        <w:spacing w:after="70"/>
      </w:pPr>
      <w:r>
        <w:rPr>
          <w:b/>
          <w:color w:val="0B6B70"/>
        </w:rPr>
        <w:t xml:space="preserve">• </w:t>
      </w:r>
      <w:r>
        <w:t>consulter séparément les anciens champs pour les lignes antérieures au schéma 2.</w:t>
      </w:r>
    </w:p>
    <w:p>
      <w:r>
        <w:t>La recherche, la pagination et l'export passent par les politiques RLS existantes. Les cellules CSV commençant comme une formule de tableur sont préfixées afin de limiter l'injection de formules lors de l'ouverture dans Excel ou un logiciel équivalent.</w:t>
      </w:r>
    </w:p>
    <w:p>
      <w:pPr>
        <w:pStyle w:val="Heading1"/>
      </w:pPr>
      <w:r>
        <w:t>7. Matrice des permissions</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1566"/>
        <w:gridCol w:w="1566"/>
        <w:gridCol w:w="1566"/>
        <w:gridCol w:w="1566"/>
        <w:gridCol w:w="1566"/>
        <w:gridCol w:w="1566"/>
      </w:tblGrid>
      <w:tr>
        <w:trPr>
          <w:tblHeader/>
        </w:trPr>
        <w:tc>
          <w:tcPr>
            <w:shd w:fill="0B6B70"/>
          </w:tcPr>
          <w:p>
            <w:pPr>
              <w:pStyle w:val="TableHeader"/>
              <w:spacing w:after="0"/>
            </w:pPr>
            <w:r>
              <w:rPr>
                <w:b/>
                <w:color w:val="FFFFFF"/>
                <w:sz w:val="18"/>
                <w:szCs w:val="18"/>
              </w:rPr>
              <w:t>Opération</w:t>
            </w:r>
          </w:p>
        </w:tc>
        <w:tc>
          <w:tcPr>
            <w:shd w:fill="0B6B70"/>
          </w:tcPr>
          <w:p>
            <w:pPr>
              <w:pStyle w:val="TableHeader"/>
              <w:spacing w:after="0"/>
            </w:pPr>
            <w:r>
              <w:rPr>
                <w:b/>
                <w:color w:val="FFFFFF"/>
                <w:sz w:val="18"/>
                <w:szCs w:val="18"/>
              </w:rPr>
              <w:t>`anon`</w:t>
            </w:r>
          </w:p>
        </w:tc>
        <w:tc>
          <w:tcPr>
            <w:shd w:fill="0B6B70"/>
          </w:tcPr>
          <w:p>
            <w:pPr>
              <w:pStyle w:val="TableHeader"/>
              <w:spacing w:after="0"/>
            </w:pPr>
            <w:r>
              <w:rPr>
                <w:b/>
                <w:color w:val="FFFFFF"/>
                <w:sz w:val="18"/>
                <w:szCs w:val="18"/>
              </w:rPr>
              <w:t>Auth ordinaire</w:t>
            </w:r>
          </w:p>
        </w:tc>
        <w:tc>
          <w:tcPr>
            <w:shd w:fill="0B6B70"/>
          </w:tcPr>
          <w:p>
            <w:pPr>
              <w:pStyle w:val="TableHeader"/>
              <w:spacing w:after="0"/>
            </w:pPr>
            <w:r>
              <w:rPr>
                <w:b/>
                <w:color w:val="FFFFFF"/>
                <w:sz w:val="18"/>
                <w:szCs w:val="18"/>
              </w:rPr>
              <w:t>Researcher</w:t>
            </w:r>
          </w:p>
        </w:tc>
        <w:tc>
          <w:tcPr>
            <w:shd w:fill="0B6B70"/>
          </w:tcPr>
          <w:p>
            <w:pPr>
              <w:pStyle w:val="TableHeader"/>
              <w:spacing w:after="0"/>
            </w:pPr>
            <w:r>
              <w:rPr>
                <w:b/>
                <w:color w:val="FFFFFF"/>
                <w:sz w:val="18"/>
                <w:szCs w:val="18"/>
              </w:rPr>
              <w:t>Doctor</w:t>
            </w:r>
          </w:p>
        </w:tc>
        <w:tc>
          <w:tcPr>
            <w:shd w:fill="0B6B70"/>
          </w:tcPr>
          <w:p>
            <w:pPr>
              <w:pStyle w:val="TableHeader"/>
              <w:spacing w:after="0"/>
            </w:pPr>
            <w:r>
              <w:rPr>
                <w:b/>
                <w:color w:val="FFFFFF"/>
                <w:sz w:val="18"/>
                <w:szCs w:val="18"/>
              </w:rPr>
              <w:t>Professor</w:t>
            </w:r>
          </w:p>
        </w:tc>
      </w:tr>
      <w:tr>
        <w:tc>
          <w:tcPr>
            <w:shd w:fill="FFFFFF"/>
          </w:tcPr>
          <w:p>
            <w:pPr>
              <w:pStyle w:val="TableText"/>
              <w:spacing w:after="0"/>
            </w:pPr>
            <w:r>
              <w:t>Lire le catalogue actif</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Soumettre une réponse v1/v2/v3</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les réponses de recherche</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Lire/exporter les verbatims spécialistes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Lire le brouillon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Modifier le brouillon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c>
          <w:tcPr>
            <w:shd w:fill="F5F8F8"/>
          </w:tcPr>
          <w:p>
            <w:pPr>
              <w:pStyle w:val="TableText"/>
              <w:spacing w:after="0"/>
            </w:pPr>
            <w:r>
              <w:t>Oui</w:t>
            </w:r>
          </w:p>
        </w:tc>
      </w:tr>
      <w:tr>
        <w:tc>
          <w:tcPr>
            <w:shd w:fill="FFFFFF"/>
          </w:tcPr>
          <w:p>
            <w:pPr>
              <w:pStyle w:val="TableText"/>
              <w:spacing w:after="0"/>
            </w:pPr>
            <w:r>
              <w:t>Consulter l’historique éditorial</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c>
          <w:tcPr>
            <w:shd w:fill="FFFFFF"/>
          </w:tcPr>
          <w:p>
            <w:pPr>
              <w:pStyle w:val="TableText"/>
              <w:spacing w:after="0"/>
            </w:pPr>
            <w:r>
              <w:t>Oui</w:t>
            </w:r>
          </w:p>
        </w:tc>
      </w:tr>
      <w:tr>
        <w:tc>
          <w:tcPr>
            <w:shd w:fill="F5F8F8"/>
          </w:tcPr>
          <w:p>
            <w:pPr>
              <w:pStyle w:val="TableText"/>
              <w:spacing w:after="0"/>
            </w:pPr>
            <w:r>
              <w:t>Publier une version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Oui</w:t>
            </w:r>
          </w:p>
        </w:tc>
      </w:tr>
      <w:tr>
        <w:tc>
          <w:tcPr>
            <w:shd w:fill="FFFFFF"/>
          </w:tcPr>
          <w:p>
            <w:pPr>
              <w:pStyle w:val="TableText"/>
              <w:spacing w:after="0"/>
            </w:pPr>
            <w:r>
              <w:t>Demander une restauration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Oui</w:t>
            </w:r>
          </w:p>
        </w:tc>
      </w:tr>
      <w:tr>
        <w:tc>
          <w:tcPr>
            <w:shd w:fill="F5F8F8"/>
          </w:tcPr>
          <w:p>
            <w:pPr>
              <w:pStyle w:val="TableText"/>
              <w:spacing w:after="0"/>
            </w:pPr>
            <w:r>
              <w:t>Écrire directement dans les tables privées</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c>
          <w:tcPr>
            <w:shd w:fill="F5F8F8"/>
          </w:tcPr>
          <w:p>
            <w:pPr>
              <w:pStyle w:val="TableText"/>
              <w:spacing w:after="0"/>
            </w:pPr>
            <w:r>
              <w:t>Non</w:t>
            </w:r>
          </w:p>
        </w:tc>
      </w:tr>
      <w:tr>
        <w:tc>
          <w:tcPr>
            <w:shd w:fill="FFFFFF"/>
          </w:tcPr>
          <w:p>
            <w:pPr>
              <w:pStyle w:val="TableText"/>
              <w:spacing w:after="0"/>
            </w:pPr>
            <w:r>
              <w:t>Modifier/supprimer directement les réponses</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c>
          <w:tcPr>
            <w:shd w:fill="FFFFFF"/>
          </w:tcPr>
          <w:p>
            <w:pPr>
              <w:pStyle w:val="TableText"/>
              <w:spacing w:after="0"/>
            </w:pPr>
            <w:r>
              <w:t>Non</w:t>
            </w:r>
          </w:p>
        </w:tc>
      </w:tr>
    </w:tbl>
    <w:p>
      <w:pPr>
        <w:spacing w:after="80"/>
      </w:pPr>
    </w:p>
    <w:p>
      <w:r>
        <w:t>Un administrateur serveur PostgreSQL conserve les capacités opérationnelles normales, mais celles-ci ne sont jamais accordées au navigateur.</w:t>
      </w:r>
    </w:p>
    <w:p>
      <w:pPr>
        <w:pStyle w:val="Heading1"/>
      </w:pPr>
      <w:r>
        <w:t>8. Workflow Doctor → Professor</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Catalogue actif immuable</w:t>
      </w:r>
      <w:r>
        <w:br/>
      </w:r>
      <w:r>
        <w:rPr>
          <w:rFonts w:ascii="Consolas" w:hAnsi="Consolas"/>
          <w:shd w:fill="EEF2F4"/>
          <w:sz w:val="18"/>
          <w:szCs w:val="18"/>
        </w:rPr>
        <w:t xml:space="preserve">        │</w:t>
      </w:r>
      <w:r>
        <w:br/>
      </w:r>
      <w:r>
        <w:rPr>
          <w:rFonts w:ascii="Consolas" w:hAnsi="Consolas"/>
          <w:shd w:fill="EEF2F4"/>
          <w:sz w:val="18"/>
          <w:szCs w:val="18"/>
        </w:rPr>
        <w:t xml:space="preserve">        │ première modification documentée</w:t>
      </w:r>
      <w:r>
        <w:br/>
      </w:r>
      <w:r>
        <w:rPr>
          <w:rFonts w:ascii="Consolas" w:hAnsi="Consolas"/>
          <w:shd w:fill="EEF2F4"/>
          <w:sz w:val="18"/>
          <w:szCs w:val="18"/>
        </w:rPr>
        <w:t xml:space="preserve">        ▼</w:t>
      </w:r>
      <w:r>
        <w:br/>
      </w:r>
      <w:r>
        <w:rPr>
          <w:rFonts w:ascii="Consolas" w:hAnsi="Consolas"/>
          <w:shd w:fill="EEF2F4"/>
          <w:sz w:val="18"/>
          <w:szCs w:val="18"/>
        </w:rPr>
        <w:t>Brouillon unique créé depuis l’actif</w:t>
      </w:r>
      <w:r>
        <w:br/>
      </w:r>
      <w:r>
        <w:rPr>
          <w:rFonts w:ascii="Consolas" w:hAnsi="Consolas"/>
          <w:shd w:fill="EEF2F4"/>
          <w:sz w:val="18"/>
          <w:szCs w:val="18"/>
        </w:rPr>
        <w:t xml:space="preserve">        │</w:t>
      </w:r>
      <w:r>
        <w:br/>
      </w:r>
      <w:r>
        <w:rPr>
          <w:rFonts w:ascii="Consolas" w:hAnsi="Consolas"/>
          <w:shd w:fill="EEF2F4"/>
          <w:sz w:val="18"/>
          <w:szCs w:val="18"/>
        </w:rPr>
        <w:t xml:space="preserve">        ├── Doctor : édite contenus et poids, ajoute une justification</w:t>
      </w:r>
      <w:r>
        <w:br/>
      </w:r>
      <w:r>
        <w:rPr>
          <w:rFonts w:ascii="Consolas" w:hAnsi="Consolas"/>
          <w:shd w:fill="EEF2F4"/>
          <w:sz w:val="18"/>
          <w:szCs w:val="18"/>
        </w:rPr>
        <w:t xml:space="preserve">        ├── Professor : peut effectuer les mêmes éditions</w:t>
      </w:r>
      <w:r>
        <w:br/>
      </w:r>
      <w:r>
        <w:rPr>
          <w:rFonts w:ascii="Consolas" w:hAnsi="Consolas"/>
          <w:shd w:fill="EEF2F4"/>
          <w:sz w:val="18"/>
          <w:szCs w:val="18"/>
        </w:rPr>
        <w:t xml:space="preserve">        └── chaque sauvegarde : validation + lock_version + audit avant/après</w:t>
      </w:r>
      <w:r>
        <w:br/>
      </w:r>
      <w:r>
        <w:rPr>
          <w:rFonts w:ascii="Consolas" w:hAnsi="Consolas"/>
          <w:shd w:fill="EEF2F4"/>
          <w:sz w:val="18"/>
          <w:szCs w:val="18"/>
        </w:rPr>
        <w:t xml:space="preserve">        │</w:t>
      </w:r>
      <w:r>
        <w:br/>
      </w:r>
      <w:r>
        <w:rPr>
          <w:rFonts w:ascii="Consolas" w:hAnsi="Consolas"/>
          <w:shd w:fill="EEF2F4"/>
          <w:sz w:val="18"/>
          <w:szCs w:val="18"/>
        </w:rPr>
        <w:t xml:space="preserve">        ▼</w:t>
      </w:r>
      <w:r>
        <w:br/>
      </w:r>
      <w:r>
        <w:rPr>
          <w:rFonts w:ascii="Consolas" w:hAnsi="Consolas"/>
          <w:shd w:fill="EEF2F4"/>
          <w:sz w:val="18"/>
          <w:szCs w:val="18"/>
        </w:rPr>
        <w:t>Relecture scientifique et éditoriale</w:t>
      </w:r>
      <w:r>
        <w:br/>
      </w:r>
      <w:r>
        <w:rPr>
          <w:rFonts w:ascii="Consolas" w:hAnsi="Consolas"/>
          <w:shd w:fill="EEF2F4"/>
          <w:sz w:val="18"/>
          <w:szCs w:val="18"/>
        </w:rPr>
        <w:t xml:space="preserve">        │</w:t>
      </w:r>
      <w:r>
        <w:br/>
      </w:r>
      <w:r>
        <w:rPr>
          <w:rFonts w:ascii="Consolas" w:hAnsi="Consolas"/>
          <w:shd w:fill="EEF2F4"/>
          <w:sz w:val="18"/>
          <w:szCs w:val="18"/>
        </w:rPr>
        <w:t xml:space="preserve">        │ Professor uniquement</w:t>
      </w:r>
      <w:r>
        <w:br/>
      </w:r>
      <w:r>
        <w:rPr>
          <w:rFonts w:ascii="Consolas" w:hAnsi="Consolas"/>
          <w:shd w:fill="EEF2F4"/>
          <w:sz w:val="18"/>
          <w:szCs w:val="18"/>
        </w:rPr>
        <w:t xml:space="preserve">        ▼</w:t>
      </w:r>
      <w:r>
        <w:br/>
      </w:r>
      <w:r>
        <w:rPr>
          <w:rFonts w:ascii="Consolas" w:hAnsi="Consolas"/>
          <w:shd w:fill="EEF2F4"/>
          <w:sz w:val="18"/>
          <w:szCs w:val="18"/>
        </w:rPr>
        <w:t>Publication atomique</w:t>
      </w:r>
      <w:r>
        <w:br/>
      </w:r>
      <w:r>
        <w:rPr>
          <w:rFonts w:ascii="Consolas" w:hAnsi="Consolas"/>
          <w:shd w:fill="EEF2F4"/>
          <w:sz w:val="18"/>
          <w:szCs w:val="18"/>
        </w:rPr>
        <w:t xml:space="preserve">        ├── ancien actif → archived</w:t>
      </w:r>
      <w:r>
        <w:br/>
      </w:r>
      <w:r>
        <w:rPr>
          <w:rFonts w:ascii="Consolas" w:hAnsi="Consolas"/>
          <w:shd w:fill="EEF2F4"/>
          <w:sz w:val="18"/>
          <w:szCs w:val="18"/>
        </w:rPr>
        <w:t xml:space="preserve">        ├── brouillon → active</w:t>
      </w:r>
      <w:r>
        <w:br/>
      </w:r>
      <w:r>
        <w:rPr>
          <w:rFonts w:ascii="Consolas" w:hAnsi="Consolas"/>
          <w:shd w:fill="EEF2F4"/>
          <w:sz w:val="18"/>
          <w:szCs w:val="18"/>
        </w:rPr>
        <w:t xml:space="preserve">        ├── checksum calculé</w:t>
      </w:r>
      <w:r>
        <w:br/>
      </w:r>
      <w:r>
        <w:rPr>
          <w:rFonts w:ascii="Consolas" w:hAnsi="Consolas"/>
          <w:shd w:fill="EEF2F4"/>
          <w:sz w:val="18"/>
          <w:szCs w:val="18"/>
        </w:rPr>
        <w:t xml:space="preserve">        └── événement d’audit publié</w:t>
      </w:r>
    </w:p>
    <w:p>
      <w:pPr>
        <w:pStyle w:val="Heading2"/>
      </w:pPr>
      <w:r>
        <w:t>8.1 Concurrence</w:t>
      </w:r>
    </w:p>
    <w:p>
      <w:r>
        <w:t xml:space="preserve">Le client relit </w:t>
      </w:r>
      <w:r>
        <w:rPr>
          <w:rFonts w:ascii="Consolas" w:hAnsi="Consolas"/>
          <w:shd w:fill="EEF2F4"/>
        </w:rPr>
        <w:t>lock_version</w:t>
      </w:r>
      <w:r>
        <w:t xml:space="preserve"> avant une sauvegarde ou une publication. Si un autre éditeur a modifié le brouillon entre-temps, PostgreSQL renvoie un conflit de sérialisation. L’éditeur doit recharger le brouillon et réappliquer consciemment sa modification.</w:t>
      </w:r>
    </w:p>
    <w:p>
      <w:pPr>
        <w:pStyle w:val="Heading2"/>
      </w:pPr>
      <w:r>
        <w:t>8.2 Justification</w:t>
      </w:r>
    </w:p>
    <w:p>
      <w:r>
        <w:t>Chaque sauvegarde, publication ou restauration exige une note de 3 à 1 000 caractères. Une bonne note doit préciser :</w:t>
      </w:r>
    </w:p>
    <w:p>
      <w:pPr>
        <w:pStyle w:val="ListBullet"/>
        <w:ind w:left="520" w:hanging="280"/>
        <w:spacing w:after="70"/>
      </w:pPr>
      <w:r>
        <w:rPr>
          <w:b/>
          <w:color w:val="0B6B70"/>
        </w:rPr>
        <w:t xml:space="preserve">• </w:t>
      </w:r>
      <w:r>
        <w:t>la source clinique ou scientifique ;</w:t>
      </w:r>
    </w:p>
    <w:p>
      <w:pPr>
        <w:pStyle w:val="ListBullet"/>
        <w:ind w:left="520" w:hanging="280"/>
        <w:spacing w:after="70"/>
      </w:pPr>
      <w:r>
        <w:rPr>
          <w:b/>
          <w:color w:val="0B6B70"/>
        </w:rPr>
        <w:t xml:space="preserve">• </w:t>
      </w:r>
      <w:r>
        <w:t>l’hypothèse testée ;</w:t>
      </w:r>
    </w:p>
    <w:p>
      <w:pPr>
        <w:pStyle w:val="ListBullet"/>
        <w:ind w:left="520" w:hanging="280"/>
        <w:spacing w:after="70"/>
      </w:pPr>
      <w:r>
        <w:rPr>
          <w:b/>
          <w:color w:val="0B6B70"/>
        </w:rPr>
        <w:t xml:space="preserve">• </w:t>
      </w:r>
      <w:r>
        <w:t>la population concernée ;</w:t>
      </w:r>
    </w:p>
    <w:p>
      <w:pPr>
        <w:pStyle w:val="ListBullet"/>
        <w:ind w:left="520" w:hanging="280"/>
        <w:spacing w:after="70"/>
      </w:pPr>
      <w:r>
        <w:rPr>
          <w:b/>
          <w:color w:val="0B6B70"/>
        </w:rPr>
        <w:t xml:space="preserve">• </w:t>
      </w:r>
      <w:r>
        <w:t>la raison d’un changement de poids ;</w:t>
      </w:r>
    </w:p>
    <w:p>
      <w:pPr>
        <w:pStyle w:val="ListBullet"/>
        <w:ind w:left="520" w:hanging="280"/>
        <w:spacing w:after="70"/>
      </w:pPr>
      <w:r>
        <w:rPr>
          <w:b/>
          <w:color w:val="0B6B70"/>
        </w:rPr>
        <w:t xml:space="preserve">• </w:t>
      </w:r>
      <w:r>
        <w:t>la personne ayant relu le changement lorsque nécessaire.</w:t>
      </w:r>
    </w:p>
    <w:p>
      <w:pPr>
        <w:pStyle w:val="Heading1"/>
      </w:pPr>
      <w:r>
        <w:t>9. Sécurité RLS et validation côté serveur</w:t>
      </w:r>
    </w:p>
    <w:p>
      <w:pPr>
        <w:pStyle w:val="Heading2"/>
      </w:pPr>
      <w:r>
        <w:t>9.1 Tables privées</w:t>
      </w:r>
    </w:p>
    <w:p>
      <w:r>
        <w:t>RLS est activée sur :</w:t>
      </w:r>
    </w:p>
    <w:p>
      <w:pPr>
        <w:pStyle w:val="ListBullet"/>
        <w:ind w:left="520" w:hanging="280"/>
        <w:spacing w:after="70"/>
      </w:pPr>
      <w:r>
        <w:rPr>
          <w:b/>
          <w:color w:val="0B6B70"/>
        </w:rPr>
        <w:t xml:space="preserve">• </w:t>
      </w:r>
      <w:r>
        <w:rPr>
          <w:rFonts w:ascii="Consolas" w:hAnsi="Consolas"/>
          <w:shd w:fill="EEF2F4"/>
        </w:rPr>
        <w:t>private.trait_catalog</w:t>
      </w:r>
      <w:r>
        <w:t xml:space="preserve"> ;</w:t>
      </w:r>
    </w:p>
    <w:p>
      <w:pPr>
        <w:pStyle w:val="ListBullet"/>
        <w:ind w:left="520" w:hanging="280"/>
        <w:spacing w:after="70"/>
      </w:pPr>
      <w:r>
        <w:rPr>
          <w:b/>
          <w:color w:val="0B6B70"/>
        </w:rPr>
        <w:t xml:space="preserve">• </w:t>
      </w:r>
      <w:r>
        <w:rPr>
          <w:rFonts w:ascii="Consolas" w:hAnsi="Consolas"/>
          <w:shd w:fill="EEF2F4"/>
        </w:rPr>
        <w:t>private.specialty_catalog_versions</w:t>
      </w:r>
      <w:r>
        <w:t xml:space="preserve"> ;</w:t>
      </w:r>
    </w:p>
    <w:p>
      <w:pPr>
        <w:pStyle w:val="ListBullet"/>
        <w:ind w:left="520" w:hanging="280"/>
        <w:spacing w:after="70"/>
      </w:pPr>
      <w:r>
        <w:rPr>
          <w:b/>
          <w:color w:val="0B6B70"/>
        </w:rPr>
        <w:t xml:space="preserve">• </w:t>
      </w:r>
      <w:r>
        <w:rPr>
          <w:rFonts w:ascii="Consolas" w:hAnsi="Consolas"/>
          <w:shd w:fill="EEF2F4"/>
        </w:rPr>
        <w:t>private.specialty_catalog_entries</w:t>
      </w:r>
      <w:r>
        <w:t xml:space="preserve"> ;</w:t>
      </w:r>
    </w:p>
    <w:p>
      <w:pPr>
        <w:pStyle w:val="ListBullet"/>
        <w:ind w:left="520" w:hanging="280"/>
        <w:spacing w:after="70"/>
      </w:pPr>
      <w:r>
        <w:rPr>
          <w:b/>
          <w:color w:val="0B6B70"/>
        </w:rPr>
        <w:t xml:space="preserve">• </w:t>
      </w:r>
      <w:r>
        <w:rPr>
          <w:rFonts w:ascii="Consolas" w:hAnsi="Consolas"/>
          <w:shd w:fill="EEF2F4"/>
        </w:rPr>
        <w:t>private.specialty_catalog_audit</w:t>
      </w:r>
      <w:r>
        <w:t>.</w:t>
      </w:r>
    </w:p>
    <w:p>
      <w:r>
        <w:t xml:space="preserve">Tous les privilèges directs sont révoqués pour </w:t>
      </w:r>
      <w:r>
        <w:rPr>
          <w:rFonts w:ascii="Consolas" w:hAnsi="Consolas"/>
          <w:shd w:fill="EEF2F4"/>
        </w:rPr>
        <w:t>PUBLIC</w:t>
      </w:r>
      <w:r>
        <w:t xml:space="preserve">, </w:t>
      </w:r>
      <w:r>
        <w:rPr>
          <w:rFonts w:ascii="Consolas" w:hAnsi="Consolas"/>
          <w:shd w:fill="EEF2F4"/>
        </w:rPr>
        <w:t>anon</w:t>
      </w:r>
      <w:r>
        <w:t xml:space="preserve"> et </w:t>
      </w:r>
      <w:r>
        <w:rPr>
          <w:rFonts w:ascii="Consolas" w:hAnsi="Consolas"/>
          <w:shd w:fill="EEF2F4"/>
        </w:rPr>
        <w:t>authenticated</w:t>
      </w:r>
      <w:r>
        <w:t>. Une politique frontend permissive ajoutée par erreur ne suffit donc pas à exposer ces tables.</w:t>
      </w:r>
    </w:p>
    <w:p>
      <w:pPr>
        <w:pStyle w:val="Heading2"/>
      </w:pPr>
      <w:r>
        <w:t xml:space="preserve">9.2 Fonctions </w:t>
      </w:r>
      <w:r>
        <w:rPr>
          <w:rFonts w:ascii="Consolas" w:hAnsi="Consolas"/>
          <w:shd w:fill="EEF2F4"/>
        </w:rPr>
        <w:t>SECURITY DEFINER</w:t>
      </w:r>
    </w:p>
    <w:p>
      <w:r>
        <w:t>Les RPC publiques sensibles utilisent :</w:t>
      </w:r>
    </w:p>
    <w:p>
      <w:pPr>
        <w:pStyle w:val="ListBullet"/>
        <w:ind w:left="520" w:hanging="280"/>
        <w:spacing w:after="70"/>
      </w:pPr>
      <w:r>
        <w:rPr>
          <w:b/>
          <w:color w:val="0B6B70"/>
        </w:rPr>
        <w:t xml:space="preserve">• </w:t>
      </w:r>
      <w:r>
        <w:rPr>
          <w:rFonts w:ascii="Consolas" w:hAnsi="Consolas"/>
          <w:shd w:fill="EEF2F4"/>
        </w:rPr>
        <w:t>SECURITY DEFINER</w:t>
      </w:r>
      <w:r>
        <w:t xml:space="preserve"> ;</w:t>
      </w:r>
    </w:p>
    <w:p>
      <w:pPr>
        <w:pStyle w:val="ListBullet"/>
        <w:ind w:left="520" w:hanging="280"/>
        <w:spacing w:after="70"/>
      </w:pPr>
      <w:r>
        <w:rPr>
          <w:b/>
          <w:color w:val="0B6B70"/>
        </w:rPr>
        <w:t xml:space="preserve">• </w:t>
      </w:r>
      <w:r>
        <w:rPr>
          <w:rFonts w:ascii="Consolas" w:hAnsi="Consolas"/>
          <w:shd w:fill="EEF2F4"/>
        </w:rPr>
        <w:t>SET search_path = ''</w:t>
      </w:r>
      <w:r>
        <w:t xml:space="preserve"> ;</w:t>
      </w:r>
    </w:p>
    <w:p>
      <w:pPr>
        <w:pStyle w:val="ListBullet"/>
        <w:ind w:left="520" w:hanging="280"/>
        <w:spacing w:after="70"/>
      </w:pPr>
      <w:r>
        <w:rPr>
          <w:b/>
          <w:color w:val="0B6B70"/>
        </w:rPr>
        <w:t xml:space="preserve">• </w:t>
      </w:r>
      <w:r>
        <w:t>des noms de schéma qualifiés ;</w:t>
      </w:r>
    </w:p>
    <w:p>
      <w:pPr>
        <w:pStyle w:val="ListBullet"/>
        <w:ind w:left="520" w:hanging="280"/>
        <w:spacing w:after="70"/>
      </w:pPr>
      <w:r>
        <w:rPr>
          <w:b/>
          <w:color w:val="0B6B70"/>
        </w:rPr>
        <w:t xml:space="preserve">• </w:t>
      </w:r>
      <w:r>
        <w:rPr>
          <w:rFonts w:ascii="Consolas" w:hAnsi="Consolas"/>
          <w:shd w:fill="EEF2F4"/>
        </w:rPr>
        <w:t>auth.uid()</w:t>
      </w:r>
      <w:r>
        <w:t xml:space="preserve"> résolu côté serveur ;</w:t>
      </w:r>
    </w:p>
    <w:p>
      <w:pPr>
        <w:pStyle w:val="ListBullet"/>
        <w:ind w:left="520" w:hanging="280"/>
        <w:spacing w:after="70"/>
      </w:pPr>
      <w:r>
        <w:rPr>
          <w:b/>
          <w:color w:val="0B6B70"/>
        </w:rPr>
        <w:t xml:space="preserve">• </w:t>
      </w:r>
      <w:r>
        <w:t>un contrôle explicite des rôles ;</w:t>
      </w:r>
    </w:p>
    <w:p>
      <w:pPr>
        <w:pStyle w:val="ListBullet"/>
        <w:ind w:left="520" w:hanging="280"/>
        <w:spacing w:after="70"/>
      </w:pPr>
      <w:r>
        <w:rPr>
          <w:b/>
          <w:color w:val="0B6B70"/>
        </w:rPr>
        <w:t xml:space="preserve">• </w:t>
      </w:r>
      <w:r>
        <w:t>des validations de type, longueur, catalogue et domaine ;</w:t>
      </w:r>
    </w:p>
    <w:p>
      <w:pPr>
        <w:pStyle w:val="ListBullet"/>
        <w:ind w:left="520" w:hanging="280"/>
        <w:spacing w:after="70"/>
      </w:pPr>
      <w:r>
        <w:rPr>
          <w:b/>
          <w:color w:val="0B6B70"/>
        </w:rPr>
        <w:t xml:space="preserve">• </w:t>
      </w:r>
      <w:r>
        <w:t>des GRANT d’exécution limités fonction par fonction.</w:t>
      </w:r>
    </w:p>
    <w:p>
      <w:r>
        <w:t xml:space="preserve">Les helpers privés ne sont exécutables ni par </w:t>
      </w:r>
      <w:r>
        <w:rPr>
          <w:rFonts w:ascii="Consolas" w:hAnsi="Consolas"/>
          <w:shd w:fill="EEF2F4"/>
        </w:rPr>
        <w:t>anon</w:t>
      </w:r>
      <w:r>
        <w:t xml:space="preserve"> ni par </w:t>
      </w:r>
      <w:r>
        <w:rPr>
          <w:rFonts w:ascii="Consolas" w:hAnsi="Consolas"/>
          <w:shd w:fill="EEF2F4"/>
        </w:rPr>
        <w:t>authenticated</w:t>
      </w:r>
      <w:r>
        <w:t>.</w:t>
      </w:r>
    </w:p>
    <w:p>
      <w:pPr>
        <w:pStyle w:val="Heading2"/>
      </w:pPr>
      <w:r>
        <w:t>9.3 Réponses de recherche</w:t>
      </w:r>
    </w:p>
    <w:p>
      <w:r>
        <w:t xml:space="preserve">Le navigateur n’a aucun </w:t>
      </w:r>
      <w:r>
        <w:rPr>
          <w:rFonts w:ascii="Consolas" w:hAnsi="Consolas"/>
          <w:shd w:fill="EEF2F4"/>
        </w:rPr>
        <w:t>INSERT</w:t>
      </w:r>
      <w:r>
        <w:t xml:space="preserve">, </w:t>
      </w:r>
      <w:r>
        <w:rPr>
          <w:rFonts w:ascii="Consolas" w:hAnsi="Consolas"/>
          <w:shd w:fill="EEF2F4"/>
        </w:rPr>
        <w:t>UPDATE</w:t>
      </w:r>
      <w:r>
        <w:t xml:space="preserve"> ou </w:t>
      </w:r>
      <w:r>
        <w:rPr>
          <w:rFonts w:ascii="Consolas" w:hAnsi="Consolas"/>
          <w:shd w:fill="EEF2F4"/>
        </w:rPr>
        <w:t>DELETE</w:t>
      </w:r>
      <w:r>
        <w:t xml:space="preserve"> direct sur les tables de réponses. Les soumissions passent par des RPC validées. La lecture est filtrée par les politiques RLS existantes et l’allowlist </w:t>
      </w:r>
      <w:r>
        <w:rPr>
          <w:rFonts w:ascii="Consolas" w:hAnsi="Consolas"/>
          <w:shd w:fill="EEF2F4"/>
        </w:rPr>
        <w:t>private.researchers</w:t>
      </w:r>
      <w:r>
        <w:t>.</w:t>
      </w:r>
    </w:p>
    <w:p>
      <w:pPr>
        <w:pStyle w:val="Heading2"/>
      </w:pPr>
      <w:r>
        <w:t>9.4 Validation des payloads</w:t>
      </w:r>
    </w:p>
    <w:p>
      <w:r>
        <w:t>Les contraintes de table distinguent trois générations sans réinterpréter les anciennes lignes :</w:t>
      </w:r>
    </w:p>
    <w:p>
      <w:pPr>
        <w:pStyle w:val="ListBullet"/>
        <w:ind w:left="520" w:hanging="280"/>
        <w:spacing w:after="70"/>
      </w:pPr>
      <w:r>
        <w:rPr>
          <w:b/>
          <w:color w:val="0B6B70"/>
        </w:rPr>
        <w:t xml:space="preserve">• </w:t>
      </w:r>
      <w:r>
        <w:t>le schéma 0 reste lisible comme legacy ;</w:t>
      </w:r>
    </w:p>
    <w:p>
      <w:pPr>
        <w:pStyle w:val="ListBullet"/>
        <w:ind w:left="520" w:hanging="280"/>
        <w:spacing w:after="70"/>
      </w:pPr>
      <w:r>
        <w:rPr>
          <w:b/>
          <w:color w:val="0B6B70"/>
        </w:rPr>
        <w:t xml:space="preserve">• </w:t>
      </w:r>
      <w:r>
        <w:t xml:space="preserve">le schéma 1 conserve exactement </w:t>
      </w:r>
      <w:r>
        <w:rPr>
          <w:rFonts w:ascii="Consolas" w:hAnsi="Consolas"/>
          <w:shd w:fill="EEF2F4"/>
        </w:rPr>
        <w:t>client-scoring-v1</w:t>
      </w:r>
      <w:r>
        <w:t xml:space="preserve"> ou </w:t>
      </w:r>
      <w:r>
        <w:rPr>
          <w:rFonts w:ascii="Consolas" w:hAnsi="Consolas"/>
          <w:shd w:fill="EEF2F4"/>
        </w:rPr>
        <w:t>calibration-v1</w:t>
      </w:r>
      <w:r>
        <w:t xml:space="preserve"> et le consentement du 26 août 2026 ;</w:t>
      </w:r>
    </w:p>
    <w:p>
      <w:pPr>
        <w:pStyle w:val="ListBullet"/>
        <w:ind w:left="520" w:hanging="280"/>
        <w:spacing w:after="70"/>
      </w:pPr>
      <w:r>
        <w:rPr>
          <w:b/>
          <w:color w:val="0B6B70"/>
        </w:rPr>
        <w:t xml:space="preserve">• </w:t>
      </w:r>
      <w:r>
        <w:t>le schéma 2 exige les versions courantes, les deux colonnes de provenance et les nouvelles règles qualitatives.</w:t>
      </w:r>
    </w:p>
    <w:p>
      <w:r>
        <w:t>Pour le schéma 2, la base contrôle notamment :</w:t>
      </w:r>
    </w:p>
    <w:p>
      <w:pPr>
        <w:pStyle w:val="ListBullet"/>
        <w:ind w:left="520" w:hanging="280"/>
        <w:spacing w:after="70"/>
      </w:pPr>
      <w:r>
        <w:rPr>
          <w:b/>
          <w:color w:val="0B6B70"/>
        </w:rPr>
        <w:t xml:space="preserve">• </w:t>
      </w:r>
      <w:r>
        <w:t>exactement 81 identifiants de questions attendus ;</w:t>
      </w:r>
    </w:p>
    <w:p>
      <w:pPr>
        <w:pStyle w:val="ListBullet"/>
        <w:ind w:left="520" w:hanging="280"/>
        <w:spacing w:after="70"/>
      </w:pPr>
      <w:r>
        <w:rPr>
          <w:b/>
          <w:color w:val="0B6B70"/>
        </w:rPr>
        <w:t xml:space="preserve">• </w:t>
      </w:r>
      <w:r>
        <w:t>des notes entières de 1 à 10 ;</w:t>
      </w:r>
    </w:p>
    <w:p>
      <w:pPr>
        <w:pStyle w:val="ListBullet"/>
        <w:ind w:left="520" w:hanging="280"/>
        <w:spacing w:after="70"/>
      </w:pPr>
      <w:r>
        <w:rPr>
          <w:b/>
          <w:color w:val="0B6B70"/>
        </w:rPr>
        <w:t xml:space="preserve">• </w:t>
      </w:r>
      <w:r>
        <w:t>une à quatre valeurs canoniques, distinctes ;</w:t>
      </w:r>
    </w:p>
    <w:p>
      <w:pPr>
        <w:pStyle w:val="ListBullet"/>
        <w:ind w:left="520" w:hanging="280"/>
        <w:spacing w:after="70"/>
      </w:pPr>
      <w:r>
        <w:rPr>
          <w:b/>
          <w:color w:val="0B6B70"/>
        </w:rPr>
        <w:t xml:space="preserve">• </w:t>
      </w:r>
      <w:r>
        <w:t>une spécialité parmi les 58 valeurs du catalogue ;</w:t>
      </w:r>
    </w:p>
    <w:p>
      <w:pPr>
        <w:pStyle w:val="ListBullet"/>
        <w:ind w:left="520" w:hanging="280"/>
        <w:spacing w:after="70"/>
      </w:pPr>
      <w:r>
        <w:rPr>
          <w:b/>
          <w:color w:val="0B6B70"/>
        </w:rPr>
        <w:t xml:space="preserve">• </w:t>
      </w:r>
      <w:r>
        <w:t xml:space="preserve">une langue parmi </w:t>
      </w:r>
      <w:r>
        <w:rPr>
          <w:rFonts w:ascii="Consolas" w:hAnsi="Consolas"/>
          <w:shd w:fill="EEF2F4"/>
        </w:rPr>
        <w:t>en</w:t>
      </w:r>
      <w:r>
        <w:t xml:space="preserve">, </w:t>
      </w:r>
      <w:r>
        <w:rPr>
          <w:rFonts w:ascii="Consolas" w:hAnsi="Consolas"/>
          <w:shd w:fill="EEF2F4"/>
        </w:rPr>
        <w:t>fr</w:t>
      </w:r>
      <w:r>
        <w:t xml:space="preserve">, </w:t>
      </w:r>
      <w:r>
        <w:rPr>
          <w:rFonts w:ascii="Consolas" w:hAnsi="Consolas"/>
          <w:shd w:fill="EEF2F4"/>
        </w:rPr>
        <w:t>ro</w:t>
      </w:r>
      <w:r>
        <w:t xml:space="preserve"> ;</w:t>
      </w:r>
    </w:p>
    <w:p>
      <w:pPr>
        <w:pStyle w:val="ListBullet"/>
        <w:ind w:left="520" w:hanging="280"/>
        <w:spacing w:after="70"/>
      </w:pPr>
      <w:r>
        <w:rPr>
          <w:b/>
          <w:color w:val="0B6B70"/>
        </w:rPr>
        <w:t xml:space="preserve">• </w:t>
      </w:r>
      <w:r>
        <w:t>une année d’études étudiante facultative limitée aux entiers de 1 à 6 pour toute nouvelle écriture ;</w:t>
      </w:r>
    </w:p>
    <w:p>
      <w:pPr>
        <w:pStyle w:val="ListBullet"/>
        <w:ind w:left="520" w:hanging="280"/>
        <w:spacing w:after="70"/>
      </w:pPr>
      <w:r>
        <w:rPr>
          <w:b/>
          <w:color w:val="0B6B70"/>
        </w:rPr>
        <w:t xml:space="preserve">• </w:t>
      </w:r>
      <w:r>
        <w:t>les versions exactes du questionnaire, des catalogues, du scoring ou du calibrage et du consentement ;</w:t>
      </w:r>
    </w:p>
    <w:p>
      <w:pPr>
        <w:pStyle w:val="ListBullet"/>
        <w:ind w:left="520" w:hanging="280"/>
        <w:spacing w:after="70"/>
      </w:pPr>
      <w:r>
        <w:rPr>
          <w:b/>
          <w:color w:val="0B6B70"/>
        </w:rPr>
        <w:t xml:space="preserve">• </w:t>
      </w:r>
      <w:r>
        <w:t>la structure des scores clients étudiants ;</w:t>
      </w:r>
    </w:p>
    <w:p>
      <w:pPr>
        <w:pStyle w:val="ListBullet"/>
        <w:ind w:left="520" w:hanging="280"/>
        <w:spacing w:after="70"/>
      </w:pPr>
      <w:r>
        <w:rPr>
          <w:b/>
          <w:color w:val="0B6B70"/>
        </w:rPr>
        <w:t xml:space="preserve">• </w:t>
      </w:r>
      <w:r>
        <w:t>l'existence de l'instantané publié référencé et la cohérence UUID/révision ;</w:t>
      </w:r>
    </w:p>
    <w:p>
      <w:pPr>
        <w:pStyle w:val="ListBullet"/>
        <w:ind w:left="520" w:hanging="280"/>
        <w:spacing w:after="70"/>
      </w:pPr>
      <w:r>
        <w:rPr>
          <w:b/>
          <w:color w:val="0B6B70"/>
        </w:rPr>
        <w:t xml:space="preserve">• </w:t>
      </w:r>
      <w:r>
        <w:t>quatre textes spécialistes obligatoires, non vides après normalisation et dans leurs longueurs maximales ;</w:t>
      </w:r>
    </w:p>
    <w:p>
      <w:pPr>
        <w:pStyle w:val="ListBullet"/>
        <w:ind w:left="520" w:hanging="280"/>
        <w:spacing w:after="70"/>
      </w:pPr>
      <w:r>
        <w:rPr>
          <w:b/>
          <w:color w:val="0B6B70"/>
        </w:rPr>
        <w:t xml:space="preserve">• </w:t>
      </w:r>
      <w:r>
        <w:rPr>
          <w:rFonts w:ascii="Consolas" w:hAnsi="Consolas"/>
          <w:shd w:fill="EEF2F4"/>
        </w:rPr>
        <w:t>would_choose_again_code</w:t>
      </w:r>
      <w:r>
        <w:t xml:space="preserve"> limité à </w:t>
      </w:r>
      <w:r>
        <w:rPr>
          <w:rFonts w:ascii="Consolas" w:hAnsi="Consolas"/>
          <w:shd w:fill="EEF2F4"/>
        </w:rPr>
        <w:t>yes</w:t>
      </w:r>
      <w:r>
        <w:t xml:space="preserve"> ou </w:t>
      </w:r>
      <w:r>
        <w:rPr>
          <w:rFonts w:ascii="Consolas" w:hAnsi="Consolas"/>
          <w:shd w:fill="EEF2F4"/>
        </w:rPr>
        <w:t>no</w:t>
      </w:r>
      <w:r>
        <w:t xml:space="preserve"> ;</w:t>
      </w:r>
    </w:p>
    <w:p>
      <w:pPr>
        <w:pStyle w:val="ListBullet"/>
        <w:ind w:left="520" w:hanging="280"/>
        <w:spacing w:after="70"/>
      </w:pPr>
      <w:r>
        <w:rPr>
          <w:b/>
          <w:color w:val="0B6B70"/>
        </w:rPr>
        <w:t xml:space="preserve">• </w:t>
      </w:r>
      <w:r>
        <w:t xml:space="preserve">la présence d'une justification uniquement lorsque le choix vaut </w:t>
      </w:r>
      <w:r>
        <w:rPr>
          <w:rFonts w:ascii="Consolas" w:hAnsi="Consolas"/>
          <w:shd w:fill="EEF2F4"/>
        </w:rPr>
        <w:t>no</w:t>
      </w:r>
      <w:r>
        <w:t xml:space="preserve"> ;</w:t>
      </w:r>
    </w:p>
    <w:p>
      <w:pPr>
        <w:pStyle w:val="ListBullet"/>
        <w:ind w:left="520" w:hanging="280"/>
        <w:spacing w:after="70"/>
      </w:pPr>
      <w:r>
        <w:rPr>
          <w:b/>
          <w:color w:val="0B6B70"/>
        </w:rPr>
        <w:t xml:space="preserve">• </w:t>
      </w:r>
      <w:r>
        <w:t>la nullité des anciens champs structurés dans toute nouvelle réponse spécialiste.</w:t>
      </w:r>
    </w:p>
    <w:p>
      <w:r>
        <w:t xml:space="preserve">Les contrôles existent à la fois dans les RPC et dans des contraintes </w:t>
      </w:r>
      <w:r>
        <w:rPr>
          <w:rFonts w:ascii="Consolas" w:hAnsi="Consolas"/>
          <w:shd w:fill="EEF2F4"/>
        </w:rPr>
        <w:t>CHECK</w:t>
      </w:r>
      <w:r>
        <w:t>, afin qu'une erreur interne ne puisse pas créer silencieusement une ligne de schéma 2 incohérente. Les lignes historiques restent consultables et exportables, mais le dashboard les signale comme incompatibles avec les indicateurs du protocole courant.</w:t>
      </w:r>
    </w:p>
    <w:p>
      <w:pPr>
        <w:pStyle w:val="Heading1"/>
      </w:pPr>
      <w:r>
        <w:t>10. Versionnement et provenance des résultats</w:t>
      </w:r>
    </w:p>
    <w:p>
      <w:r>
        <w:t>Une recommandation reproductible dépend de plusieurs éléments :</w:t>
      </w:r>
    </w:p>
    <w:p>
      <w:pPr>
        <w:pStyle w:val="ListBullet"/>
        <w:ind w:left="520" w:hanging="280"/>
        <w:spacing w:after="70"/>
      </w:pPr>
      <w:r>
        <w:rPr>
          <w:b/>
          <w:color w:val="0B6B70"/>
        </w:rPr>
        <w:t xml:space="preserve">• </w:t>
      </w:r>
      <w:r>
        <w:t>les 81 réponses brutes ;</w:t>
      </w:r>
    </w:p>
    <w:p>
      <w:pPr>
        <w:pStyle w:val="ListBullet"/>
        <w:ind w:left="520" w:hanging="280"/>
        <w:spacing w:after="70"/>
      </w:pPr>
      <w:r>
        <w:rPr>
          <w:b/>
          <w:color w:val="0B6B70"/>
        </w:rPr>
        <w:t xml:space="preserve">• </w:t>
      </w:r>
      <w:r>
        <w:t>les valeurs sélectionnées ;</w:t>
      </w:r>
    </w:p>
    <w:p>
      <w:pPr>
        <w:pStyle w:val="ListBullet"/>
        <w:ind w:left="520" w:hanging="280"/>
        <w:spacing w:after="70"/>
      </w:pPr>
      <w:r>
        <w:rPr>
          <w:b/>
          <w:color w:val="0B6B70"/>
        </w:rPr>
        <w:t xml:space="preserve">• </w:t>
      </w:r>
      <w:r>
        <w:t>la version du questionnaire ;</w:t>
      </w:r>
    </w:p>
    <w:p>
      <w:pPr>
        <w:pStyle w:val="ListBullet"/>
        <w:ind w:left="520" w:hanging="280"/>
        <w:spacing w:after="70"/>
      </w:pPr>
      <w:r>
        <w:rPr>
          <w:b/>
          <w:color w:val="0B6B70"/>
        </w:rPr>
        <w:t xml:space="preserve">• </w:t>
      </w:r>
      <w:r>
        <w:t>la version du catalogue de valeurs ;</w:t>
      </w:r>
    </w:p>
    <w:p>
      <w:pPr>
        <w:pStyle w:val="ListBullet"/>
        <w:ind w:left="520" w:hanging="280"/>
        <w:spacing w:after="70"/>
      </w:pPr>
      <w:r>
        <w:rPr>
          <w:b/>
          <w:color w:val="0B6B70"/>
        </w:rPr>
        <w:t xml:space="preserve">• </w:t>
      </w:r>
      <w:r>
        <w:t>la version du catalogue canonique des spécialités ;</w:t>
      </w:r>
    </w:p>
    <w:p>
      <w:pPr>
        <w:pStyle w:val="ListBullet"/>
        <w:ind w:left="520" w:hanging="280"/>
        <w:spacing w:after="70"/>
      </w:pPr>
      <w:r>
        <w:rPr>
          <w:b/>
          <w:color w:val="0B6B70"/>
        </w:rPr>
        <w:t xml:space="preserve">• </w:t>
      </w:r>
      <w:r>
        <w:t>la version du moteur de scoring ou de calibration ;</w:t>
      </w:r>
    </w:p>
    <w:p>
      <w:pPr>
        <w:pStyle w:val="ListBullet"/>
        <w:ind w:left="520" w:hanging="280"/>
        <w:spacing w:after="70"/>
      </w:pPr>
      <w:r>
        <w:rPr>
          <w:b/>
          <w:color w:val="0B6B70"/>
        </w:rPr>
        <w:t xml:space="preserve">• </w:t>
      </w:r>
      <w:r>
        <w:t>la version du consentement ;</w:t>
      </w:r>
    </w:p>
    <w:p>
      <w:pPr>
        <w:pStyle w:val="ListBullet"/>
        <w:ind w:left="520" w:hanging="280"/>
        <w:spacing w:after="70"/>
      </w:pPr>
      <w:r>
        <w:rPr>
          <w:b/>
          <w:color w:val="0B6B70"/>
        </w:rPr>
        <w:t xml:space="preserve">• </w:t>
      </w:r>
      <w:r>
        <w:t>l’UUID et la révision du catalogue dynamique publié.</w:t>
      </w:r>
    </w:p>
    <w:p>
      <w:r>
        <w:t>Les RPC v2 et v3 enregistrent les deux derniers champs de provenance dans la ligne de réponse. Les RPC v3 les rendent obligatoires pour le schéma 2. Cela permet de retrouver l'instantané exact même après plusieurs publications et d'éviter d'analyser une réponse avec un catalogue différent de celui réellement utilisé.</w:t>
      </w:r>
    </w:p>
    <w:p>
      <w:r>
        <w:t xml:space="preserve">Le </w:t>
      </w:r>
      <w:r>
        <w:rPr>
          <w:rFonts w:ascii="Consolas" w:hAnsi="Consolas"/>
          <w:shd w:fill="EEF2F4"/>
        </w:rPr>
        <w:t>checksum</w:t>
      </w:r>
      <w:r>
        <w:t xml:space="preserve"> sert à détecter une différence de contenu et à identifier un instantané. Il n’est pas un secret et ne remplace pas le contrôle d’accès.</w:t>
      </w:r>
    </w:p>
    <w:p>
      <w:pPr>
        <w:pStyle w:val="Heading2"/>
      </w:pPr>
      <w:r>
        <w:t xml:space="preserve">10.1 </w:t>
      </w:r>
      <w:r>
        <w:rPr>
          <w:rFonts w:ascii="Consolas" w:hAnsi="Consolas"/>
          <w:shd w:fill="EEF2F4"/>
        </w:rPr>
        <w:t>client_scores</w:t>
      </w:r>
    </w:p>
    <w:p>
      <w:r>
        <w:rPr>
          <w:rFonts w:ascii="Consolas" w:hAnsi="Consolas"/>
          <w:shd w:fill="EEF2F4"/>
        </w:rPr>
        <w:t>student_responses.client_scores</w:t>
      </w:r>
      <w:r>
        <w:t xml:space="preserve"> est un résultat calculé dans le navigateur. Il est conservé pour comprendre ce qui a été affiché, mais il n’est pas une mesure serveur vérifiée. Toute analyse scientifique doit recalculer les traits et le classement depuis les données brutes et la configuration versionnée.</w:t>
      </w:r>
    </w:p>
    <w:p>
      <w:pPr>
        <w:pStyle w:val="Heading2"/>
      </w:pPr>
      <w:r>
        <w:t>10.2 Anciennes soumissions</w:t>
      </w:r>
    </w:p>
    <w:p>
      <w:r>
        <w:t>Les fonctions v1 et v2 restent disponibles pour la compatibilité et certaines lignes anciennes peuvent ne pas avoir une provenance dynamique complète. Le dashboard distingue :</w:t>
      </w:r>
    </w:p>
    <w:p>
      <w:pPr>
        <w:pStyle w:val="ListBullet"/>
        <w:ind w:left="520" w:hanging="280"/>
        <w:spacing w:after="70"/>
      </w:pPr>
      <w:r>
        <w:rPr>
          <w:b/>
          <w:color w:val="0B6B70"/>
        </w:rPr>
        <w:t xml:space="preserve">• </w:t>
      </w:r>
      <w:r>
        <w:t>données de schéma 2 courantes et reproductibles ;</w:t>
      </w:r>
    </w:p>
    <w:p>
      <w:pPr>
        <w:pStyle w:val="ListBullet"/>
        <w:ind w:left="520" w:hanging="280"/>
        <w:spacing w:after="70"/>
      </w:pPr>
      <w:r>
        <w:rPr>
          <w:b/>
          <w:color w:val="0B6B70"/>
        </w:rPr>
        <w:t xml:space="preserve">• </w:t>
      </w:r>
      <w:r>
        <w:t>données de schéma 0 ou 1 consultables et exportables comme legacy ;</w:t>
      </w:r>
    </w:p>
    <w:p>
      <w:pPr>
        <w:pStyle w:val="ListBullet"/>
        <w:ind w:left="520" w:hanging="280"/>
        <w:spacing w:after="70"/>
      </w:pPr>
      <w:r>
        <w:rPr>
          <w:b/>
          <w:color w:val="0B6B70"/>
        </w:rPr>
        <w:t xml:space="preserve">• </w:t>
      </w:r>
      <w:r>
        <w:t>données exclues des indicateurs pour incompatibilité de version.</w:t>
      </w:r>
    </w:p>
    <w:p>
      <w:pPr>
        <w:pStyle w:val="Heading1"/>
      </w:pPr>
      <w:r>
        <w:t>11. Limites scientifiques du moteur actuel</w:t>
      </w:r>
    </w:p>
    <w:p>
      <w:pPr>
        <w:pStyle w:val="Heading2"/>
      </w:pPr>
      <w:r>
        <w:t xml:space="preserve">11.1 </w:t>
      </w:r>
      <w:r>
        <w:rPr>
          <w:rFonts w:ascii="Consolas" w:hAnsi="Consolas"/>
          <w:shd w:fill="EEF2F4"/>
        </w:rPr>
        <w:t>manual_orientation</w:t>
      </w:r>
    </w:p>
    <w:p>
      <w:r>
        <w:t xml:space="preserve">Dans </w:t>
      </w:r>
      <w:r>
        <w:rPr>
          <w:rFonts w:ascii="Consolas" w:hAnsi="Consolas"/>
          <w:shd w:fill="EEF2F4"/>
        </w:rPr>
        <w:t>private.trait_catalog</w:t>
      </w:r>
      <w:r>
        <w:t xml:space="preserve">, </w:t>
      </w:r>
      <w:r>
        <w:rPr>
          <w:rFonts w:ascii="Consolas" w:hAnsi="Consolas"/>
          <w:shd w:fill="EEF2F4"/>
        </w:rPr>
        <w:t>manual_orientation</w:t>
      </w:r>
      <w:r>
        <w:t xml:space="preserve"> a la provenance </w:t>
      </w:r>
      <w:r>
        <w:rPr>
          <w:rFonts w:ascii="Consolas" w:hAnsi="Consolas"/>
          <w:shd w:fill="EEF2F4"/>
        </w:rPr>
        <w:t>value_only</w:t>
      </w:r>
      <w:r>
        <w:t>.</w:t>
      </w:r>
    </w:p>
    <w:p>
      <w:r>
        <w:t xml:space="preserve">Ce trait n'est créé que lorsqu'un participant sélectionne la valeur « Manual/hands-on activity ». Dans </w:t>
      </w:r>
      <w:r>
        <w:rPr>
          <w:rFonts w:ascii="Consolas" w:hAnsi="Consolas"/>
          <w:shd w:fill="EEF2F4"/>
        </w:rPr>
        <w:t>client-scoring-v2</w:t>
      </w:r>
      <w:r>
        <w:t>, cette sélection produit un signal explicite de 90/100. Elle ne part plus d'une pseudo-valeur neutre de 50 susceptible de pénaliser paradoxalement les spécialités manuelles. Pour les traits déjà mesurés par les 81 réponses, les valeurs de carrière ne changent plus le niveau du trait : elles augmentent seulement son importance dans la comparaison avec les spécialités.</w:t>
      </w:r>
    </w:p>
    <w:p>
      <w:r>
        <w:t xml:space="preserve">Cette correction supprime un défaut directionnel du moteur précédent, mais elle ne transforme pas </w:t>
      </w:r>
      <w:r>
        <w:rPr>
          <w:rFonts w:ascii="Consolas" w:hAnsi="Consolas"/>
          <w:shd w:fill="EEF2F4"/>
        </w:rPr>
        <w:t>manual_orientation</w:t>
      </w:r>
      <w:r>
        <w:t xml:space="preserve"> en mesure de questionnaire. Les participants qui ne sélectionnent pas cette valeur ne disposent toujours pas d'une mesure comparable de ce trait.</w:t>
      </w:r>
    </w:p>
    <w:p>
      <w:r>
        <w:t>Conséquences :</w:t>
      </w:r>
    </w:p>
    <w:p>
      <w:pPr>
        <w:pStyle w:val="ListBullet"/>
        <w:ind w:left="520" w:hanging="280"/>
        <w:spacing w:after="70"/>
      </w:pPr>
      <w:r>
        <w:rPr>
          <w:b/>
          <w:color w:val="0B6B70"/>
        </w:rPr>
        <w:t xml:space="preserve">• </w:t>
      </w:r>
      <w:r>
        <w:t>la couverture du trait est partielle ;</w:t>
      </w:r>
    </w:p>
    <w:p>
      <w:pPr>
        <w:pStyle w:val="ListBullet"/>
        <w:ind w:left="520" w:hanging="280"/>
        <w:spacing w:after="70"/>
      </w:pPr>
      <w:r>
        <w:rPr>
          <w:b/>
          <w:color w:val="0B6B70"/>
        </w:rPr>
        <w:t xml:space="preserve">• </w:t>
      </w:r>
      <w:r>
        <w:t>les scores peuvent reposer sur des ensembles de traits différents ;</w:t>
      </w:r>
    </w:p>
    <w:p>
      <w:pPr>
        <w:pStyle w:val="ListBullet"/>
        <w:ind w:left="520" w:hanging="280"/>
        <w:spacing w:after="70"/>
      </w:pPr>
      <w:r>
        <w:rPr>
          <w:b/>
          <w:color w:val="0B6B70"/>
        </w:rPr>
        <w:t xml:space="preserve">• </w:t>
      </w:r>
      <w:r>
        <w:t>une moyenne observée sur ce trait ne représente pas automatiquement toute la cohorte ;</w:t>
      </w:r>
    </w:p>
    <w:p>
      <w:pPr>
        <w:pStyle w:val="ListBullet"/>
        <w:ind w:left="520" w:hanging="280"/>
        <w:spacing w:after="70"/>
      </w:pPr>
      <w:r>
        <w:rPr>
          <w:b/>
          <w:color w:val="0B6B70"/>
        </w:rPr>
        <w:t xml:space="preserve">• </w:t>
      </w:r>
      <w:r>
        <w:t>toute modification de son poids exige une justification scientifique spécifique.</w:t>
      </w:r>
    </w:p>
    <w:p>
      <w:pPr>
        <w:pStyle w:val="Heading2"/>
      </w:pPr>
      <w:r>
        <w:t xml:space="preserve">11.2 </w:t>
      </w:r>
      <w:r>
        <w:rPr>
          <w:rFonts w:ascii="Consolas" w:hAnsi="Consolas"/>
          <w:shd w:fill="EEF2F4"/>
        </w:rPr>
        <w:t>prevention_orientation</w:t>
      </w:r>
    </w:p>
    <w:p>
      <w:r>
        <w:t xml:space="preserve">Dans </w:t>
      </w:r>
      <w:r>
        <w:rPr>
          <w:rFonts w:ascii="Consolas" w:hAnsi="Consolas"/>
          <w:shd w:fill="EEF2F4"/>
        </w:rPr>
        <w:t>private.trait_catalog</w:t>
      </w:r>
      <w:r>
        <w:t xml:space="preserve">, </w:t>
      </w:r>
      <w:r>
        <w:rPr>
          <w:rFonts w:ascii="Consolas" w:hAnsi="Consolas"/>
          <w:shd w:fill="EEF2F4"/>
        </w:rPr>
        <w:t>prevention_orientation</w:t>
      </w:r>
      <w:r>
        <w:t xml:space="preserve"> a la provenance </w:t>
      </w:r>
      <w:r>
        <w:rPr>
          <w:rFonts w:ascii="Consolas" w:hAnsi="Consolas"/>
          <w:shd w:fill="EEF2F4"/>
        </w:rPr>
        <w:t>unmeasured</w:t>
      </w:r>
      <w:r>
        <w:t>.</w:t>
      </w:r>
    </w:p>
    <w:p>
      <w:r>
        <w:t>Aucune question et aucune valeur sélectionnée ne produisent actuellement ce trait. La migration et le portail empêchent sa modification afin qu’un poids non mesuré ne soit pas augmenté ou ajouté silencieusement.</w:t>
      </w:r>
    </w:p>
    <w:p>
      <w:r>
        <w:t>Avant de rendre ce trait calibrable, il faut :</w:t>
      </w:r>
    </w:p>
    <w:p>
      <w:pPr>
        <w:pStyle w:val="ListNumber"/>
        <w:ind w:left="520" w:hanging="280"/>
        <w:spacing w:after="70"/>
      </w:pPr>
      <w:r>
        <w:rPr>
          <w:b/>
          <w:color w:val="0B6B70"/>
        </w:rPr>
        <w:t xml:space="preserve">1. </w:t>
      </w:r>
      <w:r>
        <w:t>ajouter une mesure directe validée ; ou</w:t>
      </w:r>
    </w:p>
    <w:p>
      <w:pPr>
        <w:pStyle w:val="ListNumber"/>
        <w:ind w:left="520" w:hanging="280"/>
        <w:spacing w:after="70"/>
      </w:pPr>
      <w:r>
        <w:rPr>
          <w:b/>
          <w:color w:val="0B6B70"/>
        </w:rPr>
        <w:t xml:space="preserve">2. </w:t>
      </w:r>
      <w:r>
        <w:t>rattacher des items existants avec une justification documentée ; ou</w:t>
      </w:r>
    </w:p>
    <w:p>
      <w:pPr>
        <w:pStyle w:val="ListNumber"/>
        <w:ind w:left="520" w:hanging="280"/>
        <w:spacing w:after="70"/>
      </w:pPr>
      <w:r>
        <w:rPr>
          <w:b/>
          <w:color w:val="0B6B70"/>
        </w:rPr>
        <w:t xml:space="preserve">3. </w:t>
      </w:r>
      <w:r>
        <w:t>retirer le trait des profils concernés ; ou</w:t>
      </w:r>
    </w:p>
    <w:p>
      <w:pPr>
        <w:pStyle w:val="ListNumber"/>
        <w:ind w:left="520" w:hanging="280"/>
        <w:spacing w:after="70"/>
      </w:pPr>
      <w:r>
        <w:rPr>
          <w:b/>
          <w:color w:val="0B6B70"/>
        </w:rPr>
        <w:t xml:space="preserve">4. </w:t>
      </w:r>
      <w:r>
        <w:t>définir une baseline commune et scientifiquement défendable.</w:t>
      </w:r>
    </w:p>
    <w:p>
      <w:r>
        <w:t>Cette correction doit créer une nouvelle version du questionnaire, du moteur ou du protocole selon la nature du changement.</w:t>
      </w:r>
    </w:p>
    <w:p>
      <w:pPr>
        <w:pStyle w:val="Heading2"/>
      </w:pPr>
      <w:r>
        <w:t>11.3 Dimensions non observées et portée du score</w:t>
      </w:r>
    </w:p>
    <w:p>
      <w:r>
        <w:t xml:space="preserve">Lorsqu'un profil de spécialité ne contient aucun trait d'une dimension, </w:t>
      </w:r>
      <w:r>
        <w:rPr>
          <w:rFonts w:ascii="Consolas" w:hAnsi="Consolas"/>
          <w:shd w:fill="EEF2F4"/>
        </w:rPr>
        <w:t>client-scoring-v2</w:t>
      </w:r>
      <w:r>
        <w:t xml:space="preserve"> représente le sous-score comme non mesuré (</w:t>
      </w:r>
      <w:r>
        <w:rPr>
          <w:rFonts w:ascii="Consolas" w:hAnsi="Consolas"/>
          <w:shd w:fill="EEF2F4"/>
        </w:rPr>
        <w:t>NULL</w:t>
      </w:r>
      <w:r>
        <w:t xml:space="preserve"> dans le modèle applicatif, affiché par un tiret) et non comme 0 %. Cette distinction évite de présenter une absence de preuve comme une incompatibilité.</w:t>
      </w:r>
    </w:p>
    <w:p>
      <w:r>
        <w:t>Le score global reste un indice de proximité interne au moteur et au catalogue versionnés. Il ne doit pas être interprété comme une probabilité de réussite, une certitude d'orientation ou une validation clinique. Les poids par défaut et les préférences sélectionnées doivent toujours accompagner un export analytique afin de rendre le calcul interprétable.</w:t>
      </w:r>
    </w:p>
    <w:p>
      <w:pPr>
        <w:pStyle w:val="Heading2"/>
      </w:pPr>
      <w:r>
        <w:t>11.4 Interprétation des Top-k</w:t>
      </w:r>
    </w:p>
    <w:p>
      <w:r>
        <w:t>Le rappel Top-k répond uniquement à la question : « la spécialité déclarée par le spécialiste apparaît-elle parmi les k premières recommandations du moteur courant ? »</w:t>
      </w:r>
    </w:p>
    <w:p>
      <w:r>
        <w:t>Il ne constitue pas :</w:t>
      </w:r>
    </w:p>
    <w:p>
      <w:pPr>
        <w:pStyle w:val="ListBullet"/>
        <w:ind w:left="520" w:hanging="280"/>
        <w:spacing w:after="70"/>
      </w:pPr>
      <w:r>
        <w:rPr>
          <w:b/>
          <w:color w:val="0B6B70"/>
        </w:rPr>
        <w:t xml:space="preserve">• </w:t>
      </w:r>
      <w:r>
        <w:t>une probabilité de réussite ;</w:t>
      </w:r>
    </w:p>
    <w:p>
      <w:pPr>
        <w:pStyle w:val="ListBullet"/>
        <w:ind w:left="520" w:hanging="280"/>
        <w:spacing w:after="70"/>
      </w:pPr>
      <w:r>
        <w:rPr>
          <w:b/>
          <w:color w:val="0B6B70"/>
        </w:rPr>
        <w:t xml:space="preserve">• </w:t>
      </w:r>
      <w:r>
        <w:t>une précision diagnostique ;</w:t>
      </w:r>
    </w:p>
    <w:p>
      <w:pPr>
        <w:pStyle w:val="ListBullet"/>
        <w:ind w:left="520" w:hanging="280"/>
        <w:spacing w:after="70"/>
      </w:pPr>
      <w:r>
        <w:rPr>
          <w:b/>
          <w:color w:val="0B6B70"/>
        </w:rPr>
        <w:t xml:space="preserve">• </w:t>
      </w:r>
      <w:r>
        <w:t>une validation clinique ;</w:t>
      </w:r>
    </w:p>
    <w:p>
      <w:pPr>
        <w:pStyle w:val="ListBullet"/>
        <w:ind w:left="520" w:hanging="280"/>
        <w:spacing w:after="70"/>
      </w:pPr>
      <w:r>
        <w:rPr>
          <w:b/>
          <w:color w:val="0B6B70"/>
        </w:rPr>
        <w:t xml:space="preserve">• </w:t>
      </w:r>
      <w:r>
        <w:t>une preuve causale ;</w:t>
      </w:r>
    </w:p>
    <w:p>
      <w:pPr>
        <w:pStyle w:val="ListBullet"/>
        <w:ind w:left="520" w:hanging="280"/>
        <w:spacing w:after="70"/>
      </w:pPr>
      <w:r>
        <w:rPr>
          <w:b/>
          <w:color w:val="0B6B70"/>
        </w:rPr>
        <w:t xml:space="preserve">• </w:t>
      </w:r>
      <w:r>
        <w:t>une autorisation automatique de modifier les poids.</w:t>
      </w:r>
    </w:p>
    <w:p>
      <w:r>
        <w:t>Une amélioration du Top-k sur la même cohorte utilisée pour ajuster les poids peut être un simple surapprentissage. Les Top-k sont descriptifs et ne valident jamais seuls un changement de profil ou de poids.</w:t>
      </w:r>
    </w:p>
    <w:p>
      <w:r>
        <w:t>Une calibration défendable exige notamment :</w:t>
      </w:r>
    </w:p>
    <w:p>
      <w:pPr>
        <w:pStyle w:val="ListBullet"/>
        <w:ind w:left="520" w:hanging="280"/>
        <w:spacing w:after="70"/>
      </w:pPr>
      <w:r>
        <w:rPr>
          <w:b/>
          <w:color w:val="0B6B70"/>
        </w:rPr>
        <w:t xml:space="preserve">• </w:t>
      </w:r>
      <w:r>
        <w:t>des effectifs suffisants par spécialité ;</w:t>
      </w:r>
    </w:p>
    <w:p>
      <w:pPr>
        <w:pStyle w:val="ListBullet"/>
        <w:ind w:left="520" w:hanging="280"/>
        <w:spacing w:after="70"/>
      </w:pPr>
      <w:r>
        <w:rPr>
          <w:b/>
          <w:color w:val="0B6B70"/>
        </w:rPr>
        <w:t xml:space="preserve">• </w:t>
      </w:r>
      <w:r>
        <w:t>des critères d’inclusion définis à l’avance ;</w:t>
      </w:r>
    </w:p>
    <w:p>
      <w:pPr>
        <w:pStyle w:val="ListBullet"/>
        <w:ind w:left="520" w:hanging="280"/>
        <w:spacing w:after="70"/>
      </w:pPr>
      <w:r>
        <w:rPr>
          <w:b/>
          <w:color w:val="0B6B70"/>
        </w:rPr>
        <w:t xml:space="preserve">• </w:t>
      </w:r>
      <w:r>
        <w:t>la gestion des soumissions multiples ;</w:t>
      </w:r>
    </w:p>
    <w:p>
      <w:pPr>
        <w:pStyle w:val="ListBullet"/>
        <w:ind w:left="520" w:hanging="280"/>
        <w:spacing w:after="70"/>
      </w:pPr>
      <w:r>
        <w:rPr>
          <w:b/>
          <w:color w:val="0B6B70"/>
        </w:rPr>
        <w:t xml:space="preserve">• </w:t>
      </w:r>
      <w:r>
        <w:t>une cohorte de validation indépendante ;</w:t>
      </w:r>
    </w:p>
    <w:p>
      <w:pPr>
        <w:pStyle w:val="ListBullet"/>
        <w:ind w:left="520" w:hanging="280"/>
        <w:spacing w:after="70"/>
      </w:pPr>
      <w:r>
        <w:rPr>
          <w:b/>
          <w:color w:val="0B6B70"/>
        </w:rPr>
        <w:t xml:space="preserve">• </w:t>
      </w:r>
      <w:r>
        <w:t>une analyse des incertitudes et des ex æquo ;</w:t>
      </w:r>
    </w:p>
    <w:p>
      <w:pPr>
        <w:pStyle w:val="ListBullet"/>
        <w:ind w:left="520" w:hanging="280"/>
        <w:spacing w:after="70"/>
      </w:pPr>
      <w:r>
        <w:rPr>
          <w:b/>
          <w:color w:val="0B6B70"/>
        </w:rPr>
        <w:t xml:space="preserve">• </w:t>
      </w:r>
      <w:r>
        <w:t>une revue clinique des résultats ;</w:t>
      </w:r>
    </w:p>
    <w:p>
      <w:pPr>
        <w:pStyle w:val="ListBullet"/>
        <w:ind w:left="520" w:hanging="280"/>
        <w:spacing w:after="70"/>
      </w:pPr>
      <w:r>
        <w:rPr>
          <w:b/>
          <w:color w:val="0B6B70"/>
        </w:rPr>
        <w:t xml:space="preserve">• </w:t>
      </w:r>
      <w:r>
        <w:t>un protocole versionné et, idéalement, pré-enregistré.</w:t>
      </w:r>
    </w:p>
    <w:p>
      <w:pPr>
        <w:pStyle w:val="Heading1"/>
      </w:pPr>
      <w:r>
        <w:t>12. Sauvegarde, restauration et continuité</w:t>
      </w:r>
    </w:p>
    <w:p>
      <w:pPr>
        <w:pStyle w:val="Heading2"/>
      </w:pPr>
      <w:r>
        <w:t>12.1 Avant une migration</w:t>
      </w:r>
    </w:p>
    <w:p>
      <w:pPr>
        <w:pStyle w:val="ListBullet"/>
        <w:ind w:left="520" w:hanging="280"/>
        <w:spacing w:after="70"/>
      </w:pPr>
      <w:r>
        <w:rPr>
          <w:b/>
          <w:color w:val="0B6B70"/>
        </w:rPr>
        <w:t xml:space="preserve">• </w:t>
      </w:r>
      <w:r>
        <w:t>sauvegarder la base ;</w:t>
      </w:r>
    </w:p>
    <w:p>
      <w:pPr>
        <w:pStyle w:val="ListBullet"/>
        <w:ind w:left="520" w:hanging="280"/>
        <w:spacing w:after="70"/>
      </w:pPr>
      <w:r>
        <w:rPr>
          <w:b/>
          <w:color w:val="0B6B70"/>
        </w:rPr>
        <w:t xml:space="preserve">• </w:t>
      </w:r>
      <w:r>
        <w:t>vérifier l’historique des migrations locales et distantes ;</w:t>
      </w:r>
    </w:p>
    <w:p>
      <w:pPr>
        <w:pStyle w:val="ListBullet"/>
        <w:ind w:left="520" w:hanging="280"/>
        <w:spacing w:after="70"/>
      </w:pPr>
      <w:r>
        <w:rPr>
          <w:b/>
          <w:color w:val="0B6B70"/>
        </w:rPr>
        <w:t xml:space="preserve">• </w:t>
      </w:r>
      <w:r>
        <w:t>exécuter un dry-run ;</w:t>
      </w:r>
    </w:p>
    <w:p>
      <w:pPr>
        <w:pStyle w:val="ListBullet"/>
        <w:ind w:left="520" w:hanging="280"/>
        <w:spacing w:after="70"/>
      </w:pPr>
      <w:r>
        <w:rPr>
          <w:b/>
          <w:color w:val="0B6B70"/>
        </w:rPr>
        <w:t xml:space="preserve">• </w:t>
      </w:r>
      <w:r>
        <w:t>relire les changements de privilèges ;</w:t>
      </w:r>
    </w:p>
    <w:p>
      <w:pPr>
        <w:pStyle w:val="ListBullet"/>
        <w:ind w:left="520" w:hanging="280"/>
        <w:spacing w:after="70"/>
      </w:pPr>
      <w:r>
        <w:rPr>
          <w:b/>
          <w:color w:val="0B6B70"/>
        </w:rPr>
        <w:t xml:space="preserve">• </w:t>
      </w:r>
      <w:r>
        <w:t>ne jamais utiliser une réinitialisation destructive sur un projet contenant des données réelles.</w:t>
      </w:r>
    </w:p>
    <w:p>
      <w:pPr>
        <w:pStyle w:val="Heading2"/>
      </w:pPr>
      <w:r>
        <w:t>12.2 Restauration logique du catalogue</w:t>
      </w:r>
    </w:p>
    <w:p>
      <w:r>
        <w:rPr>
          <w:rFonts w:ascii="Consolas" w:hAnsi="Consolas"/>
          <w:shd w:fill="EEF2F4"/>
        </w:rPr>
        <w:t>restore_specialty_catalog_version(...)</w:t>
      </w:r>
      <w:r>
        <w:t xml:space="preserve"> copie une version publiée dans une nouvelle révision active. Elle archive l’actif courant dans la même transaction, ne remet jamais l’ancienne ligne elle-même en statut actif et ne supprime aucun historique.</w:t>
      </w:r>
    </w:p>
    <w:p>
      <w:r>
        <w:t>Le processus recommandé est :</w:t>
      </w:r>
    </w:p>
    <w:p>
      <w:pPr>
        <w:pStyle w:val="ListNumber"/>
        <w:ind w:left="520" w:hanging="280"/>
        <w:spacing w:after="70"/>
      </w:pPr>
      <w:r>
        <w:rPr>
          <w:b/>
          <w:color w:val="0B6B70"/>
        </w:rPr>
        <w:t xml:space="preserve">1. </w:t>
      </w:r>
      <w:r>
        <w:t>choisir une révision historique ;</w:t>
      </w:r>
    </w:p>
    <w:p>
      <w:pPr>
        <w:pStyle w:val="ListNumber"/>
        <w:ind w:left="520" w:hanging="280"/>
        <w:spacing w:after="70"/>
      </w:pPr>
      <w:r>
        <w:rPr>
          <w:b/>
          <w:color w:val="0B6B70"/>
        </w:rPr>
        <w:t xml:space="preserve">2. </w:t>
      </w:r>
      <w:r>
        <w:t>vérifier qu’aucun brouillon de travail n’est en attente ;</w:t>
      </w:r>
    </w:p>
    <w:p>
      <w:pPr>
        <w:pStyle w:val="ListNumber"/>
        <w:ind w:left="520" w:hanging="280"/>
        <w:spacing w:after="70"/>
      </w:pPr>
      <w:r>
        <w:rPr>
          <w:b/>
          <w:color w:val="0B6B70"/>
        </w:rPr>
        <w:t xml:space="preserve">3. </w:t>
      </w:r>
      <w:r>
        <w:t>saisir la justification et confirmer avec un compte Professor ;</w:t>
      </w:r>
    </w:p>
    <w:p>
      <w:pPr>
        <w:pStyle w:val="ListNumber"/>
        <w:ind w:left="520" w:hanging="280"/>
        <w:spacing w:after="70"/>
      </w:pPr>
      <w:r>
        <w:rPr>
          <w:b/>
          <w:color w:val="0B6B70"/>
        </w:rPr>
        <w:t xml:space="preserve">4. </w:t>
      </w:r>
      <w:r>
        <w:t>laisser la RPC valider les 58 spécialités, copier le snapshot et basculer l’actif atomiquement ;</w:t>
      </w:r>
    </w:p>
    <w:p>
      <w:pPr>
        <w:pStyle w:val="ListNumber"/>
        <w:ind w:left="520" w:hanging="280"/>
        <w:spacing w:after="70"/>
      </w:pPr>
      <w:r>
        <w:rPr>
          <w:b/>
          <w:color w:val="0B6B70"/>
        </w:rPr>
        <w:t xml:space="preserve">5. </w:t>
      </w:r>
      <w:r>
        <w:t>contrôler la nouvelle révision active et son checksum.</w:t>
      </w:r>
    </w:p>
    <w:p>
      <w:pPr>
        <w:pStyle w:val="Heading2"/>
      </w:pPr>
      <w:r>
        <w:t>12.3 Sauvegarde de la plateforme</w:t>
      </w:r>
    </w:p>
    <w:p>
      <w:r>
        <w:t>Les mécanismes de sauvegarde disponibles dépendent du plan Supabase. Ils doivent être complétés par :</w:t>
      </w:r>
    </w:p>
    <w:p>
      <w:pPr>
        <w:pStyle w:val="ListBullet"/>
        <w:ind w:left="520" w:hanging="280"/>
        <w:spacing w:after="70"/>
      </w:pPr>
      <w:r>
        <w:rPr>
          <w:b/>
          <w:color w:val="0B6B70"/>
        </w:rPr>
        <w:t xml:space="preserve">• </w:t>
      </w:r>
      <w:r>
        <w:t>l’archivage des migrations SQL dans le dépôt ;</w:t>
      </w:r>
    </w:p>
    <w:p>
      <w:pPr>
        <w:pStyle w:val="ListBullet"/>
        <w:ind w:left="520" w:hanging="280"/>
        <w:spacing w:after="70"/>
      </w:pPr>
      <w:r>
        <w:rPr>
          <w:b/>
          <w:color w:val="0B6B70"/>
        </w:rPr>
        <w:t xml:space="preserve">• </w:t>
      </w:r>
      <w:r>
        <w:t>l’export périodique des données selon la politique de conservation ;</w:t>
      </w:r>
    </w:p>
    <w:p>
      <w:pPr>
        <w:pStyle w:val="ListBullet"/>
        <w:ind w:left="520" w:hanging="280"/>
        <w:spacing w:after="70"/>
      </w:pPr>
      <w:r>
        <w:rPr>
          <w:b/>
          <w:color w:val="0B6B70"/>
        </w:rPr>
        <w:t xml:space="preserve">• </w:t>
      </w:r>
      <w:r>
        <w:t>un test documenté de restauration ;</w:t>
      </w:r>
    </w:p>
    <w:p>
      <w:pPr>
        <w:pStyle w:val="ListBullet"/>
        <w:ind w:left="520" w:hanging="280"/>
        <w:spacing w:after="70"/>
      </w:pPr>
      <w:r>
        <w:rPr>
          <w:b/>
          <w:color w:val="0B6B70"/>
        </w:rPr>
        <w:t xml:space="preserve">• </w:t>
      </w:r>
      <w:r>
        <w:t>une conservation séparée des journaux nécessaires à l’audit ;</w:t>
      </w:r>
    </w:p>
    <w:p>
      <w:pPr>
        <w:pStyle w:val="ListBullet"/>
        <w:ind w:left="520" w:hanging="280"/>
        <w:spacing w:after="70"/>
      </w:pPr>
      <w:r>
        <w:rPr>
          <w:b/>
          <w:color w:val="0B6B70"/>
        </w:rPr>
        <w:t xml:space="preserve">• </w:t>
      </w:r>
      <w:r>
        <w:t>une procédure d’incident et de révocation des comptes.</w:t>
      </w:r>
    </w:p>
    <w:p>
      <w:pPr>
        <w:pStyle w:val="Heading1"/>
      </w:pPr>
      <w:r>
        <w:t>13. Tests et déploiement</w:t>
      </w:r>
    </w:p>
    <w:p>
      <w:pPr>
        <w:pStyle w:val="Heading2"/>
      </w:pPr>
      <w:r>
        <w:t>13.1 Tests de base à conserver</w:t>
      </w:r>
    </w:p>
    <w:p>
      <w:pPr>
        <w:pStyle w:val="ListBullet"/>
        <w:ind w:left="520" w:hanging="280"/>
        <w:spacing w:after="70"/>
      </w:pPr>
      <w:r>
        <w:rPr>
          <w:b/>
          <w:color w:val="0B6B70"/>
        </w:rPr>
        <w:t xml:space="preserve">• </w:t>
      </w:r>
      <w:r>
        <w:t>absence de lecture anonyme des réponses ;</w:t>
      </w:r>
    </w:p>
    <w:p>
      <w:pPr>
        <w:pStyle w:val="ListBullet"/>
        <w:ind w:left="520" w:hanging="280"/>
        <w:spacing w:after="70"/>
      </w:pPr>
      <w:r>
        <w:rPr>
          <w:b/>
          <w:color w:val="0B6B70"/>
        </w:rPr>
        <w:t xml:space="preserve">• </w:t>
      </w:r>
      <w:r>
        <w:t>absence d’écriture directe ;</w:t>
      </w:r>
    </w:p>
    <w:p>
      <w:pPr>
        <w:pStyle w:val="ListBullet"/>
        <w:ind w:left="520" w:hanging="280"/>
        <w:spacing w:after="70"/>
      </w:pPr>
      <w:r>
        <w:rPr>
          <w:b/>
          <w:color w:val="0B6B70"/>
        </w:rPr>
        <w:t xml:space="preserve">• </w:t>
      </w:r>
      <w:r>
        <w:t>validation stricte des payloads ;</w:t>
      </w:r>
    </w:p>
    <w:p>
      <w:pPr>
        <w:pStyle w:val="ListBullet"/>
        <w:ind w:left="520" w:hanging="280"/>
        <w:spacing w:after="70"/>
      </w:pPr>
      <w:r>
        <w:rPr>
          <w:b/>
          <w:color w:val="0B6B70"/>
        </w:rPr>
        <w:t xml:space="preserve">• </w:t>
      </w:r>
      <w:r>
        <w:t>idempotence des soumissions ;</w:t>
      </w:r>
    </w:p>
    <w:p>
      <w:pPr>
        <w:pStyle w:val="ListBullet"/>
        <w:ind w:left="520" w:hanging="280"/>
        <w:spacing w:after="70"/>
      </w:pPr>
      <w:r>
        <w:rPr>
          <w:b/>
          <w:color w:val="0B6B70"/>
        </w:rPr>
        <w:t xml:space="preserve">• </w:t>
      </w:r>
      <w:r>
        <w:t>rejet d'un même UUID rejoué avec un payload ou une provenance différente ;</w:t>
      </w:r>
    </w:p>
    <w:p>
      <w:pPr>
        <w:pStyle w:val="ListBullet"/>
        <w:ind w:left="520" w:hanging="280"/>
        <w:spacing w:after="70"/>
      </w:pPr>
      <w:r>
        <w:rPr>
          <w:b/>
          <w:color w:val="0B6B70"/>
        </w:rPr>
        <w:t xml:space="preserve">• </w:t>
      </w:r>
      <w:r>
        <w:t>allowlist de recherche ;</w:t>
      </w:r>
    </w:p>
    <w:p>
      <w:pPr>
        <w:pStyle w:val="ListBullet"/>
        <w:ind w:left="520" w:hanging="280"/>
        <w:spacing w:after="70"/>
      </w:pPr>
      <w:r>
        <w:rPr>
          <w:b/>
          <w:color w:val="0B6B70"/>
        </w:rPr>
        <w:t xml:space="preserve">• </w:t>
      </w:r>
      <w:r>
        <w:t>résistance des gardes RLS restrictives.</w:t>
      </w:r>
    </w:p>
    <w:p>
      <w:pPr>
        <w:pStyle w:val="Heading2"/>
      </w:pPr>
      <w:r>
        <w:t>13.2 Tests du portail à ajouter ou maintenir</w:t>
      </w:r>
    </w:p>
    <w:p>
      <w:pPr>
        <w:pStyle w:val="ListBullet"/>
        <w:ind w:left="520" w:hanging="280"/>
        <w:spacing w:after="70"/>
      </w:pPr>
      <w:r>
        <w:rPr>
          <w:b/>
          <w:color w:val="0B6B70"/>
        </w:rPr>
        <w:t xml:space="preserve">• </w:t>
      </w:r>
      <w:r>
        <w:rPr>
          <w:rFonts w:ascii="Consolas" w:hAnsi="Consolas"/>
          <w:shd w:fill="EEF2F4"/>
        </w:rPr>
        <w:t>anon</w:t>
      </w:r>
      <w:r>
        <w:t xml:space="preserve"> lit uniquement le catalogue actif ;</w:t>
      </w:r>
    </w:p>
    <w:p>
      <w:pPr>
        <w:pStyle w:val="ListBullet"/>
        <w:ind w:left="520" w:hanging="280"/>
        <w:spacing w:after="70"/>
      </w:pPr>
      <w:r>
        <w:rPr>
          <w:b/>
          <w:color w:val="0B6B70"/>
        </w:rPr>
        <w:t xml:space="preserve">• </w:t>
      </w:r>
      <w:r>
        <w:t>un compte Auth ordinaire ne lit ni réponses ni brouillon ;</w:t>
      </w:r>
    </w:p>
    <w:p>
      <w:pPr>
        <w:pStyle w:val="ListBullet"/>
        <w:ind w:left="520" w:hanging="280"/>
        <w:spacing w:after="70"/>
      </w:pPr>
      <w:r>
        <w:rPr>
          <w:b/>
          <w:color w:val="0B6B70"/>
        </w:rPr>
        <w:t xml:space="preserve">• </w:t>
      </w:r>
      <w:r>
        <w:t>Researcher lit les réponses mais n’édite pas le catalogue ;</w:t>
      </w:r>
    </w:p>
    <w:p>
      <w:pPr>
        <w:pStyle w:val="ListBullet"/>
        <w:ind w:left="520" w:hanging="280"/>
        <w:spacing w:after="70"/>
      </w:pPr>
      <w:r>
        <w:rPr>
          <w:b/>
          <w:color w:val="0B6B70"/>
        </w:rPr>
        <w:t xml:space="preserve">• </w:t>
      </w:r>
      <w:r>
        <w:t>Doctor édite un brouillon mais ne publie pas ;</w:t>
      </w:r>
    </w:p>
    <w:p>
      <w:pPr>
        <w:pStyle w:val="ListBullet"/>
        <w:ind w:left="520" w:hanging="280"/>
        <w:spacing w:after="70"/>
      </w:pPr>
      <w:r>
        <w:rPr>
          <w:b/>
          <w:color w:val="0B6B70"/>
        </w:rPr>
        <w:t xml:space="preserve">• </w:t>
      </w:r>
      <w:r>
        <w:t>Professor édite, publie et restaure ;</w:t>
      </w:r>
    </w:p>
    <w:p>
      <w:pPr>
        <w:pStyle w:val="ListBullet"/>
        <w:ind w:left="520" w:hanging="280"/>
        <w:spacing w:after="70"/>
      </w:pPr>
      <w:r>
        <w:rPr>
          <w:b/>
          <w:color w:val="0B6B70"/>
        </w:rPr>
        <w:t xml:space="preserve">• </w:t>
      </w:r>
      <w:r>
        <w:t>aucun rôle navigateur n’écrit directement dans les tables privées ;</w:t>
      </w:r>
    </w:p>
    <w:p>
      <w:pPr>
        <w:pStyle w:val="ListBullet"/>
        <w:ind w:left="520" w:hanging="280"/>
        <w:spacing w:after="70"/>
      </w:pPr>
      <w:r>
        <w:rPr>
          <w:b/>
          <w:color w:val="0B6B70"/>
        </w:rPr>
        <w:t xml:space="preserve">• </w:t>
      </w:r>
      <w:r>
        <w:t>les versions actives et archivées sont immuables ;</w:t>
      </w:r>
    </w:p>
    <w:p>
      <w:pPr>
        <w:pStyle w:val="ListBullet"/>
        <w:ind w:left="520" w:hanging="280"/>
        <w:spacing w:after="70"/>
      </w:pPr>
      <w:r>
        <w:rPr>
          <w:b/>
          <w:color w:val="0B6B70"/>
        </w:rPr>
        <w:t xml:space="preserve">• </w:t>
      </w:r>
      <w:r>
        <w:t xml:space="preserve">un conflit de </w:t>
      </w:r>
      <w:r>
        <w:rPr>
          <w:rFonts w:ascii="Consolas" w:hAnsi="Consolas"/>
          <w:shd w:fill="EEF2F4"/>
        </w:rPr>
        <w:t>lock_version</w:t>
      </w:r>
      <w:r>
        <w:t xml:space="preserve"> est détecté ;</w:t>
      </w:r>
    </w:p>
    <w:p>
      <w:pPr>
        <w:pStyle w:val="ListBullet"/>
        <w:ind w:left="520" w:hanging="280"/>
        <w:spacing w:after="70"/>
      </w:pPr>
      <w:r>
        <w:rPr>
          <w:b/>
          <w:color w:val="0B6B70"/>
        </w:rPr>
        <w:t xml:space="preserve">• </w:t>
      </w:r>
      <w:r>
        <w:t>une publication contient exactement 58 spécialités ;</w:t>
      </w:r>
    </w:p>
    <w:p>
      <w:pPr>
        <w:pStyle w:val="ListBullet"/>
        <w:ind w:left="520" w:hanging="280"/>
        <w:spacing w:after="70"/>
      </w:pPr>
      <w:r>
        <w:rPr>
          <w:b/>
          <w:color w:val="0B6B70"/>
        </w:rPr>
        <w:t xml:space="preserve">• </w:t>
      </w:r>
      <w:r>
        <w:t>la publication est atomique ;</w:t>
      </w:r>
    </w:p>
    <w:p>
      <w:pPr>
        <w:pStyle w:val="ListBullet"/>
        <w:ind w:left="520" w:hanging="280"/>
        <w:spacing w:after="70"/>
      </w:pPr>
      <w:r>
        <w:rPr>
          <w:b/>
          <w:color w:val="0B6B70"/>
        </w:rPr>
        <w:t xml:space="preserve">• </w:t>
      </w:r>
      <w:r>
        <w:t>le checksum est stable pour un contenu stable ;</w:t>
      </w:r>
    </w:p>
    <w:p>
      <w:pPr>
        <w:pStyle w:val="ListBullet"/>
        <w:ind w:left="520" w:hanging="280"/>
        <w:spacing w:after="70"/>
      </w:pPr>
      <w:r>
        <w:rPr>
          <w:b/>
          <w:color w:val="0B6B70"/>
        </w:rPr>
        <w:t xml:space="preserve">• </w:t>
      </w:r>
      <w:r>
        <w:rPr>
          <w:rFonts w:ascii="Consolas" w:hAnsi="Consolas"/>
          <w:shd w:fill="EEF2F4"/>
        </w:rPr>
        <w:t>prevention_orientation</w:t>
      </w:r>
      <w:r>
        <w:t xml:space="preserve"> ne peut pas changer ;</w:t>
      </w:r>
    </w:p>
    <w:p>
      <w:pPr>
        <w:pStyle w:val="ListBullet"/>
        <w:ind w:left="520" w:hanging="280"/>
        <w:spacing w:after="70"/>
      </w:pPr>
      <w:r>
        <w:rPr>
          <w:b/>
          <w:color w:val="0B6B70"/>
        </w:rPr>
        <w:t xml:space="preserve">• </w:t>
      </w:r>
      <w:r>
        <w:t>les appels v2 et v3 refusent une version non publiée ;</w:t>
      </w:r>
    </w:p>
    <w:p>
      <w:pPr>
        <w:pStyle w:val="ListBullet"/>
        <w:ind w:left="520" w:hanging="280"/>
        <w:spacing w:after="70"/>
      </w:pPr>
      <w:r>
        <w:rPr>
          <w:b/>
          <w:color w:val="0B6B70"/>
        </w:rPr>
        <w:t xml:space="preserve">• </w:t>
      </w:r>
      <w:r>
        <w:t>l’UUID et la révision enregistrés sont cohérents ;</w:t>
      </w:r>
    </w:p>
    <w:p>
      <w:pPr>
        <w:pStyle w:val="ListBullet"/>
        <w:ind w:left="520" w:hanging="280"/>
        <w:spacing w:after="70"/>
      </w:pPr>
      <w:r>
        <w:rPr>
          <w:b/>
          <w:color w:val="0B6B70"/>
        </w:rPr>
        <w:t xml:space="preserve">• </w:t>
      </w:r>
      <w:r>
        <w:t>les fonctions v1 et v2 restent compatibles avec les données historiques ;</w:t>
      </w:r>
    </w:p>
    <w:p>
      <w:pPr>
        <w:pStyle w:val="ListBullet"/>
        <w:ind w:left="520" w:hanging="280"/>
        <w:spacing w:after="70"/>
      </w:pPr>
      <w:r>
        <w:rPr>
          <w:b/>
          <w:color w:val="0B6B70"/>
        </w:rPr>
        <w:t xml:space="preserve">• </w:t>
      </w:r>
      <w:r>
        <w:t>les soumissions v3 écrivent le schéma 2 et les versions scientifiques exactes ;</w:t>
      </w:r>
    </w:p>
    <w:p>
      <w:pPr>
        <w:pStyle w:val="ListBullet"/>
        <w:ind w:left="520" w:hanging="280"/>
        <w:spacing w:after="70"/>
      </w:pPr>
      <w:r>
        <w:rPr>
          <w:b/>
          <w:color w:val="0B6B70"/>
        </w:rPr>
        <w:t xml:space="preserve">• </w:t>
      </w:r>
      <w:r>
        <w:t xml:space="preserve">les quatre textes permanents et, pour une réponse </w:t>
      </w:r>
      <w:r>
        <w:rPr>
          <w:rFonts w:ascii="Consolas" w:hAnsi="Consolas"/>
          <w:shd w:fill="EEF2F4"/>
        </w:rPr>
        <w:t>no</w:t>
      </w:r>
      <w:r>
        <w:t>, le texte conditionnel sont obligatoires selon leurs règles de longueur ;</w:t>
      </w:r>
    </w:p>
    <w:p>
      <w:pPr>
        <w:pStyle w:val="ListBullet"/>
        <w:ind w:left="520" w:hanging="280"/>
        <w:spacing w:after="70"/>
      </w:pPr>
      <w:r>
        <w:rPr>
          <w:b/>
          <w:color w:val="0B6B70"/>
        </w:rPr>
        <w:t xml:space="preserve">• </w:t>
      </w:r>
      <w:r>
        <w:t xml:space="preserve">une réponse </w:t>
      </w:r>
      <w:r>
        <w:rPr>
          <w:rFonts w:ascii="Consolas" w:hAnsi="Consolas"/>
          <w:shd w:fill="EEF2F4"/>
        </w:rPr>
        <w:t>no</w:t>
      </w:r>
      <w:r>
        <w:t xml:space="preserve"> exige une raison et une réponse </w:t>
      </w:r>
      <w:r>
        <w:rPr>
          <w:rFonts w:ascii="Consolas" w:hAnsi="Consolas"/>
          <w:shd w:fill="EEF2F4"/>
        </w:rPr>
        <w:t>yes</w:t>
      </w:r>
      <w:r>
        <w:t xml:space="preserve"> interdit cette raison ;</w:t>
      </w:r>
    </w:p>
    <w:p>
      <w:pPr>
        <w:pStyle w:val="ListBullet"/>
        <w:ind w:left="520" w:hanging="280"/>
        <w:spacing w:after="70"/>
      </w:pPr>
      <w:r>
        <w:rPr>
          <w:b/>
          <w:color w:val="0B6B70"/>
        </w:rPr>
        <w:t xml:space="preserve">• </w:t>
      </w:r>
      <w:r>
        <w:t xml:space="preserve">les champs structurés legacy restent </w:t>
      </w:r>
      <w:r>
        <w:rPr>
          <w:rFonts w:ascii="Consolas" w:hAnsi="Consolas"/>
          <w:shd w:fill="EEF2F4"/>
        </w:rPr>
        <w:t>NULL</w:t>
      </w:r>
      <w:r>
        <w:t xml:space="preserve"> dans le schéma 2 ;</w:t>
      </w:r>
    </w:p>
    <w:p>
      <w:pPr>
        <w:pStyle w:val="ListBullet"/>
        <w:ind w:left="520" w:hanging="280"/>
        <w:spacing w:after="70"/>
      </w:pPr>
      <w:r>
        <w:rPr>
          <w:b/>
          <w:color w:val="0B6B70"/>
        </w:rPr>
        <w:t xml:space="preserve">• </w:t>
      </w:r>
      <w:r>
        <w:t xml:space="preserve">le nouvel instantané actif complète seulement les traits mesurés manquants, garde les cibles existantes et laisse </w:t>
      </w:r>
      <w:r>
        <w:rPr>
          <w:rFonts w:ascii="Consolas" w:hAnsi="Consolas"/>
          <w:shd w:fill="EEF2F4"/>
        </w:rPr>
        <w:t>prevention_orientation</w:t>
      </w:r>
      <w:r>
        <w:t xml:space="preserve"> inchangé ;</w:t>
      </w:r>
    </w:p>
    <w:p>
      <w:pPr>
        <w:pStyle w:val="ListBullet"/>
        <w:ind w:left="520" w:hanging="280"/>
        <w:spacing w:after="70"/>
      </w:pPr>
      <w:r>
        <w:rPr>
          <w:b/>
          <w:color w:val="0B6B70"/>
        </w:rPr>
        <w:t xml:space="preserve">• </w:t>
      </w:r>
      <w:r>
        <w:t>les exports contiennent les verbatims, la provenance et neutralisent les préfixes de formule CSV ;</w:t>
      </w:r>
    </w:p>
    <w:p>
      <w:pPr>
        <w:pStyle w:val="ListBullet"/>
        <w:ind w:left="520" w:hanging="280"/>
        <w:spacing w:after="70"/>
      </w:pPr>
      <w:r>
        <w:rPr>
          <w:b/>
          <w:color w:val="0B6B70"/>
        </w:rPr>
        <w:t xml:space="preserve">• </w:t>
      </w:r>
      <w:r>
        <w:t>la sélection d'une valeur manuelle ne peut plus diminuer le rang d'une spécialité manuelle ;</w:t>
      </w:r>
    </w:p>
    <w:p>
      <w:pPr>
        <w:pStyle w:val="ListBullet"/>
        <w:ind w:left="520" w:hanging="280"/>
        <w:spacing w:after="70"/>
      </w:pPr>
      <w:r>
        <w:rPr>
          <w:b/>
          <w:color w:val="0B6B70"/>
        </w:rPr>
        <w:t xml:space="preserve">• </w:t>
      </w:r>
      <w:r>
        <w:t>un sous-score sans trait disponible reste non mesuré plutôt que 0 %.</w:t>
      </w:r>
    </w:p>
    <w:p>
      <w:pPr>
        <w:pStyle w:val="Heading2"/>
      </w:pPr>
      <w:r>
        <w:t>13.3 Vérifications applicatives</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npm.cmd run typecheck</w:t>
      </w:r>
      <w:r>
        <w:br/>
      </w:r>
      <w:r>
        <w:rPr>
          <w:rFonts w:ascii="Consolas" w:hAnsi="Consolas"/>
          <w:shd w:fill="EEF2F4"/>
          <w:sz w:val="18"/>
          <w:szCs w:val="18"/>
        </w:rPr>
        <w:t>npm.cmd run lint</w:t>
      </w:r>
      <w:r>
        <w:br/>
      </w:r>
      <w:r>
        <w:rPr>
          <w:rFonts w:ascii="Consolas" w:hAnsi="Consolas"/>
          <w:shd w:fill="EEF2F4"/>
          <w:sz w:val="18"/>
          <w:szCs w:val="18"/>
        </w:rPr>
        <w:t>npm.cmd run test:dashboard</w:t>
      </w:r>
      <w:r>
        <w:br/>
      </w:r>
      <w:r>
        <w:rPr>
          <w:rFonts w:ascii="Consolas" w:hAnsi="Consolas"/>
          <w:shd w:fill="EEF2F4"/>
          <w:sz w:val="18"/>
          <w:szCs w:val="18"/>
        </w:rPr>
        <w:t>npm.cmd run build</w:t>
      </w:r>
    </w:p>
    <w:p>
      <w:pPr>
        <w:pStyle w:val="Heading2"/>
      </w:pPr>
      <w:r>
        <w:t>13.4 Déploiement Supabase</w:t>
      </w:r>
    </w:p>
    <w:p>
      <w:pPr>
        <w:pStyle w:val="CodeBlock"/>
        <w:ind w:left="260"/>
        <w:spacing w:before="100" w:after="140"/>
        <w:shd w:fill="F3F6F7"/>
        <w:pBdr>
          <w:top w:val="single" w:sz="4" w:space="6" w:color="D5E1E3"/>
          <w:left w:val="single" w:sz="4" w:space="6" w:color="D5E1E3"/>
          <w:bottom w:val="single" w:sz="4" w:space="6" w:color="D5E1E3"/>
          <w:right w:val="single" w:sz="4" w:space="6" w:color="D5E1E3"/>
        </w:pBdr>
      </w:pPr>
      <w:r>
        <w:rPr>
          <w:rFonts w:ascii="Consolas" w:hAnsi="Consolas"/>
          <w:shd w:fill="EEF2F4"/>
          <w:sz w:val="18"/>
          <w:szCs w:val="18"/>
        </w:rPr>
        <w:t>npx.cmd --yes supabase@2.115.0 migration list</w:t>
      </w:r>
      <w:r>
        <w:br/>
      </w:r>
      <w:r>
        <w:rPr>
          <w:rFonts w:ascii="Consolas" w:hAnsi="Consolas"/>
          <w:shd w:fill="EEF2F4"/>
          <w:sz w:val="18"/>
          <w:szCs w:val="18"/>
        </w:rPr>
        <w:t>npx.cmd --yes supabase@2.115.0 db push --dry-run</w:t>
      </w:r>
      <w:r>
        <w:br/>
      </w:r>
      <w:r>
        <w:rPr>
          <w:rFonts w:ascii="Consolas" w:hAnsi="Consolas"/>
          <w:shd w:fill="EEF2F4"/>
          <w:sz w:val="18"/>
          <w:szCs w:val="18"/>
        </w:rPr>
        <w:t>npx.cmd --yes supabase@2.115.0 db push</w:t>
      </w:r>
      <w:r>
        <w:br/>
      </w:r>
      <w:r>
        <w:rPr>
          <w:rFonts w:ascii="Consolas" w:hAnsi="Consolas"/>
          <w:shd w:fill="EEF2F4"/>
          <w:sz w:val="18"/>
          <w:szCs w:val="18"/>
        </w:rPr>
        <w:t>npx.cmd --yes supabase@2.115.0 db lint --linked</w:t>
      </w:r>
    </w:p>
    <w:p>
      <w:r>
        <w:t>Après déploiement :</w:t>
      </w:r>
    </w:p>
    <w:p>
      <w:pPr>
        <w:pStyle w:val="ListNumber"/>
        <w:ind w:left="520" w:hanging="280"/>
        <w:spacing w:after="70"/>
      </w:pPr>
      <w:r>
        <w:rPr>
          <w:b/>
          <w:color w:val="0B6B70"/>
        </w:rPr>
        <w:t xml:space="preserve">1. </w:t>
      </w:r>
      <w:r>
        <w:t>contrôler les résultats pgTAP ;</w:t>
      </w:r>
    </w:p>
    <w:p>
      <w:pPr>
        <w:pStyle w:val="ListNumber"/>
        <w:ind w:left="520" w:hanging="280"/>
        <w:spacing w:after="70"/>
      </w:pPr>
      <w:r>
        <w:rPr>
          <w:b/>
          <w:color w:val="0B6B70"/>
        </w:rPr>
        <w:t xml:space="preserve">2. </w:t>
      </w:r>
      <w:r>
        <w:t>vérifier les privilèges et RLS ;</w:t>
      </w:r>
    </w:p>
    <w:p>
      <w:pPr>
        <w:pStyle w:val="ListNumber"/>
        <w:ind w:left="520" w:hanging="280"/>
        <w:spacing w:after="70"/>
      </w:pPr>
      <w:r>
        <w:rPr>
          <w:b/>
          <w:color w:val="0B6B70"/>
        </w:rPr>
        <w:t xml:space="preserve">3. </w:t>
      </w:r>
      <w:r>
        <w:t>tester chaque rôle avec un compte distinct ;</w:t>
      </w:r>
    </w:p>
    <w:p>
      <w:pPr>
        <w:pStyle w:val="ListNumber"/>
        <w:ind w:left="520" w:hanging="280"/>
        <w:spacing w:after="70"/>
      </w:pPr>
      <w:r>
        <w:rPr>
          <w:b/>
          <w:color w:val="0B6B70"/>
        </w:rPr>
        <w:t xml:space="preserve">4. </w:t>
      </w:r>
      <w:r>
        <w:t>tester la lecture publique du seul catalogue actif ;</w:t>
      </w:r>
    </w:p>
    <w:p>
      <w:pPr>
        <w:pStyle w:val="ListNumber"/>
        <w:ind w:left="520" w:hanging="280"/>
        <w:spacing w:after="70"/>
      </w:pPr>
      <w:r>
        <w:rPr>
          <w:b/>
          <w:color w:val="0B6B70"/>
        </w:rPr>
        <w:t xml:space="preserve">5. </w:t>
      </w:r>
      <w:r>
        <w:t>créer un brouillon de test, vérifier le conflit optimiste, puis l’annuler ou le publier selon le protocole ;</w:t>
      </w:r>
    </w:p>
    <w:p>
      <w:pPr>
        <w:pStyle w:val="ListNumber"/>
        <w:ind w:left="520" w:hanging="280"/>
        <w:spacing w:after="70"/>
      </w:pPr>
      <w:r>
        <w:rPr>
          <w:b/>
          <w:color w:val="0B6B70"/>
        </w:rPr>
        <w:t xml:space="preserve">6. </w:t>
      </w:r>
      <w:r>
        <w:t>effectuer une soumission étudiante v3 et une soumission spécialiste v3 synthétiques, puis vérifier leur schéma, leurs versions, leurs réponses qualitatives et leur provenance ;</w:t>
      </w:r>
    </w:p>
    <w:p>
      <w:pPr>
        <w:pStyle w:val="ListNumber"/>
        <w:ind w:left="520" w:hanging="280"/>
        <w:spacing w:after="70"/>
      </w:pPr>
      <w:r>
        <w:rPr>
          <w:b/>
          <w:color w:val="0B6B70"/>
        </w:rPr>
        <w:t xml:space="preserve">7. </w:t>
      </w:r>
      <w:r>
        <w:t>supprimer les données synthétiques avec une procédure administrative contrôlée.</w:t>
      </w:r>
    </w:p>
    <w:p>
      <w:pPr>
        <w:pStyle w:val="Heading1"/>
      </w:pPr>
      <w:r>
        <w:t>14. Exploitation et bonnes pratiques</w:t>
      </w:r>
    </w:p>
    <w:p>
      <w:pPr>
        <w:pStyle w:val="Heading2"/>
      </w:pPr>
      <w:r>
        <w:t>14.1 Comptes</w:t>
      </w:r>
    </w:p>
    <w:p>
      <w:pPr>
        <w:pStyle w:val="ListBullet"/>
        <w:ind w:left="520" w:hanging="280"/>
        <w:spacing w:after="70"/>
      </w:pPr>
      <w:r>
        <w:rPr>
          <w:b/>
          <w:color w:val="0B6B70"/>
        </w:rPr>
        <w:t xml:space="preserve">• </w:t>
      </w:r>
      <w:r>
        <w:t>utiliser un compte individuel par personne ;</w:t>
      </w:r>
    </w:p>
    <w:p>
      <w:pPr>
        <w:pStyle w:val="ListBullet"/>
        <w:ind w:left="520" w:hanging="280"/>
        <w:spacing w:after="70"/>
      </w:pPr>
      <w:r>
        <w:rPr>
          <w:b/>
          <w:color w:val="0B6B70"/>
        </w:rPr>
        <w:t xml:space="preserve">• </w:t>
      </w:r>
      <w:r>
        <w:t>réserver Professor à la personne responsable de la publication ;</w:t>
      </w:r>
    </w:p>
    <w:p>
      <w:pPr>
        <w:pStyle w:val="ListBullet"/>
        <w:ind w:left="520" w:hanging="280"/>
        <w:spacing w:after="70"/>
      </w:pPr>
      <w:r>
        <w:rPr>
          <w:b/>
          <w:color w:val="0B6B70"/>
        </w:rPr>
        <w:t xml:space="preserve">• </w:t>
      </w:r>
      <w:r>
        <w:t>accorder Doctor aux contributeurs cliniques qui préparent les brouillons ;</w:t>
      </w:r>
    </w:p>
    <w:p>
      <w:pPr>
        <w:pStyle w:val="ListBullet"/>
        <w:ind w:left="520" w:hanging="280"/>
        <w:spacing w:after="70"/>
      </w:pPr>
      <w:r>
        <w:rPr>
          <w:b/>
          <w:color w:val="0B6B70"/>
        </w:rPr>
        <w:t xml:space="preserve">• </w:t>
      </w:r>
      <w:r>
        <w:t>conserver Researcher pour la consultation des cohortes ;</w:t>
      </w:r>
    </w:p>
    <w:p>
      <w:pPr>
        <w:pStyle w:val="ListBullet"/>
        <w:ind w:left="520" w:hanging="280"/>
        <w:spacing w:after="70"/>
      </w:pPr>
      <w:r>
        <w:rPr>
          <w:b/>
          <w:color w:val="0B6B70"/>
        </w:rPr>
        <w:t xml:space="preserve">• </w:t>
      </w:r>
      <w:r>
        <w:t xml:space="preserve">désactiver immédiatement </w:t>
      </w:r>
      <w:r>
        <w:rPr>
          <w:rFonts w:ascii="Consolas" w:hAnsi="Consolas"/>
          <w:shd w:fill="EEF2F4"/>
        </w:rPr>
        <w:t>enabled</w:t>
      </w:r>
      <w:r>
        <w:t xml:space="preserve"> lors d’un départ ou d’un incident ;</w:t>
      </w:r>
    </w:p>
    <w:p>
      <w:pPr>
        <w:pStyle w:val="ListBullet"/>
        <w:ind w:left="520" w:hanging="280"/>
        <w:spacing w:after="70"/>
      </w:pPr>
      <w:r>
        <w:rPr>
          <w:b/>
          <w:color w:val="0B6B70"/>
        </w:rPr>
        <w:t xml:space="preserve">• </w:t>
      </w:r>
      <w:r>
        <w:t>utiliser MFA lorsque le plan et la politique de l’organisation le permettent ;</w:t>
      </w:r>
    </w:p>
    <w:p>
      <w:pPr>
        <w:pStyle w:val="ListBullet"/>
        <w:ind w:left="520" w:hanging="280"/>
        <w:spacing w:after="70"/>
      </w:pPr>
      <w:r>
        <w:rPr>
          <w:b/>
          <w:color w:val="0B6B70"/>
        </w:rPr>
        <w:t xml:space="preserve">• </w:t>
      </w:r>
      <w:r>
        <w:t xml:space="preserve">ne jamais stocker de mot de passe ou de clé administrative dans une variable </w:t>
      </w:r>
      <w:r>
        <w:rPr>
          <w:rFonts w:ascii="Consolas" w:hAnsi="Consolas"/>
          <w:shd w:fill="EEF2F4"/>
        </w:rPr>
        <w:t>VITE_*</w:t>
      </w:r>
      <w:r>
        <w:t>.</w:t>
      </w:r>
    </w:p>
    <w:p>
      <w:pPr>
        <w:pStyle w:val="Heading2"/>
      </w:pPr>
      <w:r>
        <w:t>14.2 Changements scientifiques</w:t>
      </w:r>
    </w:p>
    <w:p>
      <w:pPr>
        <w:pStyle w:val="ListBullet"/>
        <w:ind w:left="520" w:hanging="280"/>
        <w:spacing w:after="70"/>
      </w:pPr>
      <w:r>
        <w:rPr>
          <w:b/>
          <w:color w:val="0B6B70"/>
        </w:rPr>
        <w:t xml:space="preserve">• </w:t>
      </w:r>
      <w:r>
        <w:t>citer les sources dans la note de changement ;</w:t>
      </w:r>
    </w:p>
    <w:p>
      <w:pPr>
        <w:pStyle w:val="ListBullet"/>
        <w:ind w:left="520" w:hanging="280"/>
        <w:spacing w:after="70"/>
      </w:pPr>
      <w:r>
        <w:rPr>
          <w:b/>
          <w:color w:val="0B6B70"/>
        </w:rPr>
        <w:t xml:space="preserve">• </w:t>
      </w:r>
      <w:r>
        <w:t>modifier un nombre limité de paramètres à la fois ;</w:t>
      </w:r>
    </w:p>
    <w:p>
      <w:pPr>
        <w:pStyle w:val="ListBullet"/>
        <w:ind w:left="520" w:hanging="280"/>
        <w:spacing w:after="70"/>
      </w:pPr>
      <w:r>
        <w:rPr>
          <w:b/>
          <w:color w:val="0B6B70"/>
        </w:rPr>
        <w:t xml:space="preserve">• </w:t>
      </w:r>
      <w:r>
        <w:t>comparer les résultats inclusifs et conservateurs en présence d’ex æquo ;</w:t>
      </w:r>
    </w:p>
    <w:p>
      <w:pPr>
        <w:pStyle w:val="ListBullet"/>
        <w:ind w:left="520" w:hanging="280"/>
        <w:spacing w:after="70"/>
      </w:pPr>
      <w:r>
        <w:rPr>
          <w:b/>
          <w:color w:val="0B6B70"/>
        </w:rPr>
        <w:t xml:space="preserve">• </w:t>
      </w:r>
      <w:r>
        <w:t>examiner les dénominateurs et les tailles de cohorte par spécialité ;</w:t>
      </w:r>
    </w:p>
    <w:p>
      <w:pPr>
        <w:pStyle w:val="ListBullet"/>
        <w:ind w:left="520" w:hanging="280"/>
        <w:spacing w:after="70"/>
      </w:pPr>
      <w:r>
        <w:rPr>
          <w:b/>
          <w:color w:val="0B6B70"/>
        </w:rPr>
        <w:t xml:space="preserve">• </w:t>
      </w:r>
      <w:r>
        <w:t>ne pas effacer une version publiée ;</w:t>
      </w:r>
    </w:p>
    <w:p>
      <w:pPr>
        <w:pStyle w:val="ListBullet"/>
        <w:ind w:left="520" w:hanging="280"/>
        <w:spacing w:after="70"/>
      </w:pPr>
      <w:r>
        <w:rPr>
          <w:b/>
          <w:color w:val="0B6B70"/>
        </w:rPr>
        <w:t xml:space="preserve">• </w:t>
      </w:r>
      <w:r>
        <w:t>incrémenter les versions du protocole lorsqu’une signification scientifique change ;</w:t>
      </w:r>
    </w:p>
    <w:p>
      <w:pPr>
        <w:pStyle w:val="ListBullet"/>
        <w:ind w:left="520" w:hanging="280"/>
        <w:spacing w:after="70"/>
      </w:pPr>
      <w:r>
        <w:rPr>
          <w:b/>
          <w:color w:val="0B6B70"/>
        </w:rPr>
        <w:t xml:space="preserve">• </w:t>
      </w:r>
      <w:r>
        <w:t>documenter la décision même lorsqu’aucun changement n’est finalement publié.</w:t>
      </w:r>
    </w:p>
    <w:p>
      <w:pPr>
        <w:pStyle w:val="Heading2"/>
      </w:pPr>
      <w:r>
        <w:t>14.3 Données personnelles et conservation</w:t>
      </w:r>
    </w:p>
    <w:p>
      <w:r>
        <w:t>Le questionnaire ne crée pas de relation avec un compte participant, mais les réponses qualitatives sont du texte libre : un participant pourrait malgré l'avertissement y saisir un nom, une coordonnée ou une information permettant d'identifier un patient. Ces verbatims doivent donc être traités comme des données de recherche potentiellement sensibles, avec accès restreint, exports maîtrisés et revue avant diffusion.</w:t>
      </w:r>
    </w:p>
    <w:p>
      <w:r>
        <w:t>Les journaux techniques de la plateforme peuvent aussi contenir des métadonnées opérationnelles. La durée de conservation, les procédures de purge, les sauvegardes, la pseudonymisation des exports et les obligations réglementaires doivent être définies avec les responsables juridiques et scientifiques du projet.</w:t>
      </w:r>
    </w:p>
    <w:p>
      <w:pPr>
        <w:pStyle w:val="Heading1"/>
      </w:pPr>
      <w:r>
        <w:t>15. Glossaire</w:t>
      </w:r>
    </w:p>
    <w:tbl>
      <w:tblPr>
        <w:tblW w:w="0" w:type="auto"/>
        <w:tblLayout w:type="autofit"/>
        <w:tblCellMar>
          <w:top w:w="90" w:type="dxa"/>
          <w:left w:w="90" w:type="dxa"/>
          <w:bottom w:w="90" w:type="dxa"/>
          <w:right w:w="90" w:type="dxa"/>
        </w:tblCellMar>
        <w:tblBorders>
          <w:top w:val="single" w:sz="4" w:color="CBD9DB"/>
          <w:left w:val="single" w:sz="4" w:color="CBD9DB"/>
          <w:bottom w:val="single" w:sz="4" w:color="CBD9DB"/>
          <w:right w:val="single" w:sz="4" w:color="CBD9DB"/>
          <w:insideH w:val="single" w:sz="4" w:color="CBD9DB"/>
          <w:insideV w:val="single" w:sz="4" w:color="CBD9DB"/>
        </w:tblBorders>
      </w:tblPr>
      <w:tblGrid>
        <w:gridCol w:w="4700"/>
        <w:gridCol w:w="4700"/>
      </w:tblGrid>
      <w:tr>
        <w:trPr>
          <w:tblHeader/>
        </w:trPr>
        <w:tc>
          <w:tcPr>
            <w:shd w:fill="0B6B70"/>
          </w:tcPr>
          <w:p>
            <w:pPr>
              <w:pStyle w:val="TableHeader"/>
              <w:spacing w:after="0"/>
            </w:pPr>
            <w:r>
              <w:rPr>
                <w:b/>
                <w:color w:val="FFFFFF"/>
                <w:sz w:val="18"/>
                <w:szCs w:val="18"/>
              </w:rPr>
              <w:t>Terme</w:t>
            </w:r>
          </w:p>
        </w:tc>
        <w:tc>
          <w:tcPr>
            <w:shd w:fill="0B6B70"/>
          </w:tcPr>
          <w:p>
            <w:pPr>
              <w:pStyle w:val="TableHeader"/>
              <w:spacing w:after="0"/>
            </w:pPr>
            <w:r>
              <w:rPr>
                <w:b/>
                <w:color w:val="FFFFFF"/>
                <w:sz w:val="18"/>
                <w:szCs w:val="18"/>
              </w:rPr>
              <w:t>Définition</w:t>
            </w:r>
          </w:p>
        </w:tc>
      </w:tr>
      <w:tr>
        <w:tc>
          <w:tcPr>
            <w:shd w:fill="FFFFFF"/>
          </w:tcPr>
          <w:p>
            <w:pPr>
              <w:pStyle w:val="TableText"/>
              <w:spacing w:after="0"/>
            </w:pPr>
            <w:r>
              <w:t>Allowlist</w:t>
            </w:r>
          </w:p>
        </w:tc>
        <w:tc>
          <w:tcPr>
            <w:shd w:fill="FFFFFF"/>
          </w:tcPr>
          <w:p>
            <w:pPr>
              <w:pStyle w:val="TableText"/>
              <w:spacing w:after="0"/>
            </w:pPr>
            <w:r>
              <w:t>Liste explicite des comptes autorisés à accéder au portail.</w:t>
            </w:r>
          </w:p>
        </w:tc>
      </w:tr>
      <w:tr>
        <w:tc>
          <w:tcPr>
            <w:shd w:fill="F5F8F8"/>
          </w:tcPr>
          <w:p>
            <w:pPr>
              <w:pStyle w:val="TableText"/>
              <w:spacing w:after="0"/>
            </w:pPr>
            <w:r>
              <w:t>Catalogue actif</w:t>
            </w:r>
          </w:p>
        </w:tc>
        <w:tc>
          <w:tcPr>
            <w:shd w:fill="F5F8F8"/>
          </w:tcPr>
          <w:p>
            <w:pPr>
              <w:pStyle w:val="TableText"/>
              <w:spacing w:after="0"/>
            </w:pPr>
            <w:r>
              <w:t>Unique instantané publié lu par le moteur public.</w:t>
            </w:r>
          </w:p>
        </w:tc>
      </w:tr>
      <w:tr>
        <w:tc>
          <w:tcPr>
            <w:shd w:fill="FFFFFF"/>
          </w:tcPr>
          <w:p>
            <w:pPr>
              <w:pStyle w:val="TableText"/>
              <w:spacing w:after="0"/>
            </w:pPr>
            <w:r>
              <w:t>Brouillon</w:t>
            </w:r>
          </w:p>
        </w:tc>
        <w:tc>
          <w:tcPr>
            <w:shd w:fill="FFFFFF"/>
          </w:tcPr>
          <w:p>
            <w:pPr>
              <w:pStyle w:val="TableText"/>
              <w:spacing w:after="0"/>
            </w:pPr>
            <w:r>
              <w:t>Copie modifiable qui n’affecte pas encore le moteur public.</w:t>
            </w:r>
          </w:p>
        </w:tc>
      </w:tr>
      <w:tr>
        <w:tc>
          <w:tcPr>
            <w:shd w:fill="F5F8F8"/>
          </w:tcPr>
          <w:p>
            <w:pPr>
              <w:pStyle w:val="TableText"/>
              <w:spacing w:after="0"/>
            </w:pPr>
            <w:r>
              <w:t>Révision</w:t>
            </w:r>
          </w:p>
        </w:tc>
        <w:tc>
          <w:tcPr>
            <w:shd w:fill="F5F8F8"/>
          </w:tcPr>
          <w:p>
            <w:pPr>
              <w:pStyle w:val="TableText"/>
              <w:spacing w:after="0"/>
            </w:pPr>
            <w:r>
              <w:t>Numéro croissant et lisible d’une version du catalogue.</w:t>
            </w:r>
          </w:p>
        </w:tc>
      </w:tr>
      <w:tr>
        <w:tc>
          <w:tcPr>
            <w:shd w:fill="FFFFFF"/>
          </w:tcPr>
          <w:p>
            <w:pPr>
              <w:pStyle w:val="TableText"/>
              <w:spacing w:after="0"/>
            </w:pPr>
            <w:r>
              <w:t>UUID de version</w:t>
            </w:r>
          </w:p>
        </w:tc>
        <w:tc>
          <w:tcPr>
            <w:shd w:fill="FFFFFF"/>
          </w:tcPr>
          <w:p>
            <w:pPr>
              <w:pStyle w:val="TableText"/>
              <w:spacing w:after="0"/>
            </w:pPr>
            <w:r>
              <w:t>Identifiant technique immuable de l’instantané.</w:t>
            </w:r>
          </w:p>
        </w:tc>
      </w:tr>
      <w:tr>
        <w:tc>
          <w:tcPr>
            <w:shd w:fill="F5F8F8"/>
          </w:tcPr>
          <w:p>
            <w:pPr>
              <w:pStyle w:val="TableText"/>
              <w:spacing w:after="0"/>
            </w:pPr>
            <w:r>
              <w:t>Verrou optimiste</w:t>
            </w:r>
          </w:p>
        </w:tc>
        <w:tc>
          <w:tcPr>
            <w:shd w:fill="F5F8F8"/>
          </w:tcPr>
          <w:p>
            <w:pPr>
              <w:pStyle w:val="TableText"/>
              <w:spacing w:after="0"/>
            </w:pPr>
            <w:r>
              <w:t>Numéro empêchant l’écrasement silencieux d’une édition concurrente.</w:t>
            </w:r>
          </w:p>
        </w:tc>
      </w:tr>
      <w:tr>
        <w:tc>
          <w:tcPr>
            <w:shd w:fill="FFFFFF"/>
          </w:tcPr>
          <w:p>
            <w:pPr>
              <w:pStyle w:val="TableText"/>
              <w:spacing w:after="0"/>
            </w:pPr>
            <w:r>
              <w:t>Checksum</w:t>
            </w:r>
          </w:p>
        </w:tc>
        <w:tc>
          <w:tcPr>
            <w:shd w:fill="FFFFFF"/>
          </w:tcPr>
          <w:p>
            <w:pPr>
              <w:pStyle w:val="TableText"/>
              <w:spacing w:after="0"/>
            </w:pPr>
            <w:r>
              <w:t>Empreinte déterministe du contenu d’une version.</w:t>
            </w:r>
          </w:p>
        </w:tc>
      </w:tr>
      <w:tr>
        <w:tc>
          <w:tcPr>
            <w:shd w:fill="F5F8F8"/>
          </w:tcPr>
          <w:p>
            <w:pPr>
              <w:pStyle w:val="TableText"/>
              <w:spacing w:after="0"/>
            </w:pPr>
            <w:r>
              <w:t>RLS</w:t>
            </w:r>
          </w:p>
        </w:tc>
        <w:tc>
          <w:tcPr>
            <w:shd w:fill="F5F8F8"/>
          </w:tcPr>
          <w:p>
            <w:pPr>
              <w:pStyle w:val="TableText"/>
              <w:spacing w:after="0"/>
            </w:pPr>
            <w:r>
              <w:t>Row Level Security, règles PostgreSQL appliquées aux lignes visibles.</w:t>
            </w:r>
          </w:p>
        </w:tc>
      </w:tr>
      <w:tr>
        <w:tc>
          <w:tcPr>
            <w:shd w:fill="FFFFFF"/>
          </w:tcPr>
          <w:p>
            <w:pPr>
              <w:pStyle w:val="TableText"/>
              <w:spacing w:after="0"/>
            </w:pPr>
            <w:r>
              <w:t>RPC</w:t>
            </w:r>
          </w:p>
        </w:tc>
        <w:tc>
          <w:tcPr>
            <w:shd w:fill="FFFFFF"/>
          </w:tcPr>
          <w:p>
            <w:pPr>
              <w:pStyle w:val="TableText"/>
              <w:spacing w:after="0"/>
            </w:pPr>
            <w:r>
              <w:t>Fonction PostgreSQL exposée comme point d’entrée API contrôlé.</w:t>
            </w:r>
          </w:p>
        </w:tc>
      </w:tr>
      <w:tr>
        <w:tc>
          <w:tcPr>
            <w:shd w:fill="F5F8F8"/>
          </w:tcPr>
          <w:p>
            <w:pPr>
              <w:pStyle w:val="TableText"/>
              <w:spacing w:after="0"/>
            </w:pPr>
            <w:r>
              <w:rPr>
                <w:rFonts w:ascii="Consolas" w:hAnsi="Consolas"/>
                <w:shd w:fill="EEF2F4"/>
              </w:rPr>
              <w:t>SECURITY DEFINER</w:t>
            </w:r>
          </w:p>
        </w:tc>
        <w:tc>
          <w:tcPr>
            <w:shd w:fill="F5F8F8"/>
          </w:tcPr>
          <w:p>
            <w:pPr>
              <w:pStyle w:val="TableText"/>
              <w:spacing w:after="0"/>
            </w:pPr>
            <w:r>
              <w:t>Fonction exécutée avec les privilèges de son propriétaire, donc à durcir strictement.</w:t>
            </w:r>
          </w:p>
        </w:tc>
      </w:tr>
      <w:tr>
        <w:tc>
          <w:tcPr>
            <w:shd w:fill="FFFFFF"/>
          </w:tcPr>
          <w:p>
            <w:pPr>
              <w:pStyle w:val="TableText"/>
              <w:spacing w:after="0"/>
            </w:pPr>
            <w:r>
              <w:t>Provenance</w:t>
            </w:r>
          </w:p>
        </w:tc>
        <w:tc>
          <w:tcPr>
            <w:shd w:fill="FFFFFF"/>
          </w:tcPr>
          <w:p>
            <w:pPr>
              <w:pStyle w:val="TableText"/>
              <w:spacing w:after="0"/>
            </w:pPr>
            <w:r>
              <w:t>Ensemble des versions permettant de reproduire et interpréter un résultat.</w:t>
            </w:r>
          </w:p>
        </w:tc>
      </w:tr>
      <w:tr>
        <w:tc>
          <w:tcPr>
            <w:shd w:fill="F5F8F8"/>
          </w:tcPr>
          <w:p>
            <w:pPr>
              <w:pStyle w:val="TableText"/>
              <w:spacing w:after="0"/>
            </w:pPr>
            <w:r>
              <w:t>Top-k</w:t>
            </w:r>
          </w:p>
        </w:tc>
        <w:tc>
          <w:tcPr>
            <w:shd w:fill="F5F8F8"/>
          </w:tcPr>
          <w:p>
            <w:pPr>
              <w:pStyle w:val="TableText"/>
              <w:spacing w:after="0"/>
            </w:pPr>
            <w:r>
              <w:t>Présence de la spécialité déclarée parmi les k premières recommandations.</w:t>
            </w:r>
          </w:p>
        </w:tc>
      </w:tr>
      <w:tr>
        <w:tc>
          <w:tcPr>
            <w:shd w:fill="FFFFFF"/>
          </w:tcPr>
          <w:p>
            <w:pPr>
              <w:pStyle w:val="TableText"/>
              <w:spacing w:after="0"/>
            </w:pPr>
            <w:r>
              <w:t>Legacy</w:t>
            </w:r>
          </w:p>
        </w:tc>
        <w:tc>
          <w:tcPr>
            <w:shd w:fill="FFFFFF"/>
          </w:tcPr>
          <w:p>
            <w:pPr>
              <w:pStyle w:val="TableText"/>
              <w:spacing w:after="0"/>
            </w:pPr>
            <w:r>
              <w:t>Donnée historique conservée mais incompatible avec tout ou partie du protocole courant.</w:t>
            </w:r>
          </w:p>
        </w:tc>
      </w:tr>
    </w:tbl>
    <w:p>
      <w:pPr>
        <w:spacing w:after="80"/>
      </w:pPr>
    </w:p>
    <w:p>
      <w:pPr>
        <w:spacing w:before="140" w:after="140"/>
        <w:pBdr>
          <w:bottom w:val="single" w:sz="8" w:space="6" w:color="B7CED0"/>
        </w:pBdr>
      </w:pPr>
    </w:p>
    <w:p>
      <w:r>
        <w:rPr>
          <w:b/>
        </w:rPr>
        <w:t>Références de structure :</w:t>
      </w:r>
      <w:r>
        <w:t xml:space="preserve"> </w:t>
      </w:r>
      <w:r>
        <w:rPr>
          <w:rFonts w:ascii="Consolas" w:hAnsi="Consolas"/>
          <w:shd w:fill="EEF2F4"/>
        </w:rPr>
        <w:t>supabase/migrations/20260831120000_specialist_admin_portal.sql</w:t>
      </w:r>
      <w:r>
        <w:t xml:space="preserve">, </w:t>
      </w:r>
      <w:r>
        <w:rPr>
          <w:rFonts w:ascii="Consolas" w:hAnsi="Consolas"/>
          <w:shd w:fill="EEF2F4"/>
        </w:rPr>
        <w:t>supabase/migrations/20260904193000_accuracy_and_qualitative_specialist_v2.sql</w:t>
      </w:r>
      <w:r>
        <w:t xml:space="preserve"> et </w:t>
      </w:r>
      <w:r>
        <w:rPr>
          <w:rFonts w:ascii="Consolas" w:hAnsi="Consolas"/>
          <w:shd w:fill="EEF2F4"/>
        </w:rPr>
        <w:t>supabase/migrations/20260906090000_limit_student_study_year_to_six.sql</w:t>
      </w:r>
    </w:p>
    <w:p>
      <w:r>
        <w:rPr>
          <w:b/>
        </w:rPr>
        <w:t>Source des règles antérieures de collecte et de sécurité :</w:t>
      </w:r>
      <w:r>
        <w:t xml:space="preserve"> migrations précédentes du dossier </w:t>
      </w:r>
      <w:r>
        <w:rPr>
          <w:rFonts w:ascii="Consolas" w:hAnsi="Consolas"/>
          <w:shd w:fill="EEF2F4"/>
        </w:rPr>
        <w:t>supabase/migrations</w:t>
      </w:r>
      <w:r>
        <w:t xml:space="preserve">. </w:t>
      </w:r>
      <w:r>
        <w:rPr>
          <w:b/>
        </w:rPr>
        <w:t>Format Word généré :</w:t>
      </w:r>
      <w:r>
        <w:t xml:space="preserve"> </w:t>
      </w:r>
      <w:r>
        <w:rPr>
          <w:rFonts w:ascii="Consolas" w:hAnsi="Consolas"/>
          <w:shd w:fill="EEF2F4"/>
        </w:rPr>
        <w:t>docs/Q-Project-Structure-Base-de-donnees.docx</w:t>
      </w:r>
      <w:r>
        <w:t>.</w:t>
      </w:r>
    </w:p>
    <w:sectPr>
      <w:footerReference w:type="default" r:id="rId3"/>
      <w:pgSz w:w="11906" w:h="16838"/>
      <w:pgMar w:top="1134" w:right="1080" w:bottom="1134" w:left="1080" w:header="540" w:footer="540"/>
      <w:cols w:space="708"/>
      <w:docGrid w:linePitch="360"/>
    </w:sectPr>
  </w:body>
</w:document>
</file>

<file path=word/footer1.xml><?xml version="1.0" encoding="utf-8"?>
<w:ftr xmlns:w="http://schemas.openxmlformats.org/wordprocessingml/2006/main">
  <w:p>
    <w:pPr>
      <w:pStyle w:val="Footer"/>
      <w:jc w:val="center"/>
    </w:pPr>
    <w:r>
      <w:rPr>
        <w:color w:val="60777A"/>
        <w:sz w:val="17"/>
        <w:szCs w:val="17"/>
      </w:rPr>
      <w:t xml:space="preserve">Q Project · Structure de la base de données · </w:t>
    </w:r>
    <w:r>
      <w:fldChar w:fldCharType="begin"/>
    </w:r>
    <w:r>
      <w:instrText xml:space="preserve"> PAGE </w:instrText>
    </w:r>
    <w:r>
      <w:fldChar w:fldCharType="separate"/>
    </w:r>
    <w:r>
      <w:rPr>
        <w:color w:val="60777A"/>
        <w:sz w:val="17"/>
        <w:szCs w:val="17"/>
      </w:rPr>
      <w:t>1</w:t>
    </w:r>
    <w:r>
      <w:fldChar w:fldCharType="end"/>
    </w:r>
  </w:p>
</w:ftr>
</file>

<file path=word/settings.xml><?xml version="1.0" encoding="utf-8"?>
<w:settings xmlns:w="http://schemas.openxmlformats.org/wordprocessingml/2006/main">
  <w:zoom w:percent="100"/>
  <w:defaultTabStop w:val="720"/>
  <w:updateFields w:val="true"/>
  <w:themeFontLang w:val="fr-FR"/>
  <w:compat>
    <w:compatSetting w:name="compatibilityMode" w:uri="http://schemas.microsoft.com/office/word" w:val="15"/>
  </w:compat>
</w:settings>
</file>

<file path=word/styles.xml><?xml version="1.0" encoding="utf-8"?>
<w:styles xmlns:w="http://schemas.openxmlformats.org/wordprocessingml/2006/main">
  <w:docDefaults>
    <w:rPrDefault>
      <w:rPr>
        <w:rFonts w:ascii="Aptos" w:hAnsi="Aptos" w:cs="Aptos"/>
        <w:sz w:val="21"/>
        <w:szCs w:val="21"/>
        <w:lang w:val="fr-FR"/>
      </w:rPr>
    </w:rPrDefault>
    <w:pPrDefault>
      <w:pPr>
        <w:spacing w:after="130" w:line="285" w:lineRule="auto"/>
      </w:pPr>
    </w:pPrDefault>
  </w:docDefaults>
  <w:style w:type="paragraph" w:styleId="Normal" w:default="1" w:qFormat="1">
    <w:name w:val="Normal"/>
    <w:next w:val="Normal"/>
    <w:pPr/>
    <w:rPr>
      <w:color w:val="243447"/>
    </w:rPr>
  </w:style>
  <w:style w:type="paragraph" w:styleId="Title">
    <w:name w:val="Title"/>
    <w:basedOn w:val="Normal"/>
    <w:next w:val="Normal"/>
    <w:pPr>
      <w:spacing w:before="1800" w:after="180"/>
    </w:pPr>
    <w:rPr>
      <w:b/>
      <w:color w:val="073D43"/>
      <w:sz w:val="58"/>
      <w:szCs w:val="58"/>
    </w:rPr>
  </w:style>
  <w:style w:type="paragraph" w:styleId="Subtitle">
    <w:name w:val="Subtitle"/>
    <w:basedOn w:val="Normal"/>
    <w:next w:val="Normal"/>
    <w:pPr>
      <w:spacing w:before="0" w:after="500"/>
    </w:pPr>
    <w:rPr>
      <w:color w:val="0B6B70"/>
      <w:sz w:val="32"/>
      <w:szCs w:val="32"/>
    </w:rPr>
  </w:style>
  <w:style w:type="paragraph" w:styleId="Heading1">
    <w:name w:val="heading 1"/>
    <w:basedOn w:val="Normal"/>
    <w:next w:val="Normal"/>
    <w:pPr>
      <w:spacing w:before="420" w:after="160"/>
      <w:keepNext/>
      <w:outlineLvl w:val="0"/>
    </w:pPr>
    <w:rPr>
      <w:b/>
      <w:color w:val="073D43"/>
      <w:sz w:val="34"/>
      <w:szCs w:val="34"/>
    </w:rPr>
  </w:style>
  <w:style w:type="paragraph" w:styleId="Heading2">
    <w:name w:val="heading 2"/>
    <w:basedOn w:val="Normal"/>
    <w:next w:val="Normal"/>
    <w:pPr>
      <w:spacing w:before="300" w:after="120"/>
      <w:keepNext/>
      <w:outlineLvl w:val="1"/>
    </w:pPr>
    <w:rPr>
      <w:b/>
      <w:color w:val="0B6B70"/>
      <w:sz w:val="27"/>
      <w:szCs w:val="27"/>
    </w:rPr>
  </w:style>
  <w:style w:type="paragraph" w:styleId="Heading3">
    <w:name w:val="heading 3"/>
    <w:basedOn w:val="Normal"/>
    <w:next w:val="Normal"/>
    <w:pPr>
      <w:spacing w:before="240" w:after="90"/>
      <w:keepNext/>
      <w:outlineLvl w:val="2"/>
    </w:pPr>
    <w:rPr>
      <w:b/>
      <w:color w:val="355E62"/>
      <w:sz w:val="23"/>
      <w:szCs w:val="23"/>
    </w:rPr>
  </w:style>
  <w:style w:type="paragraph" w:styleId="ListBullet">
    <w:name w:val="List Bullet"/>
    <w:basedOn w:val="Normal"/>
    <w:next w:val="Normal"/>
    <w:pPr>
      <w:spacing w:after="60"/>
    </w:pPr>
    <w:rPr/>
  </w:style>
  <w:style w:type="paragraph" w:styleId="ListNumber">
    <w:name w:val="List Number"/>
    <w:basedOn w:val="Normal"/>
    <w:next w:val="Normal"/>
    <w:pPr>
      <w:spacing w:after="60"/>
    </w:pPr>
    <w:rPr/>
  </w:style>
  <w:style w:type="paragraph" w:styleId="Quote">
    <w:name w:val="Quote"/>
    <w:basedOn w:val="Normal"/>
    <w:next w:val="Normal"/>
    <w:pPr/>
    <w:rPr>
      <w:i/>
      <w:color w:val="355E62"/>
    </w:rPr>
  </w:style>
  <w:style w:type="paragraph" w:styleId="CodeBlock">
    <w:name w:val="Code Block"/>
    <w:basedOn w:val="Normal"/>
    <w:next w:val="Normal"/>
    <w:pPr/>
    <w:rPr>
      <w:rFonts w:ascii="Consolas" w:hAnsi="Consolas"/>
      <w:color w:val="203438"/>
      <w:sz w:val="18"/>
      <w:szCs w:val="18"/>
    </w:rPr>
  </w:style>
  <w:style w:type="paragraph" w:styleId="TableText">
    <w:name w:val="Table Text"/>
    <w:basedOn w:val="Normal"/>
    <w:next w:val="Normal"/>
    <w:pPr>
      <w:spacing w:after="0"/>
    </w:pPr>
    <w:rPr>
      <w:sz w:val="18"/>
      <w:szCs w:val="18"/>
    </w:rPr>
  </w:style>
  <w:style w:type="paragraph" w:styleId="TableHeader">
    <w:name w:val="Table Header"/>
    <w:basedOn w:val="Normal"/>
    <w:next w:val="Normal"/>
    <w:pPr>
      <w:spacing w:after="0"/>
    </w:pPr>
    <w:rPr>
      <w:b/>
      <w:color w:val="FFFFFF"/>
      <w:sz w:val="18"/>
      <w:szCs w:val="18"/>
    </w:rPr>
  </w:style>
  <w:style w:type="paragraph" w:styleId="Footer">
    <w:name w:val="Footer"/>
    <w:basedOn w:val="Normal"/>
    <w:next w:val="Normal"/>
    <w:pPr>
      <w:spacing w:after="0"/>
    </w:pPr>
    <w:rPr>
      <w:color w:val="60777A"/>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oter" Target="footer1.xml" /></Relationships>
</file>

<file path=docProps/app.xml><?xml version="1.0" encoding="utf-8"?>
<ep:Properties xmlns:ep="http://schemas.openxmlformats.org/officeDocument/2006/extended-properties">
  <ep:Application>Q Project OOXML generator</ep:Application>
  <ep:AppVersion>1.0</ep:AppVersion>
  <ep:Company>Q Project</ep:Company>
  <ep:DocSecurity>0</ep:DocSecurity>
  <ep:ScaleCrop>false</ep:ScaleCrop>
</ep:Properties>
</file>

<file path=docProps/core.xml><?xml version="1.0" encoding="utf-8"?>
<cp:coreProperties xmlns:cp="http://schemas.openxmlformats.org/package/2006/metadata/core-properties" xmlns:dc="http://purl.org/dc/elements/1.1/" xmlns:dcterms="http://purl.org/dc/terms/" xmlns:xsi="http://www.w3.org/2001/XMLSchema-instance">
  <dc:title>Q Project — Structure de la base de données</dc:title>
  <dc:subject>Supabase, portail Specialist/Admin et provenance scientifique</dc:subject>
  <dc:creator>Q Project</dc:creator>
  <cp:lastModifiedBy>Q Project documentation generator</cp:lastModifiedBy>
  <dc:description>Architecture, dictionnaire, permissions, workflow, sécurité et limites scientifiques.</dc:description>
  <cp:keywords>Supabase; PostgreSQL; RLS; calibration; spécialités médicales; audit</cp:keywords>
  <dcterms:created xsi:type="dcterms:W3CDTF">2026-09-06T10:57:57Z</dcterms:created>
  <dcterms:modified xsi:type="dcterms:W3CDTF">2026-09-06T10:57:57Z</dcterms:modified>
</cp:coreProperties>
</file>