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Week 3 Student Learning Pack</w:t>
      </w:r>
    </w:p>
    <w:p>
      <w:pPr>
        <w:jc w:val="center"/>
      </w:pPr>
      <w:r>
        <w:rPr>
          <w:rFonts w:ascii="Arial" w:hAnsi="Arial"/>
          <w:i/>
          <w:sz w:val="22"/>
        </w:rPr>
        <w:t>Attitudes, Job Satisfaction and Quality Performance</w:t>
      </w:r>
    </w:p>
    <w:p/>
    <w:p>
      <w:pPr>
        <w:pStyle w:val="Heading1"/>
      </w:pPr>
      <w:r>
        <w:t>1. Required Reading</w:t>
      </w:r>
    </w:p>
    <w:p>
      <w:r>
        <w:rPr>
          <w:rFonts w:ascii="Arial" w:hAnsi="Arial"/>
          <w:b w:val="0"/>
          <w:sz w:val="21"/>
        </w:rPr>
        <w:t>Robbins, S. P., &amp; Judge, T. A. (2019). Organizational Behavior (18th ed.). Chapter 3: Attitudes and Job Satisfaction.</w:t>
      </w:r>
    </w:p>
    <w:p>
      <w:pPr>
        <w:pStyle w:val="Heading1"/>
      </w:pPr>
      <w:r>
        <w:t>2. Learning Outcomes</w:t>
      </w:r>
    </w:p>
    <w:p>
      <w:pPr>
        <w:pStyle w:val="ListBullet"/>
      </w:pPr>
      <w:r>
        <w:rPr>
          <w:rFonts w:ascii="Arial" w:hAnsi="Arial"/>
          <w:sz w:val="21"/>
        </w:rPr>
        <w:t>Define attitudes and explain their cognitive, affective and behavioral components.</w:t>
      </w:r>
    </w:p>
    <w:p>
      <w:pPr>
        <w:pStyle w:val="ListBullet"/>
      </w:pPr>
      <w:r>
        <w:rPr>
          <w:rFonts w:ascii="Arial" w:hAnsi="Arial"/>
          <w:sz w:val="21"/>
        </w:rPr>
        <w:t>Differentiate major job attitudes.</w:t>
      </w:r>
    </w:p>
    <w:p>
      <w:pPr>
        <w:pStyle w:val="ListBullet"/>
      </w:pPr>
      <w:r>
        <w:rPr>
          <w:rFonts w:ascii="Arial" w:hAnsi="Arial"/>
          <w:sz w:val="21"/>
        </w:rPr>
        <w:t>Explain why job satisfaction and engagement matter for quality performance.</w:t>
      </w:r>
    </w:p>
    <w:p>
      <w:pPr>
        <w:pStyle w:val="ListBullet"/>
      </w:pPr>
      <w:r>
        <w:rPr>
          <w:rFonts w:ascii="Arial" w:hAnsi="Arial"/>
          <w:sz w:val="21"/>
        </w:rPr>
        <w:t>Apply the exit–voice–loyalty–neglect model to a workplace situation.</w:t>
      </w:r>
    </w:p>
    <w:p>
      <w:pPr>
        <w:pStyle w:val="ListBullet"/>
      </w:pPr>
      <w:r>
        <w:rPr>
          <w:rFonts w:ascii="Arial" w:hAnsi="Arial"/>
          <w:sz w:val="21"/>
        </w:rPr>
        <w:t>Propose managerial actions that support quality-oriented attitudes.</w:t>
      </w:r>
    </w:p>
    <w:p>
      <w:pPr>
        <w:pStyle w:val="Heading1"/>
      </w:pPr>
      <w:r>
        <w:t>3. Guided Reading Notes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D9EAF7"/>
            <w:tcMar>
              <w:top w:w="80" w:type="dxa"/>
              <w:start w:w="80" w:type="dxa"/>
              <w:bottom w:w="80" w:type="dxa"/>
              <w:end w:w="80" w:type="dxa"/>
            </w:tcMar>
          </w:tcPr>
          <w:p>
            <w:pPr>
              <w:jc w:val="center"/>
            </w:pPr>
            <w:r/>
            <w:r>
              <w:rPr>
                <w:rFonts w:ascii="Arial" w:hAnsi="Arial"/>
                <w:b/>
                <w:sz w:val="19"/>
              </w:rPr>
              <w:t>Concept</w:t>
            </w:r>
          </w:p>
        </w:tc>
        <w:tc>
          <w:tcPr>
            <w:tcW w:type="dxa" w:w="3437"/>
            <w:vAlign w:val="center"/>
            <w:shd w:fill="D9EAF7"/>
            <w:tcMar>
              <w:top w:w="80" w:type="dxa"/>
              <w:start w:w="80" w:type="dxa"/>
              <w:bottom w:w="80" w:type="dxa"/>
              <w:end w:w="80" w:type="dxa"/>
            </w:tcMar>
          </w:tcPr>
          <w:p>
            <w:pPr>
              <w:jc w:val="center"/>
            </w:pPr>
            <w:r/>
            <w:r>
              <w:rPr>
                <w:rFonts w:ascii="Arial" w:hAnsi="Arial"/>
                <w:b/>
                <w:sz w:val="19"/>
              </w:rPr>
              <w:t>Meaning</w:t>
            </w:r>
          </w:p>
        </w:tc>
        <w:tc>
          <w:tcPr>
            <w:tcW w:type="dxa" w:w="3437"/>
            <w:vAlign w:val="center"/>
            <w:shd w:fill="D9EAF7"/>
            <w:tcMar>
              <w:top w:w="80" w:type="dxa"/>
              <w:start w:w="80" w:type="dxa"/>
              <w:bottom w:w="80" w:type="dxa"/>
              <w:end w:w="80" w:type="dxa"/>
            </w:tcMar>
          </w:tcPr>
          <w:p>
            <w:pPr>
              <w:jc w:val="center"/>
            </w:pPr>
            <w:r/>
            <w:r>
              <w:rPr>
                <w:rFonts w:ascii="Arial" w:hAnsi="Arial"/>
                <w:b/>
                <w:sz w:val="19"/>
              </w:rPr>
              <w:t>Quality Connection</w:t>
            </w:r>
          </w:p>
        </w:tc>
      </w:tr>
      <w:tr>
        <w:tc>
          <w:tcPr>
            <w:tcW w:type="dxa" w:w="3437"/>
            <w:vAlign w:val="center"/>
            <w:tcMar>
              <w:top w:w="80" w:type="dxa"/>
              <w:start w:w="80" w:type="dxa"/>
              <w:bottom w:w="80" w:type="dxa"/>
              <w:end w:w="80" w:type="dxa"/>
            </w:tcMar>
          </w:tcPr>
          <w:p>
            <w:pPr>
              <w:jc w:val="left"/>
            </w:pPr>
            <w:r/>
            <w:r>
              <w:rPr>
                <w:rFonts w:ascii="Arial" w:hAnsi="Arial"/>
                <w:sz w:val="18"/>
              </w:rPr>
              <w:t>Attitude</w:t>
            </w:r>
          </w:p>
        </w:tc>
        <w:tc>
          <w:tcPr>
            <w:tcW w:type="dxa" w:w="3437"/>
            <w:vAlign w:val="center"/>
            <w:tcMar>
              <w:top w:w="80" w:type="dxa"/>
              <w:start w:w="80" w:type="dxa"/>
              <w:bottom w:w="80" w:type="dxa"/>
              <w:end w:w="80" w:type="dxa"/>
            </w:tcMar>
          </w:tcPr>
          <w:p>
            <w:pPr>
              <w:jc w:val="left"/>
            </w:pPr>
            <w:r/>
            <w:r>
              <w:rPr>
                <w:rFonts w:ascii="Arial" w:hAnsi="Arial"/>
                <w:sz w:val="18"/>
              </w:rPr>
              <w:t>An evaluative judgment about people, objects or events.</w:t>
            </w:r>
          </w:p>
        </w:tc>
        <w:tc>
          <w:tcPr>
            <w:tcW w:type="dxa" w:w="3437"/>
            <w:vAlign w:val="center"/>
            <w:tcMar>
              <w:top w:w="80" w:type="dxa"/>
              <w:start w:w="80" w:type="dxa"/>
              <w:bottom w:w="80" w:type="dxa"/>
              <w:end w:w="80" w:type="dxa"/>
            </w:tcMar>
          </w:tcPr>
          <w:p>
            <w:pPr>
              <w:jc w:val="left"/>
            </w:pPr>
            <w:r/>
            <w:r>
              <w:rPr>
                <w:rFonts w:ascii="Arial" w:hAnsi="Arial"/>
                <w:sz w:val="18"/>
              </w:rPr>
              <w:t>Influences whether employees follow standards, speak up and improve.</w:t>
            </w:r>
          </w:p>
        </w:tc>
      </w:tr>
      <w:tr>
        <w:tc>
          <w:tcPr>
            <w:tcW w:type="dxa" w:w="3437"/>
            <w:vAlign w:val="center"/>
            <w:tcMar>
              <w:top w:w="80" w:type="dxa"/>
              <w:start w:w="80" w:type="dxa"/>
              <w:bottom w:w="80" w:type="dxa"/>
              <w:end w:w="80" w:type="dxa"/>
            </w:tcMar>
          </w:tcPr>
          <w:p>
            <w:pPr>
              <w:jc w:val="left"/>
            </w:pPr>
            <w:r/>
            <w:r>
              <w:rPr>
                <w:rFonts w:ascii="Arial" w:hAnsi="Arial"/>
                <w:sz w:val="18"/>
              </w:rPr>
              <w:t>Cognitive component</w:t>
            </w:r>
          </w:p>
        </w:tc>
        <w:tc>
          <w:tcPr>
            <w:tcW w:type="dxa" w:w="3437"/>
            <w:vAlign w:val="center"/>
            <w:tcMar>
              <w:top w:w="80" w:type="dxa"/>
              <w:start w:w="80" w:type="dxa"/>
              <w:bottom w:w="80" w:type="dxa"/>
              <w:end w:w="80" w:type="dxa"/>
            </w:tcMar>
          </w:tcPr>
          <w:p>
            <w:pPr>
              <w:jc w:val="left"/>
            </w:pPr>
            <w:r/>
            <w:r>
              <w:rPr>
                <w:rFonts w:ascii="Arial" w:hAnsi="Arial"/>
                <w:sz w:val="18"/>
              </w:rPr>
              <w:t>Beliefs or opinions.</w:t>
            </w:r>
          </w:p>
        </w:tc>
        <w:tc>
          <w:tcPr>
            <w:tcW w:type="dxa" w:w="3437"/>
            <w:vAlign w:val="center"/>
            <w:tcMar>
              <w:top w:w="80" w:type="dxa"/>
              <w:start w:w="80" w:type="dxa"/>
              <w:bottom w:w="80" w:type="dxa"/>
              <w:end w:w="80" w:type="dxa"/>
            </w:tcMar>
          </w:tcPr>
          <w:p>
            <w:pPr>
              <w:jc w:val="left"/>
            </w:pPr>
            <w:r/>
            <w:r>
              <w:rPr>
                <w:rFonts w:ascii="Arial" w:hAnsi="Arial"/>
                <w:sz w:val="18"/>
              </w:rPr>
              <w:t>Beliefs about whether quality procedures are useful.</w:t>
            </w:r>
          </w:p>
        </w:tc>
      </w:tr>
      <w:tr>
        <w:tc>
          <w:tcPr>
            <w:tcW w:type="dxa" w:w="3437"/>
            <w:vAlign w:val="center"/>
            <w:tcMar>
              <w:top w:w="80" w:type="dxa"/>
              <w:start w:w="80" w:type="dxa"/>
              <w:bottom w:w="80" w:type="dxa"/>
              <w:end w:w="80" w:type="dxa"/>
            </w:tcMar>
          </w:tcPr>
          <w:p>
            <w:pPr>
              <w:jc w:val="left"/>
            </w:pPr>
            <w:r/>
            <w:r>
              <w:rPr>
                <w:rFonts w:ascii="Arial" w:hAnsi="Arial"/>
                <w:sz w:val="18"/>
              </w:rPr>
              <w:t>Affective component</w:t>
            </w:r>
          </w:p>
        </w:tc>
        <w:tc>
          <w:tcPr>
            <w:tcW w:type="dxa" w:w="3437"/>
            <w:vAlign w:val="center"/>
            <w:tcMar>
              <w:top w:w="80" w:type="dxa"/>
              <w:start w:w="80" w:type="dxa"/>
              <w:bottom w:w="80" w:type="dxa"/>
              <w:end w:w="80" w:type="dxa"/>
            </w:tcMar>
          </w:tcPr>
          <w:p>
            <w:pPr>
              <w:jc w:val="left"/>
            </w:pPr>
            <w:r/>
            <w:r>
              <w:rPr>
                <w:rFonts w:ascii="Arial" w:hAnsi="Arial"/>
                <w:sz w:val="18"/>
              </w:rPr>
              <w:t>Feelings or emotions.</w:t>
            </w:r>
          </w:p>
        </w:tc>
        <w:tc>
          <w:tcPr>
            <w:tcW w:type="dxa" w:w="3437"/>
            <w:vAlign w:val="center"/>
            <w:tcMar>
              <w:top w:w="80" w:type="dxa"/>
              <w:start w:w="80" w:type="dxa"/>
              <w:bottom w:w="80" w:type="dxa"/>
              <w:end w:w="80" w:type="dxa"/>
            </w:tcMar>
          </w:tcPr>
          <w:p>
            <w:pPr>
              <w:jc w:val="left"/>
            </w:pPr>
            <w:r/>
            <w:r>
              <w:rPr>
                <w:rFonts w:ascii="Arial" w:hAnsi="Arial"/>
                <w:sz w:val="18"/>
              </w:rPr>
              <w:t>Pride, frustration or anxiety about quality work.</w:t>
            </w:r>
          </w:p>
        </w:tc>
      </w:tr>
      <w:tr>
        <w:tc>
          <w:tcPr>
            <w:tcW w:type="dxa" w:w="3437"/>
            <w:vAlign w:val="center"/>
            <w:tcMar>
              <w:top w:w="80" w:type="dxa"/>
              <w:start w:w="80" w:type="dxa"/>
              <w:bottom w:w="80" w:type="dxa"/>
              <w:end w:w="80" w:type="dxa"/>
            </w:tcMar>
          </w:tcPr>
          <w:p>
            <w:pPr>
              <w:jc w:val="left"/>
            </w:pPr>
            <w:r/>
            <w:r>
              <w:rPr>
                <w:rFonts w:ascii="Arial" w:hAnsi="Arial"/>
                <w:sz w:val="18"/>
              </w:rPr>
              <w:t>Behavioral component</w:t>
            </w:r>
          </w:p>
        </w:tc>
        <w:tc>
          <w:tcPr>
            <w:tcW w:type="dxa" w:w="3437"/>
            <w:vAlign w:val="center"/>
            <w:tcMar>
              <w:top w:w="80" w:type="dxa"/>
              <w:start w:w="80" w:type="dxa"/>
              <w:bottom w:w="80" w:type="dxa"/>
              <w:end w:w="80" w:type="dxa"/>
            </w:tcMar>
          </w:tcPr>
          <w:p>
            <w:pPr>
              <w:jc w:val="left"/>
            </w:pPr>
            <w:r/>
            <w:r>
              <w:rPr>
                <w:rFonts w:ascii="Arial" w:hAnsi="Arial"/>
                <w:sz w:val="18"/>
              </w:rPr>
              <w:t>Intention to act.</w:t>
            </w:r>
          </w:p>
        </w:tc>
        <w:tc>
          <w:tcPr>
            <w:tcW w:type="dxa" w:w="3437"/>
            <w:vAlign w:val="center"/>
            <w:tcMar>
              <w:top w:w="80" w:type="dxa"/>
              <w:start w:w="80" w:type="dxa"/>
              <w:bottom w:w="80" w:type="dxa"/>
              <w:end w:w="80" w:type="dxa"/>
            </w:tcMar>
          </w:tcPr>
          <w:p>
            <w:pPr>
              <w:jc w:val="left"/>
            </w:pPr>
            <w:r/>
            <w:r>
              <w:rPr>
                <w:rFonts w:ascii="Arial" w:hAnsi="Arial"/>
                <w:sz w:val="18"/>
              </w:rPr>
              <w:t>Intention to report errors or ignore them.</w:t>
            </w:r>
          </w:p>
        </w:tc>
      </w:tr>
      <w:tr>
        <w:tc>
          <w:tcPr>
            <w:tcW w:type="dxa" w:w="3437"/>
            <w:vAlign w:val="center"/>
            <w:tcMar>
              <w:top w:w="80" w:type="dxa"/>
              <w:start w:w="80" w:type="dxa"/>
              <w:bottom w:w="80" w:type="dxa"/>
              <w:end w:w="80" w:type="dxa"/>
            </w:tcMar>
          </w:tcPr>
          <w:p>
            <w:pPr>
              <w:jc w:val="left"/>
            </w:pPr>
            <w:r/>
            <w:r>
              <w:rPr>
                <w:rFonts w:ascii="Arial" w:hAnsi="Arial"/>
                <w:sz w:val="18"/>
              </w:rPr>
              <w:t>Job satisfaction</w:t>
            </w:r>
          </w:p>
        </w:tc>
        <w:tc>
          <w:tcPr>
            <w:tcW w:type="dxa" w:w="3437"/>
            <w:vAlign w:val="center"/>
            <w:tcMar>
              <w:top w:w="80" w:type="dxa"/>
              <w:start w:w="80" w:type="dxa"/>
              <w:bottom w:w="80" w:type="dxa"/>
              <w:end w:w="80" w:type="dxa"/>
            </w:tcMar>
          </w:tcPr>
          <w:p>
            <w:pPr>
              <w:jc w:val="left"/>
            </w:pPr>
            <w:r/>
            <w:r>
              <w:rPr>
                <w:rFonts w:ascii="Arial" w:hAnsi="Arial"/>
                <w:sz w:val="18"/>
              </w:rPr>
              <w:t>Positive feeling about the job.</w:t>
            </w:r>
          </w:p>
        </w:tc>
        <w:tc>
          <w:tcPr>
            <w:tcW w:type="dxa" w:w="3437"/>
            <w:vAlign w:val="center"/>
            <w:tcMar>
              <w:top w:w="80" w:type="dxa"/>
              <w:start w:w="80" w:type="dxa"/>
              <w:bottom w:w="80" w:type="dxa"/>
              <w:end w:w="80" w:type="dxa"/>
            </w:tcMar>
          </w:tcPr>
          <w:p>
            <w:pPr>
              <w:jc w:val="left"/>
            </w:pPr>
            <w:r/>
            <w:r>
              <w:rPr>
                <w:rFonts w:ascii="Arial" w:hAnsi="Arial"/>
                <w:sz w:val="18"/>
              </w:rPr>
              <w:t>Affects service behavior, withdrawal and cooperation.</w:t>
            </w:r>
          </w:p>
        </w:tc>
      </w:tr>
      <w:tr>
        <w:tc>
          <w:tcPr>
            <w:tcW w:type="dxa" w:w="3437"/>
            <w:vAlign w:val="center"/>
            <w:tcMar>
              <w:top w:w="80" w:type="dxa"/>
              <w:start w:w="80" w:type="dxa"/>
              <w:bottom w:w="80" w:type="dxa"/>
              <w:end w:w="80" w:type="dxa"/>
            </w:tcMar>
          </w:tcPr>
          <w:p>
            <w:pPr>
              <w:jc w:val="left"/>
            </w:pPr>
            <w:r/>
            <w:r>
              <w:rPr>
                <w:rFonts w:ascii="Arial" w:hAnsi="Arial"/>
                <w:sz w:val="18"/>
              </w:rPr>
              <w:t>Employee engagement</w:t>
            </w:r>
          </w:p>
        </w:tc>
        <w:tc>
          <w:tcPr>
            <w:tcW w:type="dxa" w:w="3437"/>
            <w:vAlign w:val="center"/>
            <w:tcMar>
              <w:top w:w="80" w:type="dxa"/>
              <w:start w:w="80" w:type="dxa"/>
              <w:bottom w:w="80" w:type="dxa"/>
              <w:end w:w="80" w:type="dxa"/>
            </w:tcMar>
          </w:tcPr>
          <w:p>
            <w:pPr>
              <w:jc w:val="left"/>
            </w:pPr>
            <w:r/>
            <w:r>
              <w:rPr>
                <w:rFonts w:ascii="Arial" w:hAnsi="Arial"/>
                <w:sz w:val="18"/>
              </w:rPr>
              <w:t>Involvement and enthusiasm for work.</w:t>
            </w:r>
          </w:p>
        </w:tc>
        <w:tc>
          <w:tcPr>
            <w:tcW w:type="dxa" w:w="3437"/>
            <w:vAlign w:val="center"/>
            <w:tcMar>
              <w:top w:w="80" w:type="dxa"/>
              <w:start w:w="80" w:type="dxa"/>
              <w:bottom w:w="80" w:type="dxa"/>
              <w:end w:w="80" w:type="dxa"/>
            </w:tcMar>
          </w:tcPr>
          <w:p>
            <w:pPr>
              <w:jc w:val="left"/>
            </w:pPr>
            <w:r/>
            <w:r>
              <w:rPr>
                <w:rFonts w:ascii="Arial" w:hAnsi="Arial"/>
                <w:sz w:val="18"/>
              </w:rPr>
              <w:t>Supports learning, energy and improvement participation.</w:t>
            </w:r>
          </w:p>
        </w:tc>
      </w:tr>
      <w:tr>
        <w:tc>
          <w:tcPr>
            <w:tcW w:type="dxa" w:w="3437"/>
            <w:vAlign w:val="center"/>
            <w:tcMar>
              <w:top w:w="80" w:type="dxa"/>
              <w:start w:w="80" w:type="dxa"/>
              <w:bottom w:w="80" w:type="dxa"/>
              <w:end w:w="80" w:type="dxa"/>
            </w:tcMar>
          </w:tcPr>
          <w:p>
            <w:pPr>
              <w:jc w:val="left"/>
            </w:pPr>
            <w:r/>
            <w:r>
              <w:rPr>
                <w:rFonts w:ascii="Arial" w:hAnsi="Arial"/>
                <w:sz w:val="18"/>
              </w:rPr>
              <w:t>Perceived organizational support</w:t>
            </w:r>
          </w:p>
        </w:tc>
        <w:tc>
          <w:tcPr>
            <w:tcW w:type="dxa" w:w="3437"/>
            <w:vAlign w:val="center"/>
            <w:tcMar>
              <w:top w:w="80" w:type="dxa"/>
              <w:start w:w="80" w:type="dxa"/>
              <w:bottom w:w="80" w:type="dxa"/>
              <w:end w:w="80" w:type="dxa"/>
            </w:tcMar>
          </w:tcPr>
          <w:p>
            <w:pPr>
              <w:jc w:val="left"/>
            </w:pPr>
            <w:r/>
            <w:r>
              <w:rPr>
                <w:rFonts w:ascii="Arial" w:hAnsi="Arial"/>
                <w:sz w:val="18"/>
              </w:rPr>
              <w:t>Belief that the organization values contributions and cares about well-being.</w:t>
            </w:r>
          </w:p>
        </w:tc>
        <w:tc>
          <w:tcPr>
            <w:tcW w:type="dxa" w:w="3437"/>
            <w:vAlign w:val="center"/>
            <w:tcMar>
              <w:top w:w="80" w:type="dxa"/>
              <w:start w:w="80" w:type="dxa"/>
              <w:bottom w:w="80" w:type="dxa"/>
              <w:end w:w="80" w:type="dxa"/>
            </w:tcMar>
          </w:tcPr>
          <w:p>
            <w:pPr>
              <w:jc w:val="left"/>
            </w:pPr>
            <w:r/>
            <w:r>
              <w:rPr>
                <w:rFonts w:ascii="Arial" w:hAnsi="Arial"/>
                <w:sz w:val="18"/>
              </w:rPr>
              <w:t>Encourages effort, trust and voice.</w:t>
            </w:r>
          </w:p>
        </w:tc>
      </w:tr>
      <w:tr>
        <w:tc>
          <w:tcPr>
            <w:tcW w:type="dxa" w:w="3437"/>
            <w:vAlign w:val="center"/>
            <w:tcMar>
              <w:top w:w="80" w:type="dxa"/>
              <w:start w:w="80" w:type="dxa"/>
              <w:bottom w:w="80" w:type="dxa"/>
              <w:end w:w="80" w:type="dxa"/>
            </w:tcMar>
          </w:tcPr>
          <w:p>
            <w:pPr>
              <w:jc w:val="left"/>
            </w:pPr>
            <w:r/>
            <w:r>
              <w:rPr>
                <w:rFonts w:ascii="Arial" w:hAnsi="Arial"/>
                <w:sz w:val="18"/>
              </w:rPr>
              <w:t>Exit–voice–loyalty–neglect</w:t>
            </w:r>
          </w:p>
        </w:tc>
        <w:tc>
          <w:tcPr>
            <w:tcW w:type="dxa" w:w="3437"/>
            <w:vAlign w:val="center"/>
            <w:tcMar>
              <w:top w:w="80" w:type="dxa"/>
              <w:start w:w="80" w:type="dxa"/>
              <w:bottom w:w="80" w:type="dxa"/>
              <w:end w:w="80" w:type="dxa"/>
            </w:tcMar>
          </w:tcPr>
          <w:p>
            <w:pPr>
              <w:jc w:val="left"/>
            </w:pPr>
            <w:r/>
            <w:r>
              <w:rPr>
                <w:rFonts w:ascii="Arial" w:hAnsi="Arial"/>
                <w:sz w:val="18"/>
              </w:rPr>
              <w:t>Four responses to dissatisfaction.</w:t>
            </w:r>
          </w:p>
        </w:tc>
        <w:tc>
          <w:tcPr>
            <w:tcW w:type="dxa" w:w="3437"/>
            <w:vAlign w:val="center"/>
            <w:tcMar>
              <w:top w:w="80" w:type="dxa"/>
              <w:start w:w="80" w:type="dxa"/>
              <w:bottom w:w="80" w:type="dxa"/>
              <w:end w:w="80" w:type="dxa"/>
            </w:tcMar>
          </w:tcPr>
          <w:p>
            <w:pPr>
              <w:jc w:val="left"/>
            </w:pPr>
            <w:r/>
            <w:r>
              <w:rPr>
                <w:rFonts w:ascii="Arial" w:hAnsi="Arial"/>
                <w:sz w:val="18"/>
              </w:rPr>
              <w:t>Quality improves when employees choose constructive voice rather than neglect.</w:t>
            </w:r>
          </w:p>
        </w:tc>
      </w:tr>
    </w:tbl>
    <w:p>
      <w:pPr>
        <w:pStyle w:val="Heading1"/>
      </w:pPr>
      <w:r>
        <w:t>4. Before Class Reflection</w:t>
      </w:r>
    </w:p>
    <w:p>
      <w:r>
        <w:rPr>
          <w:rFonts w:ascii="Arial" w:hAnsi="Arial"/>
          <w:b w:val="0"/>
          <w:sz w:val="21"/>
        </w:rPr>
        <w:t>Before the live session, think of a workplace or service situation where employee attitudes affected quality. Prepare brief notes on:</w:t>
      </w:r>
    </w:p>
    <w:p>
      <w:pPr>
        <w:pStyle w:val="ListBullet"/>
      </w:pPr>
      <w:r>
        <w:rPr>
          <w:rFonts w:ascii="Arial" w:hAnsi="Arial"/>
          <w:sz w:val="21"/>
        </w:rPr>
        <w:t>What was the quality problem?</w:t>
      </w:r>
    </w:p>
    <w:p>
      <w:pPr>
        <w:pStyle w:val="ListBullet"/>
      </w:pPr>
      <w:r>
        <w:rPr>
          <w:rFonts w:ascii="Arial" w:hAnsi="Arial"/>
          <w:sz w:val="21"/>
        </w:rPr>
        <w:t>Which attitude was visible: dissatisfaction, low engagement, low commitment, lack of support, or perceived unfairness?</w:t>
      </w:r>
    </w:p>
    <w:p>
      <w:pPr>
        <w:pStyle w:val="ListBullet"/>
      </w:pPr>
      <w:r>
        <w:rPr>
          <w:rFonts w:ascii="Arial" w:hAnsi="Arial"/>
          <w:sz w:val="21"/>
        </w:rPr>
        <w:t>How did the attitude influence behavior?</w:t>
      </w:r>
    </w:p>
    <w:p>
      <w:pPr>
        <w:pStyle w:val="ListBullet"/>
      </w:pPr>
      <w:r>
        <w:rPr>
          <w:rFonts w:ascii="Arial" w:hAnsi="Arial"/>
          <w:sz w:val="21"/>
        </w:rPr>
        <w:t>What outcome did it create for customers, patients, students or internal users?</w:t>
      </w:r>
    </w:p>
    <w:p>
      <w:pPr>
        <w:pStyle w:val="ListBullet"/>
      </w:pPr>
      <w:r>
        <w:rPr>
          <w:rFonts w:ascii="Arial" w:hAnsi="Arial"/>
          <w:sz w:val="21"/>
        </w:rPr>
        <w:t>What could management have done differently?</w:t>
      </w:r>
    </w:p>
    <w:p>
      <w:pPr>
        <w:pStyle w:val="Heading1"/>
      </w:pPr>
      <w:r>
        <w:t>5. Core Summary</w:t>
      </w:r>
    </w:p>
    <w:p>
      <w:r>
        <w:rPr>
          <w:rFonts w:ascii="Arial" w:hAnsi="Arial"/>
          <w:b w:val="0"/>
          <w:sz w:val="21"/>
        </w:rPr>
        <w:t>Attitudes are important because they influence how people interpret work situations and how they choose to behave. In quality management, attitudes influence whether employees follow procedures, cooperate with colleagues, report errors, help customers, and participate in improvement. Job satisfaction is one major attitude, but it is not the only one. Organizational commitment, perceived organizational support and employee engagement are also important because they shape discretionary effort and willingness to contribute to organizational goals.</w:t>
      </w:r>
    </w:p>
    <w:p>
      <w:r>
        <w:rPr>
          <w:rFonts w:ascii="Arial" w:hAnsi="Arial"/>
          <w:b w:val="0"/>
          <w:sz w:val="21"/>
        </w:rPr>
        <w:t>Dissatisfied employees may leave, speak up, remain loyal while waiting for improvement, or neglect their duties. For quality managers, voice is especially important because problems cannot be improved if employees hide them or remain silent. A healthy quality culture encourages constructive voice and uses evidence to understand employee experience.</w:t>
      </w:r>
    </w:p>
    <w:p>
      <w:pPr>
        <w:pStyle w:val="Heading1"/>
      </w:pPr>
      <w:r>
        <w:t>6. Mini Self-Check</w:t>
      </w:r>
    </w:p>
    <w:p>
      <w:pPr>
        <w:pStyle w:val="ListBullet"/>
      </w:pPr>
      <w:r>
        <w:rPr>
          <w:rFonts w:ascii="Arial" w:hAnsi="Arial"/>
          <w:sz w:val="21"/>
        </w:rPr>
        <w:t>Can I explain the three components of attitudes?</w:t>
      </w:r>
    </w:p>
    <w:p>
      <w:pPr>
        <w:pStyle w:val="ListBullet"/>
      </w:pPr>
      <w:r>
        <w:rPr>
          <w:rFonts w:ascii="Arial" w:hAnsi="Arial"/>
          <w:sz w:val="21"/>
        </w:rPr>
        <w:t>Can I give one example of cognitive dissonance in quality work?</w:t>
      </w:r>
    </w:p>
    <w:p>
      <w:pPr>
        <w:pStyle w:val="ListBullet"/>
      </w:pPr>
      <w:r>
        <w:rPr>
          <w:rFonts w:ascii="Arial" w:hAnsi="Arial"/>
          <w:sz w:val="21"/>
        </w:rPr>
        <w:t>Can I distinguish job satisfaction from engagement?</w:t>
      </w:r>
    </w:p>
    <w:p>
      <w:pPr>
        <w:pStyle w:val="ListBullet"/>
      </w:pPr>
      <w:r>
        <w:rPr>
          <w:rFonts w:ascii="Arial" w:hAnsi="Arial"/>
          <w:sz w:val="21"/>
        </w:rPr>
        <w:t>Can I apply exit–voice–loyalty–neglect to a real case?</w:t>
      </w:r>
    </w:p>
    <w:p>
      <w:pPr>
        <w:pStyle w:val="ListBullet"/>
      </w:pPr>
      <w:r>
        <w:rPr>
          <w:rFonts w:ascii="Arial" w:hAnsi="Arial"/>
          <w:sz w:val="21"/>
        </w:rPr>
        <w:t>Can I propose one measurable indicator of attitude-related quality risk?</w:t>
      </w:r>
    </w:p>
    <w:sectPr w:rsidR="00FC693F" w:rsidRPr="0006063C" w:rsidSect="00034616">
      <w:headerReference w:type="default" r:id="rId9"/>
      <w:footerReference w:type="default" r:id="rId10"/>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Postgraduate Diploma Program in Total Quality Management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G TQM 511 – Organizational Behavior and Quality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