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4"/>
        </w:rPr>
        <w:t>Green Square and L'avenir</w:t>
      </w:r>
    </w:p>
    <w:p>
      <w:pPr>
        <w:spacing w:after="120"/>
      </w:pPr>
      <w:r>
        <w:rPr>
          <w:b/>
          <w:i w:val="0"/>
          <w:color w:val="17324D"/>
          <w:sz w:val="36"/>
        </w:rPr>
        <w:t>Due Diligence Memorandum</w:t>
      </w:r>
    </w:p>
    <w:p>
      <w:pPr>
        <w:spacing w:after="600"/>
      </w:pPr>
      <w:r>
        <w:rPr>
          <w:b w:val="0"/>
          <w:i w:val="0"/>
          <w:sz w:val="24"/>
        </w:rPr>
        <w:t>Private placement of EGP 125 million: EGP 62.5 million in each project. Companion to the Investment Memorandum and Financial Annex.</w:t>
      </w:r>
    </w:p>
    <w:p>
      <w:pPr>
        <w:spacing w:after="160"/>
      </w:pPr>
      <w:r>
        <w:rPr>
          <w:b/>
          <w:i w:val="0"/>
          <w:color w:val="B8893B"/>
          <w:sz w:val="19"/>
        </w:rPr>
        <w:t>ALL INFORMATION IN THIS DOCUMENT IS CONFIDENTIAL AND SUBJECT TO THE NON-DISCLOSURE AGREEMENT.</w:t>
      </w:r>
    </w:p>
    <w:p>
      <w:r>
        <w:rPr>
          <w:b w:val="0"/>
          <w:i w:val="0"/>
          <w:color w:val="6B7280"/>
          <w:sz w:val="21"/>
        </w:rPr>
        <w:t>Issued by Jalour Developments, a subsidiary of Al Jalal Holding, Cairo. October 2026.</w:t>
      </w:r>
    </w:p>
    <w:p>
      <w:pPr>
        <w:pStyle w:val="Heading1"/>
        <w:pageBreakBefore/>
      </w:pPr>
      <w:r>
        <w:t>Purpose and status</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ALL INFORMATION IN THIS DOCUMENT, IN THE OTHER DOCUMENTS OF THIS PACK AND IN THE DATA ROOM IS CONFIDENTIAL. It is provided only under the non-disclosure agreement between the recipient and Jalour, and must not be disclosed, copied, forwarded or used for any other purpose.</w:t>
            </w:r>
          </w:p>
        </w:tc>
      </w:tr>
    </w:tbl>
    <w:p>
      <w:pPr>
        <w:spacing w:after="80"/>
      </w:pPr>
    </w:p>
    <w:p>
      <w:r>
        <w:rPr>
          <w:b w:val="0"/>
          <w:i w:val="0"/>
        </w:rPr>
        <w:t>This memorandum helps the investor and its advisers plan and carry out due diligence on both projects.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the non-disclosure agreement (template provided in this pack);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agreements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companies</w:t>
            </w:r>
          </w:p>
        </w:tc>
        <w:tc>
          <w:tcPr>
            <w:tcW w:type="dxa" w:w="3288"/>
          </w:tcPr>
          <w:p>
            <w:pPr>
              <w:spacing w:after="0" w:line="240" w:lineRule="auto"/>
            </w:pPr>
            <w:r/>
            <w:r>
              <w:rPr>
                <w:sz w:val="19"/>
              </w:rPr>
              <w:t>One for each project [names, jurisdiction and capital to be confirmed]</w:t>
            </w:r>
          </w:p>
        </w:tc>
        <w:tc>
          <w:tcPr>
            <w:tcW w:type="dxa" w:w="3912"/>
          </w:tcPr>
          <w:p>
            <w:pPr>
              <w:spacing w:after="0" w:line="240" w:lineRule="auto"/>
            </w:pPr>
            <w:r/>
            <w:r>
              <w:rPr>
                <w:sz w:val="19"/>
              </w:rPr>
              <w:t>To be formed or confirmed; each holds its project rights and issues the investor entitlement for its project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 for each plot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Each project is held in its own company. There is no cross-collateral and no cross-default between the projects. The investor places EGP 62.5 million in each in a single transaction.</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 This applies in each project.</w:t>
      </w:r>
    </w:p>
    <w:p>
      <w:pPr>
        <w:pStyle w:val="ListBullet"/>
        <w:spacing w:after="60"/>
      </w:pPr>
      <w:r>
        <w:rPr>
          <w:b w:val="0"/>
          <w:i w:val="0"/>
        </w:rPr>
        <w:t>All information in this memorandum, in the pack and in the data room, including the financial information of both projects, is covered by the non-disclosure agreement.</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agreements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41"/>
            <w:shd w:val="clear" w:color="auto" w:fill="17324D"/>
          </w:tcPr>
          <w:p>
            <w:pPr>
              <w:spacing w:after="0" w:line="240" w:lineRule="auto"/>
            </w:pPr>
            <w:r/>
            <w:r>
              <w:rPr>
                <w:b/>
                <w:color w:val="FFFFFF"/>
                <w:sz w:val="18"/>
              </w:rPr>
              <w:t>Term (from the Jalour model)</w:t>
            </w:r>
          </w:p>
        </w:tc>
        <w:tc>
          <w:tcPr>
            <w:tcW w:type="dxa" w:w="2324"/>
            <w:shd w:val="clear" w:color="auto" w:fill="17324D"/>
          </w:tcPr>
          <w:p>
            <w:pPr>
              <w:spacing w:after="0" w:line="240" w:lineRule="auto"/>
            </w:pPr>
            <w:r/>
            <w:r>
              <w:rPr>
                <w:b/>
                <w:color w:val="FFFFFF"/>
                <w:sz w:val="18"/>
              </w:rPr>
              <w:t>Green Square</w:t>
            </w:r>
          </w:p>
        </w:tc>
        <w:tc>
          <w:tcPr>
            <w:tcW w:type="dxa" w:w="2324"/>
            <w:shd w:val="clear" w:color="auto" w:fill="17324D"/>
          </w:tcPr>
          <w:p>
            <w:pPr>
              <w:spacing w:after="0" w:line="240" w:lineRule="auto"/>
            </w:pPr>
            <w:r/>
            <w:r>
              <w:rPr>
                <w:b/>
                <w:color w:val="FFFFFF"/>
                <w:sz w:val="18"/>
              </w:rPr>
              <w:t>L'avenir</w:t>
            </w:r>
          </w:p>
        </w:tc>
        <w:tc>
          <w:tcPr>
            <w:tcW w:type="dxa" w:w="2551"/>
            <w:shd w:val="clear" w:color="auto" w:fill="17324D"/>
          </w:tcPr>
          <w:p>
            <w:pPr>
              <w:spacing w:after="0" w:line="240" w:lineRule="auto"/>
            </w:pPr>
            <w:r/>
            <w:r>
              <w:rPr>
                <w:b/>
                <w:color w:val="FFFFFF"/>
                <w:sz w:val="18"/>
              </w:rPr>
              <w:t>Evidence to provide</w:t>
            </w:r>
          </w:p>
        </w:tc>
      </w:tr>
      <w:tr>
        <w:trPr>
          <w:cantSplit/>
        </w:trPr>
        <w:tc>
          <w:tcPr>
            <w:tcW w:type="dxa" w:w="2041"/>
          </w:tcPr>
          <w:p>
            <w:pPr>
              <w:spacing w:after="0" w:line="240" w:lineRule="auto"/>
            </w:pPr>
            <w:r/>
            <w:r>
              <w:rPr>
                <w:b/>
                <w:sz w:val="18"/>
              </w:rPr>
              <w:t>Landlord share</w:t>
            </w:r>
          </w:p>
        </w:tc>
        <w:tc>
          <w:tcPr>
            <w:tcW w:type="dxa" w:w="2324"/>
          </w:tcPr>
          <w:p>
            <w:pPr>
              <w:spacing w:after="0" w:line="240" w:lineRule="auto"/>
            </w:pPr>
            <w:r/>
            <w:r>
              <w:rPr>
                <w:sz w:val="18"/>
              </w:rPr>
              <w:t>35% of collections</w:t>
            </w:r>
          </w:p>
        </w:tc>
        <w:tc>
          <w:tcPr>
            <w:tcW w:type="dxa" w:w="2324"/>
          </w:tcPr>
          <w:p>
            <w:pPr>
              <w:spacing w:after="0" w:line="240" w:lineRule="auto"/>
            </w:pPr>
            <w:r/>
            <w:r>
              <w:rPr>
                <w:sz w:val="18"/>
              </w:rPr>
              <w:t>35% of collections</w:t>
            </w:r>
          </w:p>
        </w:tc>
        <w:tc>
          <w:tcPr>
            <w:tcW w:type="dxa" w:w="2551"/>
          </w:tcPr>
          <w:p>
            <w:pPr>
              <w:spacing w:after="0" w:line="240" w:lineRule="auto"/>
            </w:pPr>
            <w:r/>
            <w:r>
              <w:rPr>
                <w:sz w:val="18"/>
              </w:rPr>
              <w:t>Signed agreements</w:t>
            </w:r>
          </w:p>
        </w:tc>
      </w:tr>
      <w:tr>
        <w:trPr>
          <w:cantSplit/>
        </w:trPr>
        <w:tc>
          <w:tcPr>
            <w:tcW w:type="dxa" w:w="2041"/>
            <w:shd w:val="clear" w:color="auto" w:fill="F2F4F7"/>
          </w:tcPr>
          <w:p>
            <w:pPr>
              <w:spacing w:after="0" w:line="240" w:lineRule="auto"/>
            </w:pPr>
            <w:r/>
            <w:r>
              <w:rPr>
                <w:b/>
                <w:sz w:val="18"/>
              </w:rPr>
              <w:t>Minimum guarantee</w:t>
            </w:r>
          </w:p>
        </w:tc>
        <w:tc>
          <w:tcPr>
            <w:tcW w:type="dxa" w:w="2324"/>
            <w:shd w:val="clear" w:color="auto" w:fill="F2F4F7"/>
          </w:tcPr>
          <w:p>
            <w:pPr>
              <w:spacing w:after="0" w:line="240" w:lineRule="auto"/>
            </w:pPr>
            <w:r/>
            <w:r>
              <w:rPr>
                <w:sz w:val="18"/>
              </w:rPr>
              <w:t>EGP 800 million over six years</w:t>
            </w:r>
          </w:p>
        </w:tc>
        <w:tc>
          <w:tcPr>
            <w:tcW w:type="dxa" w:w="2324"/>
            <w:shd w:val="clear" w:color="auto" w:fill="F2F4F7"/>
          </w:tcPr>
          <w:p>
            <w:pPr>
              <w:spacing w:after="0" w:line="240" w:lineRule="auto"/>
            </w:pPr>
            <w:r/>
            <w:r>
              <w:rPr>
                <w:sz w:val="18"/>
              </w:rPr>
              <w:t>EGP 850 million over six years</w:t>
            </w:r>
          </w:p>
        </w:tc>
        <w:tc>
          <w:tcPr>
            <w:tcW w:type="dxa" w:w="2551"/>
            <w:shd w:val="clear" w:color="auto" w:fill="F2F4F7"/>
          </w:tcPr>
          <w:p>
            <w:pPr>
              <w:spacing w:after="0" w:line="240" w:lineRule="auto"/>
            </w:pPr>
            <w:r/>
            <w:r>
              <w:rPr>
                <w:sz w:val="18"/>
              </w:rPr>
              <w:t>Schedule and payment mechanics</w:t>
            </w:r>
          </w:p>
        </w:tc>
      </w:tr>
      <w:tr>
        <w:trPr>
          <w:cantSplit/>
        </w:trPr>
        <w:tc>
          <w:tcPr>
            <w:tcW w:type="dxa" w:w="2041"/>
          </w:tcPr>
          <w:p>
            <w:pPr>
              <w:spacing w:after="0" w:line="240" w:lineRule="auto"/>
            </w:pPr>
            <w:r/>
            <w:r>
              <w:rPr>
                <w:b/>
                <w:sz w:val="18"/>
              </w:rPr>
              <w:t>Down payment</w:t>
            </w:r>
          </w:p>
        </w:tc>
        <w:tc>
          <w:tcPr>
            <w:tcW w:type="dxa" w:w="2324"/>
          </w:tcPr>
          <w:p>
            <w:pPr>
              <w:spacing w:after="0" w:line="240" w:lineRule="auto"/>
            </w:pPr>
            <w:r/>
            <w:r>
              <w:rPr>
                <w:sz w:val="18"/>
              </w:rPr>
              <w:t>EGP 80 million</w:t>
            </w:r>
          </w:p>
        </w:tc>
        <w:tc>
          <w:tcPr>
            <w:tcW w:type="dxa" w:w="2324"/>
          </w:tcPr>
          <w:p>
            <w:pPr>
              <w:spacing w:after="0" w:line="240" w:lineRule="auto"/>
            </w:pPr>
            <w:r/>
            <w:r>
              <w:rPr>
                <w:sz w:val="18"/>
              </w:rPr>
              <w:t>EGP 85 million</w:t>
            </w:r>
          </w:p>
        </w:tc>
        <w:tc>
          <w:tcPr>
            <w:tcW w:type="dxa" w:w="2551"/>
          </w:tcPr>
          <w:p>
            <w:pPr>
              <w:spacing w:after="0" w:line="240" w:lineRule="auto"/>
            </w:pPr>
            <w:r/>
            <w:r>
              <w:rPr>
                <w:sz w:val="18"/>
              </w:rPr>
              <w:t>Proof of payment or payment date</w:t>
            </w:r>
          </w:p>
        </w:tc>
      </w:tr>
      <w:tr>
        <w:trPr>
          <w:cantSplit/>
        </w:trPr>
        <w:tc>
          <w:tcPr>
            <w:tcW w:type="dxa" w:w="2041"/>
            <w:shd w:val="clear" w:color="auto" w:fill="F2F4F7"/>
          </w:tcPr>
          <w:p>
            <w:pPr>
              <w:spacing w:after="0" w:line="240" w:lineRule="auto"/>
            </w:pPr>
            <w:r/>
            <w:r>
              <w:rPr>
                <w:b/>
                <w:sz w:val="18"/>
              </w:rPr>
              <w:t>Guarantee schedule</w:t>
            </w:r>
          </w:p>
        </w:tc>
        <w:tc>
          <w:tcPr>
            <w:tcW w:type="dxa" w:w="2324"/>
            <w:shd w:val="clear" w:color="auto" w:fill="F2F4F7"/>
          </w:tcPr>
          <w:p>
            <w:pPr>
              <w:spacing w:after="0" w:line="240" w:lineRule="auto"/>
            </w:pPr>
            <w:r/>
            <w:r>
              <w:rPr>
                <w:sz w:val="18"/>
              </w:rPr>
              <w:t>Y1 45, Y2 90, Y3 135, Y4 180, Y5 180, Y6 90 (EGP m)</w:t>
            </w:r>
          </w:p>
        </w:tc>
        <w:tc>
          <w:tcPr>
            <w:tcW w:type="dxa" w:w="2324"/>
            <w:shd w:val="clear" w:color="auto" w:fill="F2F4F7"/>
          </w:tcPr>
          <w:p>
            <w:pPr>
              <w:spacing w:after="0" w:line="240" w:lineRule="auto"/>
            </w:pPr>
            <w:r/>
            <w:r>
              <w:rPr>
                <w:sz w:val="18"/>
              </w:rPr>
              <w:t>Y1 0, Y2 90, Y3 180, Y4 225, Y5 180, Y6 90 (EGP m)</w:t>
            </w:r>
          </w:p>
        </w:tc>
        <w:tc>
          <w:tcPr>
            <w:tcW w:type="dxa" w:w="2551"/>
            <w:shd w:val="clear" w:color="auto" w:fill="F2F4F7"/>
          </w:tcPr>
          <w:p>
            <w:pPr>
              <w:spacing w:after="0" w:line="240" w:lineRule="auto"/>
            </w:pPr>
            <w:r/>
            <w:r>
              <w:rPr>
                <w:sz w:val="18"/>
              </w:rPr>
              <w:t>Agreement schedules</w:t>
            </w:r>
          </w:p>
        </w:tc>
      </w:tr>
      <w:tr>
        <w:trPr>
          <w:cantSplit/>
        </w:trPr>
        <w:tc>
          <w:tcPr>
            <w:tcW w:type="dxa" w:w="2041"/>
          </w:tcPr>
          <w:p>
            <w:pPr>
              <w:spacing w:after="0" w:line="240" w:lineRule="auto"/>
            </w:pPr>
            <w:r/>
            <w:r>
              <w:rPr>
                <w:b/>
                <w:sz w:val="18"/>
              </w:rPr>
              <w:t>Excess over guarantee</w:t>
            </w:r>
          </w:p>
        </w:tc>
        <w:tc>
          <w:tcPr>
            <w:tcW w:type="dxa" w:w="2324"/>
          </w:tcPr>
          <w:p>
            <w:pPr>
              <w:spacing w:after="0" w:line="240" w:lineRule="auto"/>
            </w:pPr>
            <w:r/>
            <w:r>
              <w:rPr>
                <w:sz w:val="18"/>
              </w:rPr>
              <w:t>From year 8</w:t>
            </w:r>
          </w:p>
        </w:tc>
        <w:tc>
          <w:tcPr>
            <w:tcW w:type="dxa" w:w="2324"/>
          </w:tcPr>
          <w:p>
            <w:pPr>
              <w:spacing w:after="0" w:line="240" w:lineRule="auto"/>
            </w:pPr>
            <w:r/>
            <w:r>
              <w:rPr>
                <w:sz w:val="18"/>
              </w:rPr>
              <w:t>From year 8</w:t>
            </w:r>
          </w:p>
        </w:tc>
        <w:tc>
          <w:tcPr>
            <w:tcW w:type="dxa" w:w="2551"/>
          </w:tcPr>
          <w:p>
            <w:pPr>
              <w:spacing w:after="0" w:line="240" w:lineRule="auto"/>
            </w:pPr>
            <w:r/>
            <w:r>
              <w:rPr>
                <w:sz w:val="18"/>
              </w:rPr>
              <w:t>Settlement clause</w:t>
            </w:r>
          </w:p>
        </w:tc>
      </w:tr>
      <w:tr>
        <w:trPr>
          <w:cantSplit/>
        </w:trPr>
        <w:tc>
          <w:tcPr>
            <w:tcW w:type="dxa" w:w="2041"/>
            <w:shd w:val="clear" w:color="auto" w:fill="F2F4F7"/>
          </w:tcPr>
          <w:p>
            <w:pPr>
              <w:spacing w:after="0" w:line="240" w:lineRule="auto"/>
            </w:pPr>
            <w:r/>
            <w:r>
              <w:rPr>
                <w:b/>
                <w:sz w:val="18"/>
              </w:rPr>
              <w:t>Delivery</w:t>
            </w:r>
          </w:p>
        </w:tc>
        <w:tc>
          <w:tcPr>
            <w:tcW w:type="dxa" w:w="2324"/>
            <w:shd w:val="clear" w:color="auto" w:fill="F2F4F7"/>
          </w:tcPr>
          <w:p>
            <w:pPr>
              <w:spacing w:after="0" w:line="240" w:lineRule="auto"/>
            </w:pPr>
            <w:r/>
            <w:r>
              <w:rPr>
                <w:sz w:val="18"/>
              </w:rPr>
              <w:t>Project month 48</w:t>
            </w:r>
          </w:p>
        </w:tc>
        <w:tc>
          <w:tcPr>
            <w:tcW w:type="dxa" w:w="2324"/>
            <w:shd w:val="clear" w:color="auto" w:fill="F2F4F7"/>
          </w:tcPr>
          <w:p>
            <w:pPr>
              <w:spacing w:after="0" w:line="240" w:lineRule="auto"/>
            </w:pPr>
            <w:r/>
            <w:r>
              <w:rPr>
                <w:sz w:val="18"/>
              </w:rPr>
              <w:t>Project month 54</w:t>
            </w:r>
          </w:p>
        </w:tc>
        <w:tc>
          <w:tcPr>
            <w:tcW w:type="dxa" w:w="2551"/>
            <w:shd w:val="clear" w:color="auto" w:fill="F2F4F7"/>
          </w:tcPr>
          <w:p>
            <w:pPr>
              <w:spacing w:after="0" w:line="240" w:lineRule="auto"/>
            </w:pPr>
            <w:r/>
            <w:r>
              <w:rPr>
                <w:sz w:val="18"/>
              </w:rPr>
              <w:t>Delivery covenant, remedies for delay</w:t>
            </w:r>
          </w:p>
        </w:tc>
      </w:tr>
    </w:tbl>
    <w:p>
      <w:pPr>
        <w:spacing w:after="80"/>
      </w:pPr>
    </w:p>
    <w:p>
      <w:pPr>
        <w:pStyle w:val="Heading2"/>
      </w:pPr>
      <w:r>
        <w:t>Consent requirements and status (each project)</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each landlord's written consent is a condition precedent to signing for that project. The investor should see the consents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 (for each project)</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the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494"/>
            <w:shd w:val="clear" w:color="auto" w:fill="17324D"/>
          </w:tcPr>
          <w:p>
            <w:pPr>
              <w:spacing w:after="0" w:line="240" w:lineRule="auto"/>
            </w:pPr>
            <w:r/>
            <w:r>
              <w:rPr>
                <w:b/>
                <w:color w:val="FFFFFF"/>
                <w:sz w:val="18"/>
              </w:rPr>
              <w:t>Cost line (EGP million)</w:t>
            </w:r>
          </w:p>
        </w:tc>
        <w:tc>
          <w:tcPr>
            <w:tcW w:type="dxa" w:w="1361"/>
            <w:shd w:val="clear" w:color="auto" w:fill="17324D"/>
          </w:tcPr>
          <w:p>
            <w:pPr>
              <w:spacing w:after="0" w:line="240" w:lineRule="auto"/>
              <w:jc w:val="right"/>
            </w:pPr>
            <w:r/>
            <w:r>
              <w:rPr>
                <w:b/>
                <w:color w:val="FFFFFF"/>
                <w:sz w:val="18"/>
              </w:rPr>
              <w:t>Green Square</w:t>
            </w:r>
          </w:p>
        </w:tc>
        <w:tc>
          <w:tcPr>
            <w:tcW w:type="dxa" w:w="1361"/>
            <w:shd w:val="clear" w:color="auto" w:fill="17324D"/>
          </w:tcPr>
          <w:p>
            <w:pPr>
              <w:spacing w:after="0" w:line="240" w:lineRule="auto"/>
              <w:jc w:val="right"/>
            </w:pPr>
            <w:r/>
            <w:r>
              <w:rPr>
                <w:b/>
                <w:color w:val="FFFFFF"/>
                <w:sz w:val="18"/>
              </w:rPr>
              <w:t>L'avenir</w:t>
            </w:r>
          </w:p>
        </w:tc>
        <w:tc>
          <w:tcPr>
            <w:tcW w:type="dxa" w:w="4025"/>
            <w:shd w:val="clear" w:color="auto" w:fill="17324D"/>
          </w:tcPr>
          <w:p>
            <w:pPr>
              <w:spacing w:after="0" w:line="240" w:lineRule="auto"/>
              <w:jc w:val="right"/>
            </w:pPr>
            <w:r/>
            <w:r>
              <w:rPr>
                <w:b/>
                <w:color w:val="FFFFFF"/>
                <w:sz w:val="18"/>
              </w:rPr>
              <w:t>Basis</w:t>
            </w:r>
          </w:p>
        </w:tc>
      </w:tr>
      <w:tr>
        <w:trPr>
          <w:cantSplit/>
        </w:trPr>
        <w:tc>
          <w:tcPr>
            <w:tcW w:type="dxa" w:w="2494"/>
          </w:tcPr>
          <w:p>
            <w:pPr>
              <w:spacing w:after="0" w:line="240" w:lineRule="auto"/>
            </w:pPr>
            <w:r/>
            <w:r>
              <w:rPr>
                <w:sz w:val="18"/>
              </w:rPr>
              <w:t>Construction (core and shell)</w:t>
            </w:r>
          </w:p>
        </w:tc>
        <w:tc>
          <w:tcPr>
            <w:tcW w:type="dxa" w:w="1361"/>
          </w:tcPr>
          <w:p>
            <w:pPr>
              <w:spacing w:after="0" w:line="240" w:lineRule="auto"/>
              <w:jc w:val="right"/>
            </w:pPr>
            <w:r/>
            <w:r>
              <w:rPr>
                <w:sz w:val="18"/>
              </w:rPr>
              <w:t>697.2</w:t>
            </w:r>
          </w:p>
        </w:tc>
        <w:tc>
          <w:tcPr>
            <w:tcW w:type="dxa" w:w="1361"/>
          </w:tcPr>
          <w:p>
            <w:pPr>
              <w:spacing w:after="0" w:line="240" w:lineRule="auto"/>
              <w:jc w:val="right"/>
            </w:pPr>
            <w:r/>
            <w:r>
              <w:rPr>
                <w:sz w:val="18"/>
              </w:rPr>
              <w:t>697.2</w:t>
            </w:r>
          </w:p>
        </w:tc>
        <w:tc>
          <w:tcPr>
            <w:tcW w:type="dxa" w:w="4025"/>
          </w:tcPr>
          <w:p>
            <w:pPr>
              <w:spacing w:after="0" w:line="240" w:lineRule="auto"/>
              <w:jc w:val="right"/>
            </w:pPr>
            <w:r/>
            <w:r>
              <w:rPr>
                <w:sz w:val="18"/>
              </w:rPr>
              <w:t>Stage schedule scaled by a factor of 8 in the model [Jalour to explain what the factor represents and provide contractor pricing]</w:t>
            </w:r>
          </w:p>
        </w:tc>
      </w:tr>
      <w:tr>
        <w:trPr>
          <w:cantSplit/>
        </w:trPr>
        <w:tc>
          <w:tcPr>
            <w:tcW w:type="dxa" w:w="2494"/>
            <w:shd w:val="clear" w:color="auto" w:fill="F2F4F7"/>
          </w:tcPr>
          <w:p>
            <w:pPr>
              <w:spacing w:after="0" w:line="240" w:lineRule="auto"/>
            </w:pPr>
            <w:r/>
            <w:r>
              <w:rPr>
                <w:sz w:val="18"/>
              </w:rPr>
              <w:t>Sales commission</w:t>
            </w:r>
          </w:p>
        </w:tc>
        <w:tc>
          <w:tcPr>
            <w:tcW w:type="dxa" w:w="1361"/>
            <w:shd w:val="clear" w:color="auto" w:fill="F2F4F7"/>
          </w:tcPr>
          <w:p>
            <w:pPr>
              <w:spacing w:after="0" w:line="240" w:lineRule="auto"/>
              <w:jc w:val="right"/>
            </w:pPr>
            <w:r/>
            <w:r>
              <w:rPr>
                <w:sz w:val="18"/>
              </w:rPr>
              <w:t>90.1</w:t>
            </w:r>
          </w:p>
        </w:tc>
        <w:tc>
          <w:tcPr>
            <w:tcW w:type="dxa" w:w="1361"/>
            <w:shd w:val="clear" w:color="auto" w:fill="F2F4F7"/>
          </w:tcPr>
          <w:p>
            <w:pPr>
              <w:spacing w:after="0" w:line="240" w:lineRule="auto"/>
              <w:jc w:val="right"/>
            </w:pPr>
            <w:r/>
            <w:r>
              <w:rPr>
                <w:sz w:val="18"/>
              </w:rPr>
              <w:t>106.9</w:t>
            </w:r>
          </w:p>
        </w:tc>
        <w:tc>
          <w:tcPr>
            <w:tcW w:type="dxa" w:w="4025"/>
            <w:shd w:val="clear" w:color="auto" w:fill="F2F4F7"/>
          </w:tcPr>
          <w:p>
            <w:pPr>
              <w:spacing w:after="0" w:line="240" w:lineRule="auto"/>
              <w:jc w:val="right"/>
            </w:pPr>
            <w:r/>
            <w:r>
              <w:rPr>
                <w:sz w:val="18"/>
              </w:rPr>
              <w:t>4% of sales value, paid 12 months after each sale quarter</w:t>
            </w:r>
          </w:p>
        </w:tc>
      </w:tr>
      <w:tr>
        <w:trPr>
          <w:cantSplit/>
        </w:trPr>
        <w:tc>
          <w:tcPr>
            <w:tcW w:type="dxa" w:w="2494"/>
          </w:tcPr>
          <w:p>
            <w:pPr>
              <w:spacing w:after="0" w:line="240" w:lineRule="auto"/>
            </w:pPr>
            <w:r/>
            <w:r>
              <w:rPr>
                <w:sz w:val="18"/>
              </w:rPr>
              <w:t>SG&amp;A and others</w:t>
            </w:r>
          </w:p>
        </w:tc>
        <w:tc>
          <w:tcPr>
            <w:tcW w:type="dxa" w:w="1361"/>
          </w:tcPr>
          <w:p>
            <w:pPr>
              <w:spacing w:after="0" w:line="240" w:lineRule="auto"/>
              <w:jc w:val="right"/>
            </w:pPr>
            <w:r/>
            <w:r>
              <w:rPr>
                <w:sz w:val="18"/>
              </w:rPr>
              <w:t>104.6</w:t>
            </w:r>
          </w:p>
        </w:tc>
        <w:tc>
          <w:tcPr>
            <w:tcW w:type="dxa" w:w="1361"/>
          </w:tcPr>
          <w:p>
            <w:pPr>
              <w:spacing w:after="0" w:line="240" w:lineRule="auto"/>
              <w:jc w:val="right"/>
            </w:pPr>
            <w:r/>
            <w:r>
              <w:rPr>
                <w:sz w:val="18"/>
              </w:rPr>
              <w:t>104.6</w:t>
            </w:r>
          </w:p>
        </w:tc>
        <w:tc>
          <w:tcPr>
            <w:tcW w:type="dxa" w:w="4025"/>
          </w:tcPr>
          <w:p>
            <w:pPr>
              <w:spacing w:after="0" w:line="240" w:lineRule="auto"/>
              <w:jc w:val="right"/>
            </w:pPr>
            <w:r/>
            <w:r>
              <w:rPr>
                <w:sz w:val="18"/>
              </w:rPr>
              <w:t>15% of construction: contingency, professional fees, overhead (5% each)</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53.5 thousand (Green Square) and EGP 52.0 thousand (L'avenir), for core and shell including a basement stage. Jalour to provide a bill of quantities and contractor quotation for each project.</w:t>
      </w:r>
    </w:p>
    <w:p>
      <w:pPr>
        <w:pStyle w:val="ListBullet"/>
        <w:spacing w:after="60"/>
      </w:pPr>
      <w:r>
        <w:rPr>
          <w:b w:val="0"/>
          <w:i w:val="0"/>
        </w:rPr>
        <w:t>The models apply no construction cost inflation over the 36-month build. Jalour's working papers contain a construction-cost index that is not applied. A 10% overrun reduces NPV by EGP 53 million (Green Square) and EGP 50 million (L'avenir).</w:t>
      </w:r>
    </w:p>
    <w:p>
      <w:pPr>
        <w:pStyle w:val="ListBullet"/>
        <w:spacing w:after="60"/>
      </w:pPr>
      <w:r>
        <w:rPr>
          <w:b w:val="0"/>
          <w:i w:val="0"/>
        </w:rPr>
        <w:t>Design, permit and pre-construction costs are not separately modelled. The funding plan adds EGP 10.5 million per project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 (GS = Green Square, LA = L'avenir)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134"/>
            <w:shd w:val="clear" w:color="auto" w:fill="17324D"/>
          </w:tcPr>
          <w:p>
            <w:pPr>
              <w:spacing w:after="0" w:line="240" w:lineRule="auto"/>
            </w:pPr>
            <w:r/>
            <w:r>
              <w:rPr>
                <w:b/>
                <w:color w:val="FFFFFF"/>
                <w:sz w:val="17"/>
              </w:rPr>
              <w:t>EGP per m2</w:t>
            </w:r>
          </w:p>
        </w:tc>
        <w:tc>
          <w:tcPr>
            <w:tcW w:type="dxa" w:w="1304"/>
            <w:shd w:val="clear" w:color="auto" w:fill="17324D"/>
          </w:tcPr>
          <w:p>
            <w:pPr>
              <w:spacing w:after="0" w:line="240" w:lineRule="auto"/>
              <w:jc w:val="right"/>
            </w:pPr>
            <w:r/>
            <w:r>
              <w:rPr>
                <w:b/>
                <w:color w:val="FFFFFF"/>
                <w:sz w:val="17"/>
              </w:rPr>
              <w:t>GS launch</w:t>
            </w:r>
          </w:p>
        </w:tc>
        <w:tc>
          <w:tcPr>
            <w:tcW w:type="dxa" w:w="1474"/>
            <w:shd w:val="clear" w:color="auto" w:fill="17324D"/>
          </w:tcPr>
          <w:p>
            <w:pPr>
              <w:spacing w:after="0" w:line="240" w:lineRule="auto"/>
              <w:jc w:val="right"/>
            </w:pPr>
            <w:r/>
            <w:r>
              <w:rPr>
                <w:b/>
                <w:color w:val="FFFFFF"/>
                <w:sz w:val="17"/>
              </w:rPr>
              <w:t>GS delivery list</w:t>
            </w:r>
          </w:p>
        </w:tc>
        <w:tc>
          <w:tcPr>
            <w:tcW w:type="dxa" w:w="1304"/>
            <w:shd w:val="clear" w:color="auto" w:fill="17324D"/>
          </w:tcPr>
          <w:p>
            <w:pPr>
              <w:spacing w:after="0" w:line="240" w:lineRule="auto"/>
              <w:jc w:val="right"/>
            </w:pPr>
            <w:r/>
            <w:r>
              <w:rPr>
                <w:b/>
                <w:color w:val="FFFFFF"/>
                <w:sz w:val="17"/>
              </w:rPr>
              <w:t>LA launch</w:t>
            </w:r>
          </w:p>
        </w:tc>
        <w:tc>
          <w:tcPr>
            <w:tcW w:type="dxa" w:w="1474"/>
            <w:shd w:val="clear" w:color="auto" w:fill="17324D"/>
          </w:tcPr>
          <w:p>
            <w:pPr>
              <w:spacing w:after="0" w:line="240" w:lineRule="auto"/>
              <w:jc w:val="right"/>
            </w:pPr>
            <w:r/>
            <w:r>
              <w:rPr>
                <w:b/>
                <w:color w:val="FFFFFF"/>
                <w:sz w:val="17"/>
              </w:rPr>
              <w:t>LA delivery list</w:t>
            </w:r>
          </w:p>
        </w:tc>
        <w:tc>
          <w:tcPr>
            <w:tcW w:type="dxa" w:w="2551"/>
            <w:shd w:val="clear" w:color="auto" w:fill="17324D"/>
          </w:tcPr>
          <w:p>
            <w:pPr>
              <w:spacing w:after="0" w:line="240" w:lineRule="auto"/>
              <w:jc w:val="right"/>
            </w:pPr>
            <w:r/>
            <w:r>
              <w:rPr>
                <w:b/>
                <w:color w:val="FFFFFF"/>
                <w:sz w:val="17"/>
              </w:rPr>
              <w:t>Market evidence (asking)</w:t>
            </w:r>
          </w:p>
        </w:tc>
      </w:tr>
      <w:tr>
        <w:trPr>
          <w:cantSplit/>
        </w:trPr>
        <w:tc>
          <w:tcPr>
            <w:tcW w:type="dxa" w:w="1134"/>
          </w:tcPr>
          <w:p>
            <w:pPr>
              <w:spacing w:after="0" w:line="240" w:lineRule="auto"/>
            </w:pPr>
            <w:r/>
            <w:r>
              <w:rPr>
                <w:sz w:val="17"/>
              </w:rPr>
              <w:t>Offices</w:t>
            </w:r>
          </w:p>
        </w:tc>
        <w:tc>
          <w:tcPr>
            <w:tcW w:type="dxa" w:w="1304"/>
          </w:tcPr>
          <w:p>
            <w:pPr>
              <w:spacing w:after="0" w:line="240" w:lineRule="auto"/>
              <w:jc w:val="right"/>
            </w:pPr>
            <w:r/>
            <w:r>
              <w:rPr>
                <w:sz w:val="17"/>
              </w:rPr>
              <w:t>135,000</w:t>
            </w:r>
          </w:p>
        </w:tc>
        <w:tc>
          <w:tcPr>
            <w:tcW w:type="dxa" w:w="1474"/>
          </w:tcPr>
          <w:p>
            <w:pPr>
              <w:spacing w:after="0" w:line="240" w:lineRule="auto"/>
              <w:jc w:val="right"/>
            </w:pPr>
            <w:r/>
            <w:r>
              <w:rPr>
                <w:sz w:val="17"/>
              </w:rPr>
              <w:t>200,000</w:t>
            </w:r>
          </w:p>
        </w:tc>
        <w:tc>
          <w:tcPr>
            <w:tcW w:type="dxa" w:w="1304"/>
          </w:tcPr>
          <w:p>
            <w:pPr>
              <w:spacing w:after="0" w:line="240" w:lineRule="auto"/>
              <w:jc w:val="right"/>
            </w:pPr>
            <w:r/>
            <w:r>
              <w:rPr>
                <w:sz w:val="17"/>
              </w:rPr>
              <w:t>160,000</w:t>
            </w:r>
          </w:p>
        </w:tc>
        <w:tc>
          <w:tcPr>
            <w:tcW w:type="dxa" w:w="1474"/>
          </w:tcPr>
          <w:p>
            <w:pPr>
              <w:spacing w:after="0" w:line="240" w:lineRule="auto"/>
              <w:jc w:val="right"/>
            </w:pPr>
            <w:r/>
            <w:r>
              <w:rPr>
                <w:sz w:val="17"/>
              </w:rPr>
              <w:t>240,000</w:t>
            </w:r>
          </w:p>
        </w:tc>
        <w:tc>
          <w:tcPr>
            <w:tcW w:type="dxa" w:w="2551"/>
          </w:tcPr>
          <w:p>
            <w:pPr>
              <w:spacing w:after="0" w:line="240" w:lineRule="auto"/>
              <w:jc w:val="right"/>
            </w:pPr>
            <w:r/>
            <w:r>
              <w:rPr>
                <w:sz w:val="17"/>
              </w:rPr>
              <w:t>106,000 to 120,000 (Mostakbal City listings, 2026)</w:t>
            </w:r>
          </w:p>
        </w:tc>
      </w:tr>
      <w:tr>
        <w:trPr>
          <w:cantSplit/>
        </w:trPr>
        <w:tc>
          <w:tcPr>
            <w:tcW w:type="dxa" w:w="1134"/>
            <w:shd w:val="clear" w:color="auto" w:fill="F2F4F7"/>
          </w:tcPr>
          <w:p>
            <w:pPr>
              <w:spacing w:after="0" w:line="240" w:lineRule="auto"/>
            </w:pPr>
            <w:r/>
            <w:r>
              <w:rPr>
                <w:sz w:val="17"/>
              </w:rPr>
              <w:t>Retail</w:t>
            </w:r>
          </w:p>
        </w:tc>
        <w:tc>
          <w:tcPr>
            <w:tcW w:type="dxa" w:w="1304"/>
            <w:shd w:val="clear" w:color="auto" w:fill="F2F4F7"/>
          </w:tcPr>
          <w:p>
            <w:pPr>
              <w:spacing w:after="0" w:line="240" w:lineRule="auto"/>
              <w:jc w:val="right"/>
            </w:pPr>
            <w:r/>
            <w:r>
              <w:rPr>
                <w:sz w:val="17"/>
              </w:rPr>
              <w:t>225,000</w:t>
            </w:r>
          </w:p>
        </w:tc>
        <w:tc>
          <w:tcPr>
            <w:tcW w:type="dxa" w:w="1474"/>
            <w:shd w:val="clear" w:color="auto" w:fill="F2F4F7"/>
          </w:tcPr>
          <w:p>
            <w:pPr>
              <w:spacing w:after="0" w:line="240" w:lineRule="auto"/>
              <w:jc w:val="right"/>
            </w:pPr>
            <w:r/>
            <w:r>
              <w:rPr>
                <w:sz w:val="17"/>
              </w:rPr>
              <w:t>300,000</w:t>
            </w:r>
          </w:p>
        </w:tc>
        <w:tc>
          <w:tcPr>
            <w:tcW w:type="dxa" w:w="1304"/>
            <w:shd w:val="clear" w:color="auto" w:fill="F2F4F7"/>
          </w:tcPr>
          <w:p>
            <w:pPr>
              <w:spacing w:after="0" w:line="240" w:lineRule="auto"/>
              <w:jc w:val="right"/>
            </w:pPr>
            <w:r/>
            <w:r>
              <w:rPr>
                <w:sz w:val="17"/>
              </w:rPr>
              <w:t>250,000</w:t>
            </w:r>
          </w:p>
        </w:tc>
        <w:tc>
          <w:tcPr>
            <w:tcW w:type="dxa" w:w="1474"/>
            <w:shd w:val="clear" w:color="auto" w:fill="F2F4F7"/>
          </w:tcPr>
          <w:p>
            <w:pPr>
              <w:spacing w:after="0" w:line="240" w:lineRule="auto"/>
              <w:jc w:val="right"/>
            </w:pPr>
            <w:r/>
            <w:r>
              <w:rPr>
                <w:sz w:val="17"/>
              </w:rPr>
              <w:t>360,000</w:t>
            </w:r>
          </w:p>
        </w:tc>
        <w:tc>
          <w:tcPr>
            <w:tcW w:type="dxa" w:w="2551"/>
            <w:shd w:val="clear" w:color="auto" w:fill="F2F4F7"/>
          </w:tcPr>
          <w:p>
            <w:pPr>
              <w:spacing w:after="0" w:line="240" w:lineRule="auto"/>
              <w:jc w:val="right"/>
            </w:pPr>
            <w:r/>
            <w:r>
              <w:rPr>
                <w:sz w:val="17"/>
              </w:rPr>
              <w:t>139,000 to 325,000 (New Cairo listings, individual)</w:t>
            </w:r>
          </w:p>
        </w:tc>
      </w:tr>
    </w:tbl>
    <w:p>
      <w:pPr>
        <w:spacing w:after="80"/>
      </w:pPr>
    </w:p>
    <w:p>
      <w:pPr>
        <w:pStyle w:val="ListBullet"/>
        <w:spacing w:after="60"/>
      </w:pPr>
      <w:r>
        <w:rPr>
          <w:b w:val="0"/>
          <w:i w:val="0"/>
        </w:rPr>
        <w:t>The plans raise list prices from the first to the last sales tranche by 33% (retail) and 48% (offices) in Green Square and 44% and 50% in L'avenir. New Cairo secondary prices rose 3.1% y/y in Q1 2026 (JLL via Enterprise); broker estimates for 2026 are 10% to 16% a year (a blog estimate). Against today's office asking prices (mid-point EGP 113,000) the delivery lists are +77% and +112%.</w:t>
      </w:r>
    </w:p>
    <w:p>
      <w:pPr>
        <w:pStyle w:val="ListBullet"/>
        <w:spacing w:after="60"/>
      </w:pPr>
      <w:r>
        <w:rPr>
          <w:b w:val="0"/>
          <w:i w:val="0"/>
        </w:rPr>
        <w:t>Sellable office area in the models is 10,129 m2 (Green Square) and 10,437 m2 (L'avenir), against 8,682 and 8,946 m2 of office built-up area. Jalour to provide the sellable-area schedules.</w:t>
      </w:r>
    </w:p>
    <w:p>
      <w:pPr>
        <w:pStyle w:val="ListBullet"/>
        <w:spacing w:after="60"/>
      </w:pPr>
      <w:r>
        <w:rPr>
          <w:b w:val="0"/>
          <w:i w:val="0"/>
        </w:rPr>
        <w:t>Payment plans: down payment 5% to 20%, equal second payment after three months, instalments over 2 to 8 years, delivery payment 20% to 25%. Standard sale contract to be provided.</w:t>
      </w:r>
    </w:p>
    <w:p>
      <w:pPr>
        <w:keepNext/>
        <w:spacing w:after="60"/>
      </w:pPr>
      <w:r>
        <w:rPr>
          <w:b/>
          <w:color w:val="17324D"/>
          <w:sz w:val="19"/>
        </w:rPr>
        <w:t>Table 8: Sales sensitivities (EGP million;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72"/>
            <w:shd w:val="clear" w:color="auto" w:fill="17324D"/>
          </w:tcPr>
          <w:p>
            <w:pPr>
              <w:spacing w:after="0" w:line="240" w:lineRule="auto"/>
            </w:pPr>
            <w:r/>
            <w:r>
              <w:rPr>
                <w:b/>
                <w:color w:val="FFFFFF"/>
                <w:sz w:val="19"/>
              </w:rPr>
              <w:t>Sales sensitivity</w:t>
            </w:r>
          </w:p>
        </w:tc>
        <w:tc>
          <w:tcPr>
            <w:tcW w:type="dxa" w:w="1417"/>
            <w:shd w:val="clear" w:color="auto" w:fill="17324D"/>
          </w:tcPr>
          <w:p>
            <w:pPr>
              <w:spacing w:after="0" w:line="240" w:lineRule="auto"/>
              <w:jc w:val="right"/>
            </w:pPr>
            <w:r/>
            <w:r>
              <w:rPr>
                <w:b/>
                <w:color w:val="FFFFFF"/>
                <w:sz w:val="19"/>
              </w:rPr>
              <w:t>GS NPV</w:t>
            </w:r>
          </w:p>
        </w:tc>
        <w:tc>
          <w:tcPr>
            <w:tcW w:type="dxa" w:w="1417"/>
            <w:shd w:val="clear" w:color="auto" w:fill="17324D"/>
          </w:tcPr>
          <w:p>
            <w:pPr>
              <w:spacing w:after="0" w:line="240" w:lineRule="auto"/>
              <w:jc w:val="right"/>
            </w:pPr>
            <w:r/>
            <w:r>
              <w:rPr>
                <w:b/>
                <w:color w:val="FFFFFF"/>
                <w:sz w:val="19"/>
              </w:rPr>
              <w:t>GS peak</w:t>
            </w:r>
          </w:p>
        </w:tc>
        <w:tc>
          <w:tcPr>
            <w:tcW w:type="dxa" w:w="1417"/>
            <w:shd w:val="clear" w:color="auto" w:fill="17324D"/>
          </w:tcPr>
          <w:p>
            <w:pPr>
              <w:spacing w:after="0" w:line="240" w:lineRule="auto"/>
              <w:jc w:val="right"/>
            </w:pPr>
            <w:r/>
            <w:r>
              <w:rPr>
                <w:b/>
                <w:color w:val="FFFFFF"/>
                <w:sz w:val="19"/>
              </w:rPr>
              <w:t>LA NPV</w:t>
            </w:r>
          </w:p>
        </w:tc>
        <w:tc>
          <w:tcPr>
            <w:tcW w:type="dxa" w:w="1417"/>
            <w:shd w:val="clear" w:color="auto" w:fill="17324D"/>
          </w:tcPr>
          <w:p>
            <w:pPr>
              <w:spacing w:after="0" w:line="240" w:lineRule="auto"/>
              <w:jc w:val="right"/>
            </w:pPr>
            <w:r/>
            <w:r>
              <w:rPr>
                <w:b/>
                <w:color w:val="FFFFFF"/>
                <w:sz w:val="19"/>
              </w:rPr>
              <w:t>LA peak</w:t>
            </w:r>
          </w:p>
        </w:tc>
      </w:tr>
      <w:tr>
        <w:trPr>
          <w:cantSplit/>
        </w:trPr>
        <w:tc>
          <w:tcPr>
            <w:tcW w:type="dxa" w:w="3572"/>
          </w:tcPr>
          <w:p>
            <w:pPr>
              <w:spacing w:after="0" w:line="240" w:lineRule="auto"/>
            </w:pPr>
            <w:r/>
            <w:r>
              <w:rPr>
                <w:sz w:val="19"/>
              </w:rPr>
              <w:t>Prices -19%</w:t>
            </w:r>
          </w:p>
        </w:tc>
        <w:tc>
          <w:tcPr>
            <w:tcW w:type="dxa" w:w="1417"/>
          </w:tcPr>
          <w:p>
            <w:pPr>
              <w:spacing w:after="0" w:line="240" w:lineRule="auto"/>
              <w:jc w:val="right"/>
            </w:pPr>
            <w:r/>
            <w:r>
              <w:rPr>
                <w:sz w:val="19"/>
              </w:rPr>
              <w:t>13</w:t>
            </w:r>
          </w:p>
        </w:tc>
        <w:tc>
          <w:tcPr>
            <w:tcW w:type="dxa" w:w="1417"/>
          </w:tcPr>
          <w:p>
            <w:pPr>
              <w:spacing w:after="0" w:line="240" w:lineRule="auto"/>
              <w:jc w:val="right"/>
            </w:pPr>
            <w:r/>
            <w:r>
              <w:rPr>
                <w:sz w:val="19"/>
              </w:rPr>
              <w:t>184</w:t>
            </w:r>
          </w:p>
        </w:tc>
        <w:tc>
          <w:tcPr>
            <w:tcW w:type="dxa" w:w="1417"/>
          </w:tcPr>
          <w:p>
            <w:pPr>
              <w:spacing w:after="0" w:line="240" w:lineRule="auto"/>
              <w:jc w:val="right"/>
            </w:pPr>
            <w:r/>
            <w:r>
              <w:rPr>
                <w:sz w:val="19"/>
              </w:rPr>
              <w:t>100</w:t>
            </w:r>
          </w:p>
        </w:tc>
        <w:tc>
          <w:tcPr>
            <w:tcW w:type="dxa" w:w="1417"/>
          </w:tcPr>
          <w:p>
            <w:pPr>
              <w:spacing w:after="0" w:line="240" w:lineRule="auto"/>
              <w:jc w:val="right"/>
            </w:pPr>
            <w:r/>
            <w:r>
              <w:rPr>
                <w:sz w:val="19"/>
              </w:rPr>
              <w:t>175</w:t>
            </w:r>
          </w:p>
        </w:tc>
      </w:tr>
      <w:tr>
        <w:trPr>
          <w:cantSplit/>
        </w:trPr>
        <w:tc>
          <w:tcPr>
            <w:tcW w:type="dxa" w:w="3572"/>
            <w:shd w:val="clear" w:color="auto" w:fill="F2F4F7"/>
          </w:tcPr>
          <w:p>
            <w:pPr>
              <w:spacing w:after="0" w:line="240" w:lineRule="auto"/>
            </w:pPr>
            <w:r/>
            <w:r>
              <w:rPr>
                <w:sz w:val="19"/>
              </w:rPr>
              <w:t>Prices -9%</w:t>
            </w:r>
          </w:p>
        </w:tc>
        <w:tc>
          <w:tcPr>
            <w:tcW w:type="dxa" w:w="1417"/>
            <w:shd w:val="clear" w:color="auto" w:fill="F2F4F7"/>
          </w:tcPr>
          <w:p>
            <w:pPr>
              <w:spacing w:after="0" w:line="240" w:lineRule="auto"/>
              <w:jc w:val="right"/>
            </w:pPr>
            <w:r/>
            <w:r>
              <w:rPr>
                <w:sz w:val="19"/>
              </w:rPr>
              <w:t>116</w:t>
            </w:r>
          </w:p>
        </w:tc>
        <w:tc>
          <w:tcPr>
            <w:tcW w:type="dxa" w:w="1417"/>
            <w:shd w:val="clear" w:color="auto" w:fill="F2F4F7"/>
          </w:tcPr>
          <w:p>
            <w:pPr>
              <w:spacing w:after="0" w:line="240" w:lineRule="auto"/>
              <w:jc w:val="right"/>
            </w:pPr>
            <w:r/>
            <w:r>
              <w:rPr>
                <w:sz w:val="19"/>
              </w:rPr>
              <w:t>114</w:t>
            </w:r>
          </w:p>
        </w:tc>
        <w:tc>
          <w:tcPr>
            <w:tcW w:type="dxa" w:w="1417"/>
            <w:shd w:val="clear" w:color="auto" w:fill="F2F4F7"/>
          </w:tcPr>
          <w:p>
            <w:pPr>
              <w:spacing w:after="0" w:line="240" w:lineRule="auto"/>
              <w:jc w:val="right"/>
            </w:pPr>
            <w:r/>
            <w:r>
              <w:rPr>
                <w:sz w:val="19"/>
              </w:rPr>
              <w:t>204</w:t>
            </w:r>
          </w:p>
        </w:tc>
        <w:tc>
          <w:tcPr>
            <w:tcW w:type="dxa" w:w="1417"/>
            <w:shd w:val="clear" w:color="auto" w:fill="F2F4F7"/>
          </w:tcPr>
          <w:p>
            <w:pPr>
              <w:spacing w:after="0" w:line="240" w:lineRule="auto"/>
              <w:jc w:val="right"/>
            </w:pPr>
            <w:r/>
            <w:r>
              <w:rPr>
                <w:sz w:val="19"/>
              </w:rPr>
              <w:t>138</w:t>
            </w:r>
          </w:p>
        </w:tc>
      </w:tr>
      <w:tr>
        <w:trPr>
          <w:cantSplit/>
        </w:trPr>
        <w:tc>
          <w:tcPr>
            <w:tcW w:type="dxa" w:w="3572"/>
          </w:tcPr>
          <w:p>
            <w:pPr>
              <w:spacing w:after="0" w:line="240" w:lineRule="auto"/>
            </w:pPr>
            <w:r/>
            <w:r>
              <w:rPr>
                <w:sz w:val="19"/>
              </w:rPr>
              <w:t>Prices +10%</w:t>
            </w:r>
          </w:p>
        </w:tc>
        <w:tc>
          <w:tcPr>
            <w:tcW w:type="dxa" w:w="1417"/>
          </w:tcPr>
          <w:p>
            <w:pPr>
              <w:spacing w:after="0" w:line="240" w:lineRule="auto"/>
              <w:jc w:val="right"/>
            </w:pPr>
            <w:r/>
            <w:r>
              <w:rPr>
                <w:sz w:val="19"/>
              </w:rPr>
              <w:t>315</w:t>
            </w:r>
          </w:p>
        </w:tc>
        <w:tc>
          <w:tcPr>
            <w:tcW w:type="dxa" w:w="1417"/>
          </w:tcPr>
          <w:p>
            <w:pPr>
              <w:spacing w:after="0" w:line="240" w:lineRule="auto"/>
              <w:jc w:val="right"/>
            </w:pPr>
            <w:r/>
            <w:r>
              <w:rPr>
                <w:sz w:val="19"/>
              </w:rPr>
              <w:t>102</w:t>
            </w:r>
          </w:p>
        </w:tc>
        <w:tc>
          <w:tcPr>
            <w:tcW w:type="dxa" w:w="1417"/>
          </w:tcPr>
          <w:p>
            <w:pPr>
              <w:spacing w:after="0" w:line="240" w:lineRule="auto"/>
              <w:jc w:val="right"/>
            </w:pPr>
            <w:r/>
            <w:r>
              <w:rPr>
                <w:sz w:val="19"/>
              </w:rPr>
              <w:t>412</w:t>
            </w:r>
          </w:p>
        </w:tc>
        <w:tc>
          <w:tcPr>
            <w:tcW w:type="dxa" w:w="1417"/>
          </w:tcPr>
          <w:p>
            <w:pPr>
              <w:spacing w:after="0" w:line="240" w:lineRule="auto"/>
              <w:jc w:val="right"/>
            </w:pPr>
            <w:r/>
            <w:r>
              <w:rPr>
                <w:sz w:val="19"/>
              </w:rPr>
              <w:t>88</w:t>
            </w:r>
          </w:p>
        </w:tc>
      </w:tr>
      <w:tr>
        <w:trPr>
          <w:cantSplit/>
        </w:trPr>
        <w:tc>
          <w:tcPr>
            <w:tcW w:type="dxa" w:w="3572"/>
            <w:shd w:val="clear" w:color="auto" w:fill="F2F4F7"/>
          </w:tcPr>
          <w:p>
            <w:pPr>
              <w:spacing w:after="0" w:line="240" w:lineRule="auto"/>
            </w:pPr>
            <w:r/>
            <w:r>
              <w:rPr>
                <w:sz w:val="19"/>
              </w:rPr>
              <w:t>Sales delayed 6 months</w:t>
            </w:r>
          </w:p>
        </w:tc>
        <w:tc>
          <w:tcPr>
            <w:tcW w:type="dxa" w:w="1417"/>
            <w:shd w:val="clear" w:color="auto" w:fill="F2F4F7"/>
          </w:tcPr>
          <w:p>
            <w:pPr>
              <w:spacing w:after="0" w:line="240" w:lineRule="auto"/>
              <w:jc w:val="right"/>
            </w:pPr>
            <w:r/>
            <w:r>
              <w:rPr>
                <w:sz w:val="19"/>
              </w:rPr>
              <w:t>129</w:t>
            </w:r>
          </w:p>
        </w:tc>
        <w:tc>
          <w:tcPr>
            <w:tcW w:type="dxa" w:w="1417"/>
            <w:shd w:val="clear" w:color="auto" w:fill="F2F4F7"/>
          </w:tcPr>
          <w:p>
            <w:pPr>
              <w:spacing w:after="0" w:line="240" w:lineRule="auto"/>
              <w:jc w:val="right"/>
            </w:pPr>
            <w:r/>
            <w:r>
              <w:rPr>
                <w:sz w:val="19"/>
              </w:rPr>
              <w:t>217</w:t>
            </w:r>
          </w:p>
        </w:tc>
        <w:tc>
          <w:tcPr>
            <w:tcW w:type="dxa" w:w="1417"/>
            <w:shd w:val="clear" w:color="auto" w:fill="F2F4F7"/>
          </w:tcPr>
          <w:p>
            <w:pPr>
              <w:spacing w:after="0" w:line="240" w:lineRule="auto"/>
              <w:jc w:val="right"/>
            </w:pPr>
            <w:r/>
            <w:r>
              <w:rPr>
                <w:sz w:val="19"/>
              </w:rPr>
              <w:t>214</w:t>
            </w:r>
          </w:p>
        </w:tc>
        <w:tc>
          <w:tcPr>
            <w:tcW w:type="dxa" w:w="1417"/>
            <w:shd w:val="clear" w:color="auto" w:fill="F2F4F7"/>
          </w:tcPr>
          <w:p>
            <w:pPr>
              <w:spacing w:after="0" w:line="240" w:lineRule="auto"/>
              <w:jc w:val="right"/>
            </w:pPr>
            <w:r/>
            <w:r>
              <w:rPr>
                <w:sz w:val="19"/>
              </w:rPr>
              <w:t>366</w:t>
            </w:r>
          </w:p>
        </w:tc>
      </w:tr>
      <w:tr>
        <w:trPr>
          <w:cantSplit/>
        </w:trPr>
        <w:tc>
          <w:tcPr>
            <w:tcW w:type="dxa" w:w="3572"/>
          </w:tcPr>
          <w:p>
            <w:pPr>
              <w:spacing w:after="0" w:line="240" w:lineRule="auto"/>
            </w:pPr>
            <w:r/>
            <w:r>
              <w:rPr>
                <w:sz w:val="19"/>
              </w:rPr>
              <w:t>Sales delayed 12 months</w:t>
            </w:r>
          </w:p>
        </w:tc>
        <w:tc>
          <w:tcPr>
            <w:tcW w:type="dxa" w:w="1417"/>
          </w:tcPr>
          <w:p>
            <w:pPr>
              <w:spacing w:after="0" w:line="240" w:lineRule="auto"/>
              <w:jc w:val="right"/>
            </w:pPr>
            <w:r/>
            <w:r>
              <w:rPr>
                <w:sz w:val="19"/>
              </w:rPr>
              <w:t>49</w:t>
            </w:r>
          </w:p>
        </w:tc>
        <w:tc>
          <w:tcPr>
            <w:tcW w:type="dxa" w:w="1417"/>
          </w:tcPr>
          <w:p>
            <w:pPr>
              <w:spacing w:after="0" w:line="240" w:lineRule="auto"/>
              <w:jc w:val="right"/>
            </w:pPr>
            <w:r/>
            <w:r>
              <w:rPr>
                <w:sz w:val="19"/>
              </w:rPr>
              <w:t>408</w:t>
            </w:r>
          </w:p>
        </w:tc>
        <w:tc>
          <w:tcPr>
            <w:tcW w:type="dxa" w:w="1417"/>
          </w:tcPr>
          <w:p>
            <w:pPr>
              <w:spacing w:after="0" w:line="240" w:lineRule="auto"/>
              <w:jc w:val="right"/>
            </w:pPr>
            <w:r/>
            <w:r>
              <w:rPr>
                <w:sz w:val="19"/>
              </w:rPr>
              <w:t>126</w:t>
            </w:r>
          </w:p>
        </w:tc>
        <w:tc>
          <w:tcPr>
            <w:tcW w:type="dxa" w:w="1417"/>
          </w:tcPr>
          <w:p>
            <w:pPr>
              <w:spacing w:after="0" w:line="240" w:lineRule="auto"/>
              <w:jc w:val="right"/>
            </w:pPr>
            <w:r/>
            <w:r>
              <w:rPr>
                <w:sz w:val="19"/>
              </w:rPr>
              <w:t>779</w:t>
            </w:r>
          </w:p>
        </w:tc>
      </w:tr>
      <w:tr>
        <w:trPr>
          <w:cantSplit/>
        </w:trPr>
        <w:tc>
          <w:tcPr>
            <w:tcW w:type="dxa" w:w="3572"/>
            <w:shd w:val="clear" w:color="auto" w:fill="F2F4F7"/>
          </w:tcPr>
          <w:p>
            <w:pPr>
              <w:spacing w:after="0" w:line="240" w:lineRule="auto"/>
            </w:pPr>
            <w:r/>
            <w:r>
              <w:rPr>
                <w:sz w:val="19"/>
              </w:rPr>
              <w:t>Sales delayed 24 months</w:t>
            </w:r>
          </w:p>
        </w:tc>
        <w:tc>
          <w:tcPr>
            <w:tcW w:type="dxa" w:w="1417"/>
            <w:shd w:val="clear" w:color="auto" w:fill="F2F4F7"/>
          </w:tcPr>
          <w:p>
            <w:pPr>
              <w:spacing w:after="0" w:line="240" w:lineRule="auto"/>
              <w:jc w:val="right"/>
            </w:pPr>
            <w:r/>
            <w:r>
              <w:rPr>
                <w:sz w:val="19"/>
              </w:rPr>
              <w:t>-97</w:t>
            </w:r>
          </w:p>
        </w:tc>
        <w:tc>
          <w:tcPr>
            <w:tcW w:type="dxa" w:w="1417"/>
            <w:shd w:val="clear" w:color="auto" w:fill="F2F4F7"/>
          </w:tcPr>
          <w:p>
            <w:pPr>
              <w:spacing w:after="0" w:line="240" w:lineRule="auto"/>
              <w:jc w:val="right"/>
            </w:pPr>
            <w:r/>
            <w:r>
              <w:rPr>
                <w:sz w:val="19"/>
              </w:rPr>
              <w:t>1,075</w:t>
            </w:r>
          </w:p>
        </w:tc>
        <w:tc>
          <w:tcPr>
            <w:tcW w:type="dxa" w:w="1417"/>
            <w:shd w:val="clear" w:color="auto" w:fill="F2F4F7"/>
          </w:tcPr>
          <w:p>
            <w:pPr>
              <w:spacing w:after="0" w:line="240" w:lineRule="auto"/>
              <w:jc w:val="right"/>
            </w:pPr>
            <w:r/>
            <w:r>
              <w:rPr>
                <w:sz w:val="19"/>
              </w:rPr>
              <w:t>-34</w:t>
            </w:r>
          </w:p>
        </w:tc>
        <w:tc>
          <w:tcPr>
            <w:tcW w:type="dxa" w:w="1417"/>
            <w:shd w:val="clear" w:color="auto" w:fill="F2F4F7"/>
          </w:tcPr>
          <w:p>
            <w:pPr>
              <w:spacing w:after="0" w:line="240" w:lineRule="auto"/>
              <w:jc w:val="right"/>
            </w:pPr>
            <w:r/>
            <w:r>
              <w:rPr>
                <w:sz w:val="19"/>
              </w:rPr>
              <w:t>1,179</w:t>
            </w:r>
          </w:p>
        </w:tc>
      </w:tr>
      <w:tr>
        <w:trPr>
          <w:cantSplit/>
        </w:trPr>
        <w:tc>
          <w:tcPr>
            <w:tcW w:type="dxa" w:w="3572"/>
          </w:tcPr>
          <w:p>
            <w:pPr>
              <w:spacing w:after="0" w:line="240" w:lineRule="auto"/>
            </w:pPr>
            <w:r/>
            <w:r>
              <w:rPr>
                <w:sz w:val="19"/>
              </w:rPr>
              <w:t>Delivery payments at handover</w:t>
            </w:r>
          </w:p>
        </w:tc>
        <w:tc>
          <w:tcPr>
            <w:tcW w:type="dxa" w:w="1417"/>
          </w:tcPr>
          <w:p>
            <w:pPr>
              <w:spacing w:after="0" w:line="240" w:lineRule="auto"/>
              <w:jc w:val="right"/>
            </w:pPr>
            <w:r/>
            <w:r>
              <w:rPr>
                <w:sz w:val="19"/>
              </w:rPr>
              <w:t>155</w:t>
            </w:r>
          </w:p>
        </w:tc>
        <w:tc>
          <w:tcPr>
            <w:tcW w:type="dxa" w:w="1417"/>
          </w:tcPr>
          <w:p>
            <w:pPr>
              <w:spacing w:after="0" w:line="240" w:lineRule="auto"/>
              <w:jc w:val="right"/>
            </w:pPr>
            <w:r/>
            <w:r>
              <w:rPr>
                <w:sz w:val="19"/>
              </w:rPr>
              <w:t>269</w:t>
            </w:r>
          </w:p>
        </w:tc>
        <w:tc>
          <w:tcPr>
            <w:tcW w:type="dxa" w:w="1417"/>
          </w:tcPr>
          <w:p>
            <w:pPr>
              <w:spacing w:after="0" w:line="240" w:lineRule="auto"/>
              <w:jc w:val="right"/>
            </w:pPr>
            <w:r/>
            <w:r>
              <w:rPr>
                <w:sz w:val="19"/>
              </w:rPr>
              <w:t>275</w:t>
            </w:r>
          </w:p>
        </w:tc>
        <w:tc>
          <w:tcPr>
            <w:tcW w:type="dxa" w:w="1417"/>
          </w:tcPr>
          <w:p>
            <w:pPr>
              <w:spacing w:after="0" w:line="240" w:lineRule="auto"/>
              <w:jc w:val="right"/>
            </w:pPr>
            <w:r/>
            <w:r>
              <w:rPr>
                <w:sz w:val="19"/>
              </w:rPr>
              <w:t>244</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each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VAT, stamp duty and registration fees.</w:t>
      </w:r>
    </w:p>
    <w:p>
      <w:pPr>
        <w:pStyle w:val="ListBullet"/>
        <w:spacing w:after="60"/>
      </w:pPr>
      <w:r>
        <w:rPr>
          <w:b w:val="0"/>
          <w:i w:val="0"/>
        </w:rPr>
        <w:t>Terms, governing law and dispute forum of the non-disclosure agreement (template in this pack).</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(each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agreements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each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 (one per project, or one with project schedules)</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 (each plot)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companies</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Non-disclosure agreement</w:t>
            </w:r>
          </w:p>
        </w:tc>
        <w:tc>
          <w:tcPr>
            <w:tcW w:type="dxa" w:w="3402"/>
            <w:shd w:val="clear" w:color="auto" w:fill="F2F4F7"/>
          </w:tcPr>
          <w:p>
            <w:pPr>
              <w:spacing w:after="0" w:line="240" w:lineRule="auto"/>
            </w:pPr>
            <w:r/>
            <w:r>
              <w:rPr>
                <w:sz w:val="19"/>
              </w:rPr>
              <w:t>Jalour, investor</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Corporate approvals, incumbency, KYC</w:t>
            </w:r>
          </w:p>
        </w:tc>
        <w:tc>
          <w:tcPr>
            <w:tcW w:type="dxa" w:w="3402"/>
          </w:tcPr>
          <w:p>
            <w:pPr>
              <w:spacing w:after="0" w:line="240" w:lineRule="auto"/>
            </w:pPr>
            <w:r/>
            <w:r>
              <w:rPr>
                <w:sz w:val="19"/>
              </w:rPr>
              <w:t>All</w:t>
            </w:r>
          </w:p>
        </w:tc>
        <w:tc>
          <w:tcPr>
            <w:tcW w:type="dxa" w:w="1644"/>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 There is no cross-collateral or cross-default between the projects.</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 in each project.</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2438"/>
            <w:shd w:val="clear" w:color="auto" w:fill="17324D"/>
          </w:tcPr>
          <w:p>
            <w:pPr>
              <w:spacing w:after="0" w:line="240" w:lineRule="auto"/>
              <w:jc w:val="right"/>
            </w:pPr>
            <w:r/>
            <w:r>
              <w:rPr>
                <w:b/>
                <w:color w:val="FFFFFF"/>
                <w:sz w:val="19"/>
              </w:rPr>
              <w:t>Jalour cost of capital (combined)</w:t>
            </w:r>
          </w:p>
        </w:tc>
        <w:tc>
          <w:tcPr>
            <w:tcW w:type="dxa" w:w="3288"/>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of each project at launch list (recommended)</w:t>
            </w:r>
          </w:p>
        </w:tc>
        <w:tc>
          <w:tcPr>
            <w:tcW w:type="dxa" w:w="2438"/>
          </w:tcPr>
          <w:p>
            <w:pPr>
              <w:spacing w:after="0" w:line="240" w:lineRule="auto"/>
              <w:jc w:val="right"/>
            </w:pPr>
            <w:r/>
            <w:r>
              <w:rPr>
                <w:sz w:val="19"/>
              </w:rPr>
              <w:t>21.6%</w:t>
            </w:r>
          </w:p>
        </w:tc>
        <w:tc>
          <w:tcPr>
            <w:tcW w:type="dxa" w:w="3288"/>
          </w:tcPr>
          <w:p>
            <w:pPr>
              <w:spacing w:after="0" w:line="240" w:lineRule="auto"/>
              <w:jc w:val="right"/>
            </w:pPr>
            <w:r/>
            <w:r>
              <w:rPr>
                <w:sz w:val="19"/>
              </w:rPr>
              <w:t>Removes 21% (Green Square) and 17% (L'avenir)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2438"/>
            <w:shd w:val="clear" w:color="auto" w:fill="F2F4F7"/>
          </w:tcPr>
          <w:p>
            <w:pPr>
              <w:spacing w:after="0" w:line="240" w:lineRule="auto"/>
              <w:jc w:val="right"/>
            </w:pPr>
            <w:r/>
            <w:r>
              <w:rPr>
                <w:sz w:val="19"/>
              </w:rPr>
              <w:t>30.7% (Green Square); 31.6% (L'avenir)</w:t>
            </w:r>
          </w:p>
        </w:tc>
        <w:tc>
          <w:tcPr>
            <w:tcW w:type="dxa" w:w="3288"/>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2438"/>
          </w:tcPr>
          <w:p>
            <w:pPr>
              <w:spacing w:after="0" w:line="240" w:lineRule="auto"/>
              <w:jc w:val="right"/>
            </w:pPr>
            <w:r/>
            <w:r>
              <w:rPr>
                <w:sz w:val="19"/>
              </w:rPr>
              <w:t>Not considered</w:t>
            </w:r>
          </w:p>
        </w:tc>
        <w:tc>
          <w:tcPr>
            <w:tcW w:type="dxa" w:w="3288"/>
          </w:tcPr>
          <w:p>
            <w:pPr>
              <w:spacing w:after="0" w:line="240" w:lineRule="auto"/>
              <w:jc w:val="right"/>
            </w:pPr>
            <w:r/>
            <w:r>
              <w:rPr>
                <w:sz w:val="19"/>
              </w:rPr>
              <w:t>Excluded by Jalour</w:t>
            </w:r>
          </w:p>
        </w:tc>
      </w:tr>
    </w:tbl>
    <w:p>
      <w:pPr>
        <w:spacing w:after="80"/>
      </w:pPr>
    </w:p>
    <w:p>
      <w:r>
        <w:rPr>
          <w:b w:val="0"/>
          <w:i w:val="0"/>
        </w:rPr>
        <w:t>A mix of retail and offices in proportion to the launch tranches is recommended (Green Square retail 32%; L'avenir retail 31%).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948"/>
            <w:shd w:val="clear" w:color="auto" w:fill="17324D"/>
          </w:tcPr>
          <w:p>
            <w:pPr>
              <w:spacing w:after="0" w:line="240" w:lineRule="auto"/>
            </w:pPr>
            <w:r/>
            <w:r>
              <w:rPr>
                <w:b/>
                <w:color w:val="FFFFFF"/>
                <w:sz w:val="18"/>
              </w:rPr>
              <w:t>Structure (combined)</w:t>
            </w:r>
          </w:p>
        </w:tc>
        <w:tc>
          <w:tcPr>
            <w:tcW w:type="dxa" w:w="1587"/>
            <w:shd w:val="clear" w:color="auto" w:fill="17324D"/>
          </w:tcPr>
          <w:p>
            <w:pPr>
              <w:spacing w:after="0" w:line="240" w:lineRule="auto"/>
              <w:jc w:val="right"/>
            </w:pPr>
            <w:r/>
            <w:r>
              <w:rPr>
                <w:b/>
                <w:color w:val="FFFFFF"/>
                <w:sz w:val="18"/>
              </w:rPr>
              <w:t>Investor IRR (base)</w:t>
            </w:r>
          </w:p>
        </w:tc>
        <w:tc>
          <w:tcPr>
            <w:tcW w:type="dxa" w:w="2154"/>
            <w:shd w:val="clear" w:color="auto" w:fill="17324D"/>
          </w:tcPr>
          <w:p>
            <w:pPr>
              <w:spacing w:after="0" w:line="240" w:lineRule="auto"/>
              <w:jc w:val="right"/>
            </w:pPr>
            <w:r/>
            <w:r>
              <w:rPr>
                <w:b/>
                <w:color w:val="FFFFFF"/>
                <w:sz w:val="18"/>
              </w:rPr>
              <w:t>Downside lowest pooled cash (EGP m)</w:t>
            </w:r>
          </w:p>
        </w:tc>
        <w:tc>
          <w:tcPr>
            <w:tcW w:type="dxa" w:w="2551"/>
            <w:shd w:val="clear" w:color="auto" w:fill="17324D"/>
          </w:tcPr>
          <w:p>
            <w:pPr>
              <w:spacing w:after="0" w:line="240" w:lineRule="auto"/>
              <w:jc w:val="right"/>
            </w:pPr>
            <w:r/>
            <w:r>
              <w:rPr>
                <w:b/>
                <w:color w:val="FFFFFF"/>
                <w:sz w:val="18"/>
              </w:rPr>
              <w:t>Why rejected or chosen</w:t>
            </w:r>
          </w:p>
        </w:tc>
      </w:tr>
      <w:tr>
        <w:trPr>
          <w:cantSplit/>
        </w:trPr>
        <w:tc>
          <w:tcPr>
            <w:tcW w:type="dxa" w:w="2948"/>
          </w:tcPr>
          <w:p>
            <w:pPr>
              <w:spacing w:after="0" w:line="240" w:lineRule="auto"/>
            </w:pPr>
            <w:r/>
            <w:r>
              <w:rPr>
                <w:sz w:val="18"/>
              </w:rPr>
              <w:t>S1 fixed multiple, equal instalments</w:t>
            </w:r>
          </w:p>
        </w:tc>
        <w:tc>
          <w:tcPr>
            <w:tcW w:type="dxa" w:w="1587"/>
          </w:tcPr>
          <w:p>
            <w:pPr>
              <w:spacing w:after="0" w:line="240" w:lineRule="auto"/>
              <w:jc w:val="right"/>
            </w:pPr>
            <w:r/>
            <w:r>
              <w:rPr>
                <w:sz w:val="18"/>
              </w:rPr>
              <w:t>26.5%</w:t>
            </w:r>
          </w:p>
        </w:tc>
        <w:tc>
          <w:tcPr>
            <w:tcW w:type="dxa" w:w="2154"/>
          </w:tcPr>
          <w:p>
            <w:pPr>
              <w:spacing w:after="0" w:line="240" w:lineRule="auto"/>
              <w:jc w:val="right"/>
            </w:pPr>
            <w:r/>
            <w:r>
              <w:rPr>
                <w:sz w:val="18"/>
              </w:rPr>
              <w:t>-1,144</w:t>
            </w:r>
          </w:p>
        </w:tc>
        <w:tc>
          <w:tcPr>
            <w:tcW w:type="dxa" w:w="2551"/>
          </w:tcPr>
          <w:p>
            <w:pPr>
              <w:spacing w:after="0" w:line="240" w:lineRule="auto"/>
              <w:jc w:val="right"/>
            </w:pPr>
            <w:r/>
            <w:r>
              <w:rPr>
                <w:sz w:val="18"/>
              </w:rPr>
              <w:t>Chosen: simple and certain</w:t>
            </w:r>
          </w:p>
        </w:tc>
      </w:tr>
      <w:tr>
        <w:trPr>
          <w:cantSplit/>
        </w:trPr>
        <w:tc>
          <w:tcPr>
            <w:tcW w:type="dxa" w:w="2948"/>
            <w:shd w:val="clear" w:color="auto" w:fill="F2F4F7"/>
          </w:tcPr>
          <w:p>
            <w:pPr>
              <w:spacing w:after="0" w:line="240" w:lineRule="auto"/>
            </w:pPr>
            <w:r/>
            <w:r>
              <w:rPr>
                <w:sz w:val="18"/>
              </w:rPr>
              <w:t>S2 share of collections, floor and cap</w:t>
            </w:r>
          </w:p>
        </w:tc>
        <w:tc>
          <w:tcPr>
            <w:tcW w:type="dxa" w:w="1587"/>
            <w:shd w:val="clear" w:color="auto" w:fill="F2F4F7"/>
          </w:tcPr>
          <w:p>
            <w:pPr>
              <w:spacing w:after="0" w:line="240" w:lineRule="auto"/>
              <w:jc w:val="right"/>
            </w:pPr>
            <w:r/>
            <w:r>
              <w:rPr>
                <w:sz w:val="18"/>
              </w:rPr>
              <w:t>28.9%</w:t>
            </w:r>
          </w:p>
        </w:tc>
        <w:tc>
          <w:tcPr>
            <w:tcW w:type="dxa" w:w="2154"/>
            <w:shd w:val="clear" w:color="auto" w:fill="F2F4F7"/>
          </w:tcPr>
          <w:p>
            <w:pPr>
              <w:spacing w:after="0" w:line="240" w:lineRule="auto"/>
              <w:jc w:val="right"/>
            </w:pPr>
            <w:r/>
            <w:r>
              <w:rPr>
                <w:sz w:val="18"/>
              </w:rPr>
              <w:t>-1,142</w:t>
            </w:r>
          </w:p>
        </w:tc>
        <w:tc>
          <w:tcPr>
            <w:tcW w:type="dxa" w:w="2551"/>
            <w:shd w:val="clear" w:color="auto" w:fill="F2F4F7"/>
          </w:tcPr>
          <w:p>
            <w:pPr>
              <w:spacing w:after="0" w:line="240" w:lineRule="auto"/>
              <w:jc w:val="right"/>
            </w:pPr>
            <w:r/>
            <w:r>
              <w:rPr>
                <w:sz w:val="18"/>
              </w:rPr>
              <w:t>Takes cash needed for construction; no better coverage</w:t>
            </w:r>
          </w:p>
        </w:tc>
      </w:tr>
      <w:tr>
        <w:trPr>
          <w:cantSplit/>
        </w:trPr>
        <w:tc>
          <w:tcPr>
            <w:tcW w:type="dxa" w:w="2948"/>
          </w:tcPr>
          <w:p>
            <w:pPr>
              <w:spacing w:after="0" w:line="240" w:lineRule="auto"/>
            </w:pPr>
            <w:r/>
            <w:r>
              <w:rPr>
                <w:sz w:val="18"/>
              </w:rPr>
              <w:t>S3 fixed 1.8x plus share of collections</w:t>
            </w:r>
          </w:p>
        </w:tc>
        <w:tc>
          <w:tcPr>
            <w:tcW w:type="dxa" w:w="1587"/>
          </w:tcPr>
          <w:p>
            <w:pPr>
              <w:spacing w:after="0" w:line="240" w:lineRule="auto"/>
              <w:jc w:val="right"/>
            </w:pPr>
            <w:r/>
            <w:r>
              <w:rPr>
                <w:sz w:val="18"/>
              </w:rPr>
              <w:t>27.6%</w:t>
            </w:r>
          </w:p>
        </w:tc>
        <w:tc>
          <w:tcPr>
            <w:tcW w:type="dxa" w:w="2154"/>
          </w:tcPr>
          <w:p>
            <w:pPr>
              <w:spacing w:after="0" w:line="240" w:lineRule="auto"/>
              <w:jc w:val="right"/>
            </w:pPr>
            <w:r/>
            <w:r>
              <w:rPr>
                <w:sz w:val="18"/>
              </w:rPr>
              <w:t>-1,139</w:t>
            </w:r>
          </w:p>
        </w:tc>
        <w:tc>
          <w:tcPr>
            <w:tcW w:type="dxa" w:w="2551"/>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matrix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41"/>
            <w:shd w:val="clear" w:color="auto" w:fill="17324D"/>
          </w:tcPr>
          <w:p>
            <w:pPr>
              <w:spacing w:after="0" w:line="240" w:lineRule="auto"/>
            </w:pPr>
            <w:r/>
            <w:r>
              <w:rPr>
                <w:b/>
                <w:color w:val="FFFFFF"/>
                <w:sz w:val="17"/>
              </w:rPr>
              <w:t>Risk</w:t>
            </w:r>
          </w:p>
        </w:tc>
        <w:tc>
          <w:tcPr>
            <w:tcW w:type="dxa" w:w="2835"/>
            <w:shd w:val="clear" w:color="auto" w:fill="17324D"/>
          </w:tcPr>
          <w:p>
            <w:pPr>
              <w:spacing w:after="0" w:line="240" w:lineRule="auto"/>
            </w:pPr>
            <w:r/>
            <w:r>
              <w:rPr>
                <w:b/>
                <w:color w:val="FFFFFF"/>
                <w:sz w:val="17"/>
              </w:rPr>
              <w:t>Effect on the investor</w:t>
            </w:r>
          </w:p>
        </w:tc>
        <w:tc>
          <w:tcPr>
            <w:tcW w:type="dxa" w:w="2948"/>
            <w:shd w:val="clear" w:color="auto" w:fill="17324D"/>
          </w:tcPr>
          <w:p>
            <w:pPr>
              <w:spacing w:after="0" w:line="240" w:lineRule="auto"/>
            </w:pPr>
            <w:r/>
            <w:r>
              <w:rPr>
                <w:b/>
                <w:color w:val="FFFFFF"/>
                <w:sz w:val="17"/>
              </w:rPr>
              <w:t>Mitigant</w:t>
            </w:r>
          </w:p>
        </w:tc>
        <w:tc>
          <w:tcPr>
            <w:tcW w:type="dxa" w:w="1417"/>
            <w:shd w:val="clear" w:color="auto" w:fill="17324D"/>
          </w:tcPr>
          <w:p>
            <w:pPr>
              <w:spacing w:after="0" w:line="240" w:lineRule="auto"/>
            </w:pPr>
            <w:r/>
            <w:r>
              <w:rPr>
                <w:b/>
                <w:color w:val="FFFFFF"/>
                <w:sz w:val="17"/>
              </w:rPr>
              <w:t>Residual</w:t>
            </w:r>
          </w:p>
        </w:tc>
      </w:tr>
      <w:tr>
        <w:trPr>
          <w:cantSplit/>
        </w:trPr>
        <w:tc>
          <w:tcPr>
            <w:tcW w:type="dxa" w:w="2041"/>
          </w:tcPr>
          <w:p>
            <w:pPr>
              <w:spacing w:after="0" w:line="240" w:lineRule="auto"/>
            </w:pPr>
            <w:r/>
            <w:r>
              <w:rPr>
                <w:sz w:val="17"/>
              </w:rPr>
              <w:t>Price below plan</w:t>
            </w:r>
          </w:p>
        </w:tc>
        <w:tc>
          <w:tcPr>
            <w:tcW w:type="dxa" w:w="2835"/>
          </w:tcPr>
          <w:p>
            <w:pPr>
              <w:spacing w:after="0" w:line="240" w:lineRule="auto"/>
            </w:pPr>
            <w:r/>
            <w:r>
              <w:rPr>
                <w:sz w:val="17"/>
              </w:rPr>
              <w:t>Option A value falls; project cash weaker</w:t>
            </w:r>
          </w:p>
        </w:tc>
        <w:tc>
          <w:tcPr>
            <w:tcW w:type="dxa" w:w="2948"/>
          </w:tcPr>
          <w:p>
            <w:pPr>
              <w:spacing w:after="0" w:line="240" w:lineRule="auto"/>
            </w:pPr>
            <w:r/>
            <w:r>
              <w:rPr>
                <w:sz w:val="17"/>
              </w:rPr>
              <w:t>Downside case; Option B unaffected by price</w:t>
            </w:r>
          </w:p>
        </w:tc>
        <w:tc>
          <w:tcPr>
            <w:tcW w:type="dxa" w:w="1417"/>
          </w:tcPr>
          <w:p>
            <w:pPr>
              <w:spacing w:after="0" w:line="240" w:lineRule="auto"/>
            </w:pPr>
            <w:r/>
            <w:r>
              <w:rPr>
                <w:sz w:val="17"/>
              </w:rPr>
              <w:t>Medium</w:t>
            </w:r>
          </w:p>
        </w:tc>
      </w:tr>
      <w:tr>
        <w:trPr>
          <w:cantSplit/>
        </w:trPr>
        <w:tc>
          <w:tcPr>
            <w:tcW w:type="dxa" w:w="2041"/>
            <w:shd w:val="clear" w:color="auto" w:fill="F2F4F7"/>
          </w:tcPr>
          <w:p>
            <w:pPr>
              <w:spacing w:after="0" w:line="240" w:lineRule="auto"/>
            </w:pPr>
            <w:r/>
            <w:r>
              <w:rPr>
                <w:sz w:val="17"/>
              </w:rPr>
              <w:t>Sales delay</w:t>
            </w:r>
          </w:p>
        </w:tc>
        <w:tc>
          <w:tcPr>
            <w:tcW w:type="dxa" w:w="2835"/>
            <w:shd w:val="clear" w:color="auto" w:fill="F2F4F7"/>
          </w:tcPr>
          <w:p>
            <w:pPr>
              <w:spacing w:after="0" w:line="240" w:lineRule="auto"/>
            </w:pPr>
            <w:r/>
            <w:r>
              <w:rPr>
                <w:sz w:val="17"/>
              </w:rPr>
              <w:t>Funding peaks EGP 408 million (GS) and EGP 779 million (LA) at 12 months</w:t>
            </w:r>
          </w:p>
        </w:tc>
        <w:tc>
          <w:tcPr>
            <w:tcW w:type="dxa" w:w="2948"/>
            <w:shd w:val="clear" w:color="auto" w:fill="F2F4F7"/>
          </w:tcPr>
          <w:p>
            <w:pPr>
              <w:spacing w:after="0" w:line="240" w:lineRule="auto"/>
            </w:pPr>
            <w:r/>
            <w:r>
              <w:rPr>
                <w:sz w:val="17"/>
              </w:rPr>
              <w:t>Jalour funding; phased sales</w:t>
            </w:r>
          </w:p>
        </w:tc>
        <w:tc>
          <w:tcPr>
            <w:tcW w:type="dxa" w:w="1417"/>
            <w:shd w:val="clear" w:color="auto" w:fill="F2F4F7"/>
          </w:tcPr>
          <w:p>
            <w:pPr>
              <w:spacing w:after="0" w:line="240" w:lineRule="auto"/>
            </w:pPr>
            <w:r/>
            <w:r>
              <w:rPr>
                <w:sz w:val="17"/>
              </w:rPr>
              <w:t>High</w:t>
            </w:r>
          </w:p>
        </w:tc>
      </w:tr>
      <w:tr>
        <w:trPr>
          <w:cantSplit/>
        </w:trPr>
        <w:tc>
          <w:tcPr>
            <w:tcW w:type="dxa" w:w="2041"/>
          </w:tcPr>
          <w:p>
            <w:pPr>
              <w:spacing w:after="0" w:line="240" w:lineRule="auto"/>
            </w:pPr>
            <w:r/>
            <w:r>
              <w:rPr>
                <w:sz w:val="17"/>
              </w:rPr>
              <w:t>Delivery payments at handover</w:t>
            </w:r>
          </w:p>
        </w:tc>
        <w:tc>
          <w:tcPr>
            <w:tcW w:type="dxa" w:w="2835"/>
          </w:tcPr>
          <w:p>
            <w:pPr>
              <w:spacing w:after="0" w:line="240" w:lineRule="auto"/>
            </w:pPr>
            <w:r/>
            <w:r>
              <w:rPr>
                <w:sz w:val="17"/>
              </w:rPr>
              <w:t>Peaks EGP 269 and 244 million</w:t>
            </w:r>
          </w:p>
        </w:tc>
        <w:tc>
          <w:tcPr>
            <w:tcW w:type="dxa" w:w="2948"/>
          </w:tcPr>
          <w:p>
            <w:pPr>
              <w:spacing w:after="0" w:line="240" w:lineRule="auto"/>
            </w:pPr>
            <w:r/>
            <w:r>
              <w:rPr>
                <w:sz w:val="17"/>
              </w:rPr>
              <w:t>Contractual milestone; Jalour funding</w:t>
            </w:r>
          </w:p>
        </w:tc>
        <w:tc>
          <w:tcPr>
            <w:tcW w:type="dxa" w:w="1417"/>
          </w:tcPr>
          <w:p>
            <w:pPr>
              <w:spacing w:after="0" w:line="240" w:lineRule="auto"/>
            </w:pPr>
            <w:r/>
            <w:r>
              <w:rPr>
                <w:sz w:val="17"/>
              </w:rPr>
              <w:t>Medium</w:t>
            </w:r>
          </w:p>
        </w:tc>
      </w:tr>
      <w:tr>
        <w:trPr>
          <w:cantSplit/>
        </w:trPr>
        <w:tc>
          <w:tcPr>
            <w:tcW w:type="dxa" w:w="2041"/>
            <w:shd w:val="clear" w:color="auto" w:fill="F2F4F7"/>
          </w:tcPr>
          <w:p>
            <w:pPr>
              <w:spacing w:after="0" w:line="240" w:lineRule="auto"/>
            </w:pPr>
            <w:r/>
            <w:r>
              <w:rPr>
                <w:sz w:val="17"/>
              </w:rPr>
              <w:t>Both projects short at once</w:t>
            </w:r>
          </w:p>
        </w:tc>
        <w:tc>
          <w:tcPr>
            <w:tcW w:type="dxa" w:w="2835"/>
            <w:shd w:val="clear" w:color="auto" w:fill="F2F4F7"/>
          </w:tcPr>
          <w:p>
            <w:pPr>
              <w:spacing w:after="0" w:line="240" w:lineRule="auto"/>
            </w:pPr>
            <w:r/>
            <w:r>
              <w:rPr>
                <w:sz w:val="17"/>
              </w:rPr>
              <w:t>Combined peak EGP 318 million (handover payments); EGP 1,089 million (downside)</w:t>
            </w:r>
          </w:p>
        </w:tc>
        <w:tc>
          <w:tcPr>
            <w:tcW w:type="dxa" w:w="2948"/>
            <w:shd w:val="clear" w:color="auto" w:fill="F2F4F7"/>
          </w:tcPr>
          <w:p>
            <w:pPr>
              <w:spacing w:after="0" w:line="240" w:lineRule="auto"/>
            </w:pPr>
            <w:r/>
            <w:r>
              <w:rPr>
                <w:sz w:val="17"/>
              </w:rPr>
              <w:t>Disclosed; Jalour reserves and other projects' cash</w:t>
            </w:r>
          </w:p>
        </w:tc>
        <w:tc>
          <w:tcPr>
            <w:tcW w:type="dxa" w:w="1417"/>
            <w:shd w:val="clear" w:color="auto" w:fill="F2F4F7"/>
          </w:tcPr>
          <w:p>
            <w:pPr>
              <w:spacing w:after="0" w:line="240" w:lineRule="auto"/>
            </w:pPr>
            <w:r/>
            <w:r>
              <w:rPr>
                <w:sz w:val="17"/>
              </w:rPr>
              <w:t>High</w:t>
            </w:r>
          </w:p>
        </w:tc>
      </w:tr>
      <w:tr>
        <w:trPr>
          <w:cantSplit/>
        </w:trPr>
        <w:tc>
          <w:tcPr>
            <w:tcW w:type="dxa" w:w="2041"/>
          </w:tcPr>
          <w:p>
            <w:pPr>
              <w:spacing w:after="0" w:line="240" w:lineRule="auto"/>
            </w:pPr>
            <w:r/>
            <w:r>
              <w:rPr>
                <w:sz w:val="17"/>
              </w:rPr>
              <w:t>Cost overrun</w:t>
            </w:r>
          </w:p>
        </w:tc>
        <w:tc>
          <w:tcPr>
            <w:tcW w:type="dxa" w:w="2835"/>
          </w:tcPr>
          <w:p>
            <w:pPr>
              <w:spacing w:after="0" w:line="240" w:lineRule="auto"/>
            </w:pPr>
            <w:r/>
            <w:r>
              <w:rPr>
                <w:sz w:val="17"/>
              </w:rPr>
              <w:t>NPV down per 10% overrun: see section 4</w:t>
            </w:r>
          </w:p>
        </w:tc>
        <w:tc>
          <w:tcPr>
            <w:tcW w:type="dxa" w:w="2948"/>
          </w:tcPr>
          <w:p>
            <w:pPr>
              <w:spacing w:after="0" w:line="240" w:lineRule="auto"/>
            </w:pPr>
            <w:r/>
            <w:r>
              <w:rPr>
                <w:sz w:val="17"/>
              </w:rPr>
              <w:t>Contingency; fixed-price contracts; engineer</w:t>
            </w:r>
          </w:p>
        </w:tc>
        <w:tc>
          <w:tcPr>
            <w:tcW w:type="dxa" w:w="1417"/>
          </w:tcPr>
          <w:p>
            <w:pPr>
              <w:spacing w:after="0" w:line="240" w:lineRule="auto"/>
            </w:pPr>
            <w:r/>
            <w:r>
              <w:rPr>
                <w:sz w:val="17"/>
              </w:rPr>
              <w:t>Medium</w:t>
            </w:r>
          </w:p>
        </w:tc>
      </w:tr>
      <w:tr>
        <w:trPr>
          <w:cantSplit/>
        </w:trPr>
        <w:tc>
          <w:tcPr>
            <w:tcW w:type="dxa" w:w="2041"/>
            <w:shd w:val="clear" w:color="auto" w:fill="F2F4F7"/>
          </w:tcPr>
          <w:p>
            <w:pPr>
              <w:spacing w:after="0" w:line="240" w:lineRule="auto"/>
            </w:pPr>
            <w:r/>
            <w:r>
              <w:rPr>
                <w:sz w:val="17"/>
              </w:rPr>
              <w:t>Landlord consent or dispute</w:t>
            </w:r>
          </w:p>
        </w:tc>
        <w:tc>
          <w:tcPr>
            <w:tcW w:type="dxa" w:w="2835"/>
            <w:shd w:val="clear" w:color="auto" w:fill="F2F4F7"/>
          </w:tcPr>
          <w:p>
            <w:pPr>
              <w:spacing w:after="0" w:line="240" w:lineRule="auto"/>
            </w:pPr>
            <w:r/>
            <w:r>
              <w:rPr>
                <w:sz w:val="17"/>
              </w:rPr>
              <w:t>Allocation blocked or delayed</w:t>
            </w:r>
          </w:p>
        </w:tc>
        <w:tc>
          <w:tcPr>
            <w:tcW w:type="dxa" w:w="2948"/>
            <w:shd w:val="clear" w:color="auto" w:fill="F2F4F7"/>
          </w:tcPr>
          <w:p>
            <w:pPr>
              <w:spacing w:after="0" w:line="240" w:lineRule="auto"/>
            </w:pPr>
            <w:r/>
            <w:r>
              <w:rPr>
                <w:sz w:val="17"/>
              </w:rPr>
              <w:t>Condition precedent</w:t>
            </w:r>
          </w:p>
        </w:tc>
        <w:tc>
          <w:tcPr>
            <w:tcW w:type="dxa" w:w="1417"/>
            <w:shd w:val="clear" w:color="auto" w:fill="F2F4F7"/>
          </w:tcPr>
          <w:p>
            <w:pPr>
              <w:spacing w:after="0" w:line="240" w:lineRule="auto"/>
            </w:pPr>
            <w:r/>
            <w:r>
              <w:rPr>
                <w:sz w:val="17"/>
              </w:rPr>
              <w:t>Low if obtained</w:t>
            </w:r>
          </w:p>
        </w:tc>
      </w:tr>
      <w:tr>
        <w:trPr>
          <w:cantSplit/>
        </w:trPr>
        <w:tc>
          <w:tcPr>
            <w:tcW w:type="dxa" w:w="2041"/>
          </w:tcPr>
          <w:p>
            <w:pPr>
              <w:spacing w:after="0" w:line="240" w:lineRule="auto"/>
            </w:pPr>
            <w:r/>
            <w:r>
              <w:rPr>
                <w:sz w:val="17"/>
              </w:rPr>
              <w:t>Jalour funding capacity</w:t>
            </w:r>
          </w:p>
        </w:tc>
        <w:tc>
          <w:tcPr>
            <w:tcW w:type="dxa" w:w="2835"/>
          </w:tcPr>
          <w:p>
            <w:pPr>
              <w:spacing w:after="0" w:line="240" w:lineRule="auto"/>
            </w:pPr>
            <w:r/>
            <w:r>
              <w:rPr>
                <w:sz w:val="17"/>
              </w:rPr>
              <w:t>Option B payouts depend on it in downside</w:t>
            </w:r>
          </w:p>
        </w:tc>
        <w:tc>
          <w:tcPr>
            <w:tcW w:type="dxa" w:w="2948"/>
          </w:tcPr>
          <w:p>
            <w:pPr>
              <w:spacing w:after="0" w:line="240" w:lineRule="auto"/>
            </w:pPr>
            <w:r/>
            <w:r>
              <w:rPr>
                <w:sz w:val="17"/>
              </w:rPr>
              <w:t>Funding undertaking; audited accounts; payment priority</w:t>
            </w:r>
          </w:p>
        </w:tc>
        <w:tc>
          <w:tcPr>
            <w:tcW w:type="dxa" w:w="1417"/>
          </w:tcPr>
          <w:p>
            <w:pPr>
              <w:spacing w:after="0" w:line="240" w:lineRule="auto"/>
            </w:pPr>
            <w:r/>
            <w:r>
              <w:rPr>
                <w:sz w:val="17"/>
              </w:rPr>
              <w:t>High</w:t>
            </w:r>
          </w:p>
        </w:tc>
      </w:tr>
      <w:tr>
        <w:trPr>
          <w:cantSplit/>
        </w:trPr>
        <w:tc>
          <w:tcPr>
            <w:tcW w:type="dxa" w:w="2041"/>
            <w:shd w:val="clear" w:color="auto" w:fill="F2F4F7"/>
          </w:tcPr>
          <w:p>
            <w:pPr>
              <w:spacing w:after="0" w:line="240" w:lineRule="auto"/>
            </w:pPr>
            <w:r/>
            <w:r>
              <w:rPr>
                <w:sz w:val="17"/>
              </w:rPr>
              <w:t>Legal and regulatory</w:t>
            </w:r>
          </w:p>
        </w:tc>
        <w:tc>
          <w:tcPr>
            <w:tcW w:type="dxa" w:w="2835"/>
            <w:shd w:val="clear" w:color="auto" w:fill="F2F4F7"/>
          </w:tcPr>
          <w:p>
            <w:pPr>
              <w:spacing w:after="0" w:line="240" w:lineRule="auto"/>
            </w:pPr>
            <w:r/>
            <w:r>
              <w:rPr>
                <w:sz w:val="17"/>
              </w:rPr>
              <w:t>Structure, timing or cost change</w:t>
            </w:r>
          </w:p>
        </w:tc>
        <w:tc>
          <w:tcPr>
            <w:tcW w:type="dxa" w:w="2948"/>
            <w:shd w:val="clear" w:color="auto" w:fill="F2F4F7"/>
          </w:tcPr>
          <w:p>
            <w:pPr>
              <w:spacing w:after="0" w:line="240" w:lineRule="auto"/>
            </w:pPr>
            <w:r/>
            <w:r>
              <w:rPr>
                <w:sz w:val="17"/>
              </w:rPr>
              <w:t>Counsel opinions before signing</w:t>
            </w:r>
          </w:p>
        </w:tc>
        <w:tc>
          <w:tcPr>
            <w:tcW w:type="dxa" w:w="1417"/>
            <w:shd w:val="clear" w:color="auto" w:fill="F2F4F7"/>
          </w:tcPr>
          <w:p>
            <w:pPr>
              <w:spacing w:after="0" w:line="240" w:lineRule="auto"/>
            </w:pPr>
            <w:r/>
            <w:r>
              <w:rPr>
                <w:sz w:val="17"/>
              </w:rPr>
              <w:t>Medium</w:t>
            </w:r>
          </w:p>
        </w:tc>
      </w:tr>
      <w:tr>
        <w:trPr>
          <w:cantSplit/>
        </w:trPr>
        <w:tc>
          <w:tcPr>
            <w:tcW w:type="dxa" w:w="2041"/>
          </w:tcPr>
          <w:p>
            <w:pPr>
              <w:spacing w:after="0" w:line="240" w:lineRule="auto"/>
            </w:pPr>
            <w:r/>
            <w:r>
              <w:rPr>
                <w:sz w:val="17"/>
              </w:rPr>
              <w:t>Confidentiality breach</w:t>
            </w:r>
          </w:p>
        </w:tc>
        <w:tc>
          <w:tcPr>
            <w:tcW w:type="dxa" w:w="2835"/>
          </w:tcPr>
          <w:p>
            <w:pPr>
              <w:spacing w:after="0" w:line="240" w:lineRule="auto"/>
            </w:pPr>
            <w:r/>
            <w:r>
              <w:rPr>
                <w:sz w:val="17"/>
              </w:rPr>
              <w:t>Loss to Jalour and the landowner relationship</w:t>
            </w:r>
          </w:p>
        </w:tc>
        <w:tc>
          <w:tcPr>
            <w:tcW w:type="dxa" w:w="2948"/>
          </w:tcPr>
          <w:p>
            <w:pPr>
              <w:spacing w:after="0" w:line="240" w:lineRule="auto"/>
            </w:pPr>
            <w:r/>
            <w:r>
              <w:rPr>
                <w:sz w:val="17"/>
              </w:rPr>
              <w:t>Non-disclosure agreement covering all information and advisers</w:t>
            </w:r>
          </w:p>
        </w:tc>
        <w:tc>
          <w:tcPr>
            <w:tcW w:type="dxa" w:w="1417"/>
          </w:tcPr>
          <w:p>
            <w:pPr>
              <w:spacing w:after="0" w:line="240" w:lineRule="auto"/>
            </w:pPr>
            <w:r/>
            <w:r>
              <w:rPr>
                <w:sz w:val="17"/>
              </w:rPr>
              <w:t>Low</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models collect them at project months 30 (Green Square) and 45 (L'avenir), 18 and 9 months before handover. If collected at handover the peak shortages are EGP 269 and 244 million, not EGP 102.5 and 102.0 million.</w:t>
      </w:r>
    </w:p>
    <w:p>
      <w:pPr>
        <w:pStyle w:val="ListNumber"/>
        <w:spacing w:after="60"/>
      </w:pPr>
      <w:r>
        <w:rPr>
          <w:b/>
          <w:i w:val="0"/>
        </w:rPr>
        <w:t>Price growth.</w:t>
      </w:r>
      <w:r>
        <w:rPr>
          <w:b w:val="0"/>
          <w:i w:val="0"/>
        </w:rPr>
        <w:t xml:space="preserve"> The plans need list prices to rise 33% and 48% (Green Square retail, offices) and 44% and 50% (L'avenir); launch office prices exceed current Mostakbal City asking prices; recent growth evidence is mixed.</w:t>
      </w:r>
    </w:p>
    <w:p>
      <w:pPr>
        <w:pStyle w:val="ListNumber"/>
        <w:spacing w:after="60"/>
      </w:pPr>
      <w:r>
        <w:rPr>
          <w:b/>
          <w:i w:val="0"/>
        </w:rPr>
        <w:t>Sellable office area</w:t>
      </w:r>
      <w:r>
        <w:rPr>
          <w:b w:val="0"/>
          <w:i w:val="0"/>
        </w:rPr>
        <w:t xml:space="preserve"> exceeds office built-up area in both projects;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the non-disclosure agreement.</w:t>
      </w:r>
    </w:p>
    <w:p>
      <w:pPr>
        <w:pStyle w:val="ListNumber"/>
        <w:spacing w:after="60"/>
      </w:pPr>
      <w:r>
        <w:rPr>
          <w:b/>
          <w:i w:val="0"/>
        </w:rPr>
        <w:t>Payout coverage.</w:t>
      </w:r>
      <w:r>
        <w:rPr>
          <w:b w:val="0"/>
          <w:i w:val="0"/>
        </w:rPr>
        <w:t xml:space="preserve"> Net cash flow covers Option B instalments by 1.5x or more in only 4 of 12 quarters in Green Square and 9 of 12 in L'avenir. Pooled cash covers at least 2.5x in the base case.</w:t>
      </w:r>
    </w:p>
    <w:p>
      <w:pPr>
        <w:pStyle w:val="ListNumber"/>
        <w:spacing w:after="60"/>
      </w:pPr>
      <w:r>
        <w:rPr>
          <w:b/>
          <w:i w:val="0"/>
        </w:rPr>
        <w:t>Downside funding need.</w:t>
      </w:r>
      <w:r>
        <w:rPr>
          <w:b w:val="0"/>
          <w:i w:val="0"/>
        </w:rPr>
        <w:t xml:space="preserve"> With sales delayed 12 months and prices 10% lower the funding needs are EGP 441 and 849 million, EGP 1,089 million together, and the lowest combined pooled cash after Option B payouts is EGP -1,144 million. The investor relies on Jalour's capacity to fund it; there is no parent guarantee and no restricted account.</w:t>
      </w:r>
    </w:p>
    <w:p>
      <w:pPr>
        <w:pStyle w:val="ListNumber"/>
        <w:spacing w:after="60"/>
      </w:pPr>
      <w:r>
        <w:rPr>
          <w:b/>
          <w:i w:val="0"/>
        </w:rPr>
        <w:t>Both projects are short at the same time in stress cases.</w:t>
      </w:r>
      <w:r>
        <w:rPr>
          <w:b w:val="0"/>
          <w:i w:val="0"/>
        </w:rPr>
        <w:t xml:space="preserve"> The combined base-case low is EGP 168.0 million in month 15; the funding undertaking draws on Jalour's cash reserves and on other projects' cash outside these two, which are not shown.</w:t>
      </w:r>
    </w:p>
    <w:p>
      <w:pPr>
        <w:pStyle w:val="ListNumber"/>
        <w:spacing w:after="60"/>
      </w:pPr>
      <w:r>
        <w:rPr>
          <w:b/>
          <w:i w:val="0"/>
        </w:rPr>
        <w:t>Option A uses the first sales tranches.</w:t>
      </w:r>
      <w:r>
        <w:rPr>
          <w:b w:val="0"/>
          <w:i w:val="0"/>
        </w:rPr>
        <w:t xml:space="preserve"> The investor receives 21% (Green Square) and 17% (L'avenir) of the launch-priced inventory, which raises the peak shortage before the ticket to EGP 106.9 and 123.8 million and gives the investor units that compete with Jalour's later sales.</w:t>
      </w:r>
    </w:p>
    <w:p>
      <w:pPr>
        <w:pStyle w:val="ListNumber"/>
        <w:spacing w:after="60"/>
      </w:pPr>
      <w:r>
        <w:rPr>
          <w:b/>
          <w:i w:val="0"/>
        </w:rPr>
        <w:t>Commission timing.</w:t>
      </w:r>
      <w:r>
        <w:rPr>
          <w:b w:val="0"/>
          <w:i w:val="0"/>
        </w:rPr>
        <w:t xml:space="preserve"> The models pay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the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plans need +48% and +50% on offices. Evidence is mixed (section 5). Option B removes the exposure; the Option A downside shows 19.5% IRR on the combined EGP 125 million.</w:t>
      </w:r>
    </w:p>
    <w:p>
      <w:r>
        <w:rPr>
          <w:b/>
          <w:i w:val="0"/>
        </w:rPr>
        <w:t>What if delivery payments are not received early?</w:t>
      </w:r>
      <w:r>
        <w:rPr>
          <w:b w:val="0"/>
          <w:i w:val="0"/>
        </w:rPr>
        <w:t xml:space="preserve"> Peak funding rises to EGP 269 and 244 million (Investment Memorandum, section 11). Jalour funds the gap.</w:t>
      </w:r>
    </w:p>
    <w:p>
      <w:r>
        <w:rPr>
          <w:b/>
          <w:i w:val="0"/>
        </w:rPr>
        <w:t>Who pays if a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Can I choose a different option in each project?</w:t>
      </w:r>
      <w:r>
        <w:rPr>
          <w:b w:val="0"/>
          <w:i w:val="0"/>
        </w:rPr>
        <w:t xml:space="preserve"> No. The choice, Option A or Option B, applies to both projects.</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r>
        <w:rPr>
          <w:b/>
          <w:i w:val="0"/>
        </w:rPr>
        <w:t>What does the non-disclosure agreement cover?</w:t>
      </w:r>
      <w:r>
        <w:rPr>
          <w:b w:val="0"/>
          <w:i w:val="0"/>
        </w:rPr>
        <w:t xml:space="preserve"> Everything in this pack and the data room, including the financial information of both projects. The template is included in this pack.</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Agreements with Al Ahly Sabbour, payment schedules,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permits,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schedules, bills of quantities, contractor quotes, programmes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lists,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agreements,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24"/>
            <w:shd w:val="clear" w:color="auto" w:fill="17324D"/>
          </w:tcPr>
          <w:p>
            <w:pPr>
              <w:spacing w:after="0" w:line="240" w:lineRule="auto"/>
            </w:pPr>
            <w:r/>
            <w:r>
              <w:rPr>
                <w:b/>
                <w:color w:val="FFFFFF"/>
                <w:sz w:val="19"/>
              </w:rPr>
              <w:t>No.</w:t>
            </w:r>
          </w:p>
        </w:tc>
        <w:tc>
          <w:tcPr>
            <w:tcW w:type="dxa" w:w="6576"/>
            <w:shd w:val="clear" w:color="auto" w:fill="17324D"/>
          </w:tcPr>
          <w:p>
            <w:pPr>
              <w:spacing w:after="0" w:line="240" w:lineRule="auto"/>
            </w:pPr>
            <w:r/>
            <w:r>
              <w:rPr>
                <w:b/>
                <w:color w:val="FFFFFF"/>
                <w:sz w:val="19"/>
              </w:rPr>
              <w:t>Item</w:t>
            </w:r>
          </w:p>
        </w:tc>
        <w:tc>
          <w:tcPr>
            <w:tcW w:type="dxa" w:w="2041"/>
            <w:shd w:val="clear" w:color="auto" w:fill="17324D"/>
          </w:tcPr>
          <w:p>
            <w:pPr>
              <w:spacing w:after="0" w:line="240" w:lineRule="auto"/>
            </w:pPr>
            <w:r/>
            <w:r>
              <w:rPr>
                <w:b/>
                <w:color w:val="FFFFFF"/>
                <w:sz w:val="19"/>
              </w:rPr>
              <w:t>Owner</w:t>
            </w:r>
          </w:p>
        </w:tc>
      </w:tr>
      <w:tr>
        <w:trPr>
          <w:cantSplit/>
        </w:trPr>
        <w:tc>
          <w:tcPr>
            <w:tcW w:type="dxa" w:w="624"/>
          </w:tcPr>
          <w:p>
            <w:pPr>
              <w:spacing w:after="0" w:line="240" w:lineRule="auto"/>
            </w:pPr>
            <w:r/>
            <w:r>
              <w:rPr>
                <w:sz w:val="19"/>
              </w:rPr>
              <w:t>1</w:t>
            </w:r>
          </w:p>
        </w:tc>
        <w:tc>
          <w:tcPr>
            <w:tcW w:type="dxa" w:w="6576"/>
          </w:tcPr>
          <w:p>
            <w:pPr>
              <w:spacing w:after="0" w:line="240" w:lineRule="auto"/>
            </w:pPr>
            <w:r/>
            <w:r>
              <w:rPr>
                <w:sz w:val="19"/>
              </w:rPr>
              <w:t>Landlord written consents: allocation, assignment, earmark (each project)</w:t>
            </w:r>
          </w:p>
        </w:tc>
        <w:tc>
          <w:tcPr>
            <w:tcW w:type="dxa" w:w="2041"/>
          </w:tcPr>
          <w:p>
            <w:pPr>
              <w:spacing w:after="0" w:line="240" w:lineRule="auto"/>
            </w:pPr>
            <w:r/>
            <w:r>
              <w:rPr>
                <w:sz w:val="19"/>
              </w:rPr>
              <w:t>Jalour</w:t>
            </w:r>
          </w:p>
        </w:tc>
      </w:tr>
      <w:tr>
        <w:trPr>
          <w:cantSplit/>
        </w:trPr>
        <w:tc>
          <w:tcPr>
            <w:tcW w:type="dxa" w:w="624"/>
            <w:shd w:val="clear" w:color="auto" w:fill="F2F4F7"/>
          </w:tcPr>
          <w:p>
            <w:pPr>
              <w:spacing w:after="0" w:line="240" w:lineRule="auto"/>
            </w:pPr>
            <w:r/>
            <w:r>
              <w:rPr>
                <w:sz w:val="19"/>
              </w:rPr>
              <w:t>2</w:t>
            </w:r>
          </w:p>
        </w:tc>
        <w:tc>
          <w:tcPr>
            <w:tcW w:type="dxa" w:w="6576"/>
            <w:shd w:val="clear" w:color="auto" w:fill="F2F4F7"/>
          </w:tcPr>
          <w:p>
            <w:pPr>
              <w:spacing w:after="0" w:line="240" w:lineRule="auto"/>
            </w:pPr>
            <w:r/>
            <w:r>
              <w:rPr>
                <w:sz w:val="19"/>
              </w:rPr>
              <w:t>Legal form of the investor's instrument, project company names and jurisdiction</w:t>
            </w:r>
          </w:p>
        </w:tc>
        <w:tc>
          <w:tcPr>
            <w:tcW w:type="dxa" w:w="2041"/>
            <w:shd w:val="clear" w:color="auto" w:fill="F2F4F7"/>
          </w:tcPr>
          <w:p>
            <w:pPr>
              <w:spacing w:after="0" w:line="240" w:lineRule="auto"/>
            </w:pPr>
            <w:r/>
            <w:r>
              <w:rPr>
                <w:sz w:val="19"/>
              </w:rPr>
              <w:t>Jalour and counsel</w:t>
            </w:r>
          </w:p>
        </w:tc>
      </w:tr>
      <w:tr>
        <w:trPr>
          <w:cantSplit/>
        </w:trPr>
        <w:tc>
          <w:tcPr>
            <w:tcW w:type="dxa" w:w="624"/>
          </w:tcPr>
          <w:p>
            <w:pPr>
              <w:spacing w:after="0" w:line="240" w:lineRule="auto"/>
            </w:pPr>
            <w:r/>
            <w:r>
              <w:rPr>
                <w:sz w:val="19"/>
              </w:rPr>
              <w:t>3</w:t>
            </w:r>
          </w:p>
        </w:tc>
        <w:tc>
          <w:tcPr>
            <w:tcW w:type="dxa" w:w="6576"/>
          </w:tcPr>
          <w:p>
            <w:pPr>
              <w:spacing w:after="0" w:line="240" w:lineRule="auto"/>
            </w:pPr>
            <w:r/>
            <w:r>
              <w:rPr>
                <w:sz w:val="19"/>
              </w:rPr>
              <w:t>Confirm Jalour will not guarantee the return; documentation of the funding undertaking (form, amount)</w:t>
            </w:r>
          </w:p>
        </w:tc>
        <w:tc>
          <w:tcPr>
            <w:tcW w:type="dxa" w:w="2041"/>
          </w:tcPr>
          <w:p>
            <w:pPr>
              <w:spacing w:after="0" w:line="240" w:lineRule="auto"/>
            </w:pPr>
            <w:r/>
            <w:r>
              <w:rPr>
                <w:sz w:val="19"/>
              </w:rPr>
              <w:t>Jalour</w:t>
            </w:r>
          </w:p>
        </w:tc>
      </w:tr>
      <w:tr>
        <w:trPr>
          <w:cantSplit/>
        </w:trPr>
        <w:tc>
          <w:tcPr>
            <w:tcW w:type="dxa" w:w="624"/>
            <w:shd w:val="clear" w:color="auto" w:fill="F2F4F7"/>
          </w:tcPr>
          <w:p>
            <w:pPr>
              <w:spacing w:after="0" w:line="240" w:lineRule="auto"/>
            </w:pPr>
            <w:r/>
            <w:r>
              <w:rPr>
                <w:sz w:val="19"/>
              </w:rPr>
              <w:t>4</w:t>
            </w:r>
          </w:p>
        </w:tc>
        <w:tc>
          <w:tcPr>
            <w:tcW w:type="dxa" w:w="6576"/>
            <w:shd w:val="clear" w:color="auto" w:fill="F2F4F7"/>
          </w:tcPr>
          <w:p>
            <w:pPr>
              <w:spacing w:after="0" w:line="240" w:lineRule="auto"/>
            </w:pPr>
            <w:r/>
            <w:r>
              <w:rPr>
                <w:sz w:val="19"/>
              </w:rPr>
              <w:t>Evidence that delivery payments are contractual before handover</w:t>
            </w:r>
          </w:p>
        </w:tc>
        <w:tc>
          <w:tcPr>
            <w:tcW w:type="dxa" w:w="2041"/>
            <w:shd w:val="clear" w:color="auto" w:fill="F2F4F7"/>
          </w:tcPr>
          <w:p>
            <w:pPr>
              <w:spacing w:after="0" w:line="240" w:lineRule="auto"/>
            </w:pPr>
            <w:r/>
            <w:r>
              <w:rPr>
                <w:sz w:val="19"/>
              </w:rPr>
              <w:t>Jalour</w:t>
            </w:r>
          </w:p>
        </w:tc>
      </w:tr>
      <w:tr>
        <w:trPr>
          <w:cantSplit/>
        </w:trPr>
        <w:tc>
          <w:tcPr>
            <w:tcW w:type="dxa" w:w="624"/>
          </w:tcPr>
          <w:p>
            <w:pPr>
              <w:spacing w:after="0" w:line="240" w:lineRule="auto"/>
            </w:pPr>
            <w:r/>
            <w:r>
              <w:rPr>
                <w:sz w:val="19"/>
              </w:rPr>
              <w:t>5</w:t>
            </w:r>
          </w:p>
        </w:tc>
        <w:tc>
          <w:tcPr>
            <w:tcW w:type="dxa" w:w="6576"/>
          </w:tcPr>
          <w:p>
            <w:pPr>
              <w:spacing w:after="0" w:line="240" w:lineRule="auto"/>
            </w:pPr>
            <w:r/>
            <w:r>
              <w:rPr>
                <w:sz w:val="19"/>
              </w:rPr>
              <w:t>Area schedules reconciling sellable and built-up office area</w:t>
            </w:r>
          </w:p>
        </w:tc>
        <w:tc>
          <w:tcPr>
            <w:tcW w:type="dxa" w:w="2041"/>
          </w:tcPr>
          <w:p>
            <w:pPr>
              <w:spacing w:after="0" w:line="240" w:lineRule="auto"/>
            </w:pPr>
            <w:r/>
            <w:r>
              <w:rPr>
                <w:sz w:val="19"/>
              </w:rPr>
              <w:t>Jalour</w:t>
            </w:r>
          </w:p>
        </w:tc>
      </w:tr>
      <w:tr>
        <w:trPr>
          <w:cantSplit/>
        </w:trPr>
        <w:tc>
          <w:tcPr>
            <w:tcW w:type="dxa" w:w="624"/>
            <w:shd w:val="clear" w:color="auto" w:fill="F2F4F7"/>
          </w:tcPr>
          <w:p>
            <w:pPr>
              <w:spacing w:after="0" w:line="240" w:lineRule="auto"/>
            </w:pPr>
            <w:r/>
            <w:r>
              <w:rPr>
                <w:sz w:val="19"/>
              </w:rPr>
              <w:t>6</w:t>
            </w:r>
          </w:p>
        </w:tc>
        <w:tc>
          <w:tcPr>
            <w:tcW w:type="dxa" w:w="6576"/>
            <w:shd w:val="clear" w:color="auto" w:fill="F2F4F7"/>
          </w:tcPr>
          <w:p>
            <w:pPr>
              <w:spacing w:after="0" w:line="240" w:lineRule="auto"/>
            </w:pPr>
            <w:r/>
            <w:r>
              <w:rPr>
                <w:sz w:val="19"/>
              </w:rPr>
              <w:t>Cost basis: contractor quotes, bills of quantities, factor of 8, pre-construction budgets</w:t>
            </w:r>
          </w:p>
        </w:tc>
        <w:tc>
          <w:tcPr>
            <w:tcW w:type="dxa" w:w="2041"/>
            <w:shd w:val="clear" w:color="auto" w:fill="F2F4F7"/>
          </w:tcPr>
          <w:p>
            <w:pPr>
              <w:spacing w:after="0" w:line="240" w:lineRule="auto"/>
            </w:pPr>
            <w:r/>
            <w:r>
              <w:rPr>
                <w:sz w:val="19"/>
              </w:rPr>
              <w:t>Jalour</w:t>
            </w:r>
          </w:p>
        </w:tc>
      </w:tr>
      <w:tr>
        <w:trPr>
          <w:cantSplit/>
        </w:trPr>
        <w:tc>
          <w:tcPr>
            <w:tcW w:type="dxa" w:w="624"/>
          </w:tcPr>
          <w:p>
            <w:pPr>
              <w:spacing w:after="0" w:line="240" w:lineRule="auto"/>
            </w:pPr>
            <w:r/>
            <w:r>
              <w:rPr>
                <w:sz w:val="19"/>
              </w:rPr>
              <w:t>7</w:t>
            </w:r>
          </w:p>
        </w:tc>
        <w:tc>
          <w:tcPr>
            <w:tcW w:type="dxa" w:w="6576"/>
          </w:tcPr>
          <w:p>
            <w:pPr>
              <w:spacing w:after="0" w:line="240" w:lineRule="auto"/>
            </w:pPr>
            <w:r/>
            <w:r>
              <w:rPr>
                <w:sz w:val="19"/>
              </w:rPr>
              <w:t>Permits, licences, title status</w:t>
            </w:r>
          </w:p>
        </w:tc>
        <w:tc>
          <w:tcPr>
            <w:tcW w:type="dxa" w:w="2041"/>
          </w:tcPr>
          <w:p>
            <w:pPr>
              <w:spacing w:after="0" w:line="240" w:lineRule="auto"/>
            </w:pPr>
            <w:r/>
            <w:r>
              <w:rPr>
                <w:sz w:val="19"/>
              </w:rPr>
              <w:t>Jalour</w:t>
            </w:r>
          </w:p>
        </w:tc>
      </w:tr>
      <w:tr>
        <w:trPr>
          <w:cantSplit/>
        </w:trPr>
        <w:tc>
          <w:tcPr>
            <w:tcW w:type="dxa" w:w="624"/>
            <w:shd w:val="clear" w:color="auto" w:fill="F2F4F7"/>
          </w:tcPr>
          <w:p>
            <w:pPr>
              <w:spacing w:after="0" w:line="240" w:lineRule="auto"/>
            </w:pPr>
            <w:r/>
            <w:r>
              <w:rPr>
                <w:sz w:val="19"/>
              </w:rPr>
              <w:t>8</w:t>
            </w:r>
          </w:p>
        </w:tc>
        <w:tc>
          <w:tcPr>
            <w:tcW w:type="dxa" w:w="6576"/>
            <w:shd w:val="clear" w:color="auto" w:fill="F2F4F7"/>
          </w:tcPr>
          <w:p>
            <w:pPr>
              <w:spacing w:after="0" w:line="240" w:lineRule="auto"/>
            </w:pPr>
            <w:r/>
            <w:r>
              <w:rPr>
                <w:sz w:val="19"/>
              </w:rPr>
              <w:t>Track record, team, audited financial statements</w:t>
            </w:r>
          </w:p>
        </w:tc>
        <w:tc>
          <w:tcPr>
            <w:tcW w:type="dxa" w:w="2041"/>
            <w:shd w:val="clear" w:color="auto" w:fill="F2F4F7"/>
          </w:tcPr>
          <w:p>
            <w:pPr>
              <w:spacing w:after="0" w:line="240" w:lineRule="auto"/>
            </w:pPr>
            <w:r/>
            <w:r>
              <w:rPr>
                <w:sz w:val="19"/>
              </w:rPr>
              <w:t>Jalour</w:t>
            </w:r>
          </w:p>
        </w:tc>
      </w:tr>
      <w:tr>
        <w:trPr>
          <w:cantSplit/>
        </w:trPr>
        <w:tc>
          <w:tcPr>
            <w:tcW w:type="dxa" w:w="624"/>
          </w:tcPr>
          <w:p>
            <w:pPr>
              <w:spacing w:after="0" w:line="240" w:lineRule="auto"/>
            </w:pPr>
            <w:r/>
            <w:r>
              <w:rPr>
                <w:sz w:val="19"/>
              </w:rPr>
              <w:t>9</w:t>
            </w:r>
          </w:p>
        </w:tc>
        <w:tc>
          <w:tcPr>
            <w:tcW w:type="dxa" w:w="6576"/>
          </w:tcPr>
          <w:p>
            <w:pPr>
              <w:spacing w:after="0" w:line="240" w:lineRule="auto"/>
            </w:pPr>
            <w:r/>
            <w:r>
              <w:rPr>
                <w:sz w:val="19"/>
              </w:rPr>
              <w:t>Regulatory position of the placement; separate project account question</w:t>
            </w:r>
          </w:p>
        </w:tc>
        <w:tc>
          <w:tcPr>
            <w:tcW w:type="dxa" w:w="2041"/>
          </w:tcPr>
          <w:p>
            <w:pPr>
              <w:spacing w:after="0" w:line="240" w:lineRule="auto"/>
            </w:pPr>
            <w:r/>
            <w:r>
              <w:rPr>
                <w:sz w:val="19"/>
              </w:rPr>
              <w:t>Counsel</w:t>
            </w:r>
          </w:p>
        </w:tc>
      </w:tr>
      <w:tr>
        <w:trPr>
          <w:cantSplit/>
        </w:trPr>
        <w:tc>
          <w:tcPr>
            <w:tcW w:type="dxa" w:w="624"/>
            <w:shd w:val="clear" w:color="auto" w:fill="F2F4F7"/>
          </w:tcPr>
          <w:p>
            <w:pPr>
              <w:spacing w:after="0" w:line="240" w:lineRule="auto"/>
            </w:pPr>
            <w:r/>
            <w:r>
              <w:rPr>
                <w:sz w:val="19"/>
              </w:rPr>
              <w:t>10</w:t>
            </w:r>
          </w:p>
        </w:tc>
        <w:tc>
          <w:tcPr>
            <w:tcW w:type="dxa" w:w="6576"/>
            <w:shd w:val="clear" w:color="auto" w:fill="F2F4F7"/>
          </w:tcPr>
          <w:p>
            <w:pPr>
              <w:spacing w:after="0" w:line="240" w:lineRule="auto"/>
            </w:pPr>
            <w:r/>
            <w:r>
              <w:rPr>
                <w:sz w:val="19"/>
              </w:rPr>
              <w:t>Secondary transfer rules and fees for unit contracts</w:t>
            </w:r>
          </w:p>
        </w:tc>
        <w:tc>
          <w:tcPr>
            <w:tcW w:type="dxa" w:w="2041"/>
            <w:shd w:val="clear" w:color="auto" w:fill="F2F4F7"/>
          </w:tcPr>
          <w:p>
            <w:pPr>
              <w:spacing w:after="0" w:line="240" w:lineRule="auto"/>
            </w:pPr>
            <w:r/>
            <w:r>
              <w:rPr>
                <w:sz w:val="19"/>
              </w:rPr>
              <w:t>Counsel</w:t>
            </w:r>
          </w:p>
        </w:tc>
      </w:tr>
      <w:tr>
        <w:trPr>
          <w:cantSplit/>
        </w:trPr>
        <w:tc>
          <w:tcPr>
            <w:tcW w:type="dxa" w:w="624"/>
          </w:tcPr>
          <w:p>
            <w:pPr>
              <w:spacing w:after="0" w:line="240" w:lineRule="auto"/>
            </w:pPr>
            <w:r/>
            <w:r>
              <w:rPr>
                <w:sz w:val="19"/>
              </w:rPr>
              <w:t>11</w:t>
            </w:r>
          </w:p>
        </w:tc>
        <w:tc>
          <w:tcPr>
            <w:tcW w:type="dxa" w:w="6576"/>
          </w:tcPr>
          <w:p>
            <w:pPr>
              <w:spacing w:after="0" w:line="240" w:lineRule="auto"/>
            </w:pPr>
            <w:r/>
            <w:r>
              <w:rPr>
                <w:sz w:val="19"/>
              </w:rPr>
              <w:t>Execution of the non-disclosure agreement (template provided); governing law and forum</w:t>
            </w:r>
          </w:p>
        </w:tc>
        <w:tc>
          <w:tcPr>
            <w:tcW w:type="dxa" w:w="2041"/>
          </w:tcPr>
          <w:p>
            <w:pPr>
              <w:spacing w:after="0" w:line="240" w:lineRule="auto"/>
            </w:pPr>
            <w:r/>
            <w:r>
              <w:rPr>
                <w:sz w:val="19"/>
              </w:rPr>
              <w:t>Jalour, investor and counsel</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and L'avenir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and L'avenir - Due Diligence Memorandum (EGP 125 million combined)</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