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4"/>
        </w:rPr>
        <w:t>Green Square and L'avenir</w:t>
      </w:r>
    </w:p>
    <w:p>
      <w:pPr>
        <w:spacing w:after="280"/>
      </w:pPr>
      <w:r>
        <w:rPr>
          <w:b w:val="0"/>
          <w:i w:val="0"/>
          <w:color w:val="1B1F2A"/>
          <w:sz w:val="30"/>
        </w:rPr>
        <w:t>Two commercial and office developments, El Mostakbal City, Cairo</w:t>
      </w:r>
    </w:p>
    <w:p>
      <w:pPr>
        <w:spacing w:after="40"/>
      </w:pPr>
      <w:r>
        <w:rPr>
          <w:b/>
          <w:i w:val="0"/>
          <w:color w:val="17324D"/>
          <w:sz w:val="28"/>
        </w:rPr>
        <w:t>INVESTMENT MEMORANDUM</w:t>
      </w:r>
    </w:p>
    <w:p>
      <w:pPr>
        <w:spacing w:after="40"/>
      </w:pPr>
      <w:r>
        <w:rPr>
          <w:b w:val="0"/>
          <w:i w:val="0"/>
          <w:sz w:val="24"/>
        </w:rPr>
        <w:t>Private placement of EGP 125 million (USD 2.6 million at EGP 48 per USD): EGP 62.5 million in each project</w:t>
      </w:r>
    </w:p>
    <w:p>
      <w:pPr>
        <w:spacing w:after="720"/>
      </w:pPr>
      <w:r>
        <w:rPr>
          <w:b w:val="0"/>
          <w:i w:val="0"/>
          <w:sz w:val="24"/>
        </w:rPr>
        <w:t>Option A: units. Option B: cash. One option applies to both projects.</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 The non-disclosure agreement covers every document, figure and statement in this pack, including the financial information of both projects.</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is labelled with its case (base, downside or upside).</w:t>
      </w:r>
    </w:p>
    <w:p>
      <w:r>
        <w:rPr>
          <w:b w:val="0"/>
          <w:i w:val="0"/>
        </w:rPr>
        <w:t>Figures come from the Jalour financial model for the two projects and are reproduced in the Financial Annex, whose Combined_Summary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the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Each project is held in its own company, with no cross-collateral and no cross-default between the projects. The two projects are presented together because this placement is a single investment of EGP 62.5 million in each.</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6</w:t>
      </w:r>
    </w:p>
    <w:p>
      <w:pPr>
        <w:tabs>
          <w:tab w:pos="9241" w:val="right" w:leader="dot"/>
        </w:tabs>
        <w:spacing w:after="60"/>
      </w:pPr>
      <w:r>
        <w:rPr>
          <w:sz w:val="22"/>
        </w:rPr>
        <w:t>3. Investment thesis</w:t>
        <w:tab/>
        <w:t>7</w:t>
      </w:r>
    </w:p>
    <w:p>
      <w:pPr>
        <w:tabs>
          <w:tab w:pos="9241" w:val="right" w:leader="dot"/>
        </w:tabs>
        <w:spacing w:after="60"/>
      </w:pPr>
      <w:r>
        <w:rPr>
          <w:sz w:val="22"/>
        </w:rPr>
        <w:t>4. Market analysis</w:t>
        <w:tab/>
        <w:t>8</w:t>
      </w:r>
    </w:p>
    <w:p>
      <w:pPr>
        <w:tabs>
          <w:tab w:pos="9241" w:val="right" w:leader="dot"/>
        </w:tabs>
        <w:spacing w:after="60"/>
      </w:pPr>
      <w:r>
        <w:rPr>
          <w:sz w:val="22"/>
        </w:rPr>
        <w:t>5. Project descriptions</w:t>
        <w:tab/>
        <w:t>11</w:t>
      </w:r>
    </w:p>
    <w:p>
      <w:pPr>
        <w:tabs>
          <w:tab w:pos="9241" w:val="right" w:leader="dot"/>
        </w:tabs>
        <w:spacing w:after="60"/>
      </w:pPr>
      <w:r>
        <w:rPr>
          <w:sz w:val="22"/>
        </w:rPr>
        <w:t>6. The Al Ahly Sabbour agreements and consents</w:t>
        <w:tab/>
        <w:t>13</w:t>
      </w:r>
    </w:p>
    <w:p>
      <w:pPr>
        <w:tabs>
          <w:tab w:pos="9241" w:val="right" w:leader="dot"/>
        </w:tabs>
        <w:spacing w:after="60"/>
      </w:pPr>
      <w:r>
        <w:rPr>
          <w:sz w:val="22"/>
        </w:rPr>
        <w:t>7. Sponsor and management</w:t>
        <w:tab/>
        <w:t>13</w:t>
      </w:r>
    </w:p>
    <w:p>
      <w:pPr>
        <w:tabs>
          <w:tab w:pos="9241" w:val="right" w:leader="dot"/>
        </w:tabs>
        <w:spacing w:after="60"/>
      </w:pPr>
      <w:r>
        <w:rPr>
          <w:sz w:val="22"/>
        </w:rPr>
        <w:t>8. Business plan and assumptions</w:t>
        <w:tab/>
        <w:t>15</w:t>
      </w:r>
    </w:p>
    <w:p>
      <w:pPr>
        <w:tabs>
          <w:tab w:pos="9241" w:val="right" w:leader="dot"/>
        </w:tabs>
        <w:spacing w:after="60"/>
      </w:pPr>
      <w:r>
        <w:rPr>
          <w:sz w:val="22"/>
        </w:rPr>
        <w:t>9. Sales and collections model</w:t>
        <w:tab/>
        <w:t>16</w:t>
      </w:r>
    </w:p>
    <w:p>
      <w:pPr>
        <w:tabs>
          <w:tab w:pos="9241" w:val="right" w:leader="dot"/>
        </w:tabs>
        <w:spacing w:after="60"/>
      </w:pPr>
      <w:r>
        <w:rPr>
          <w:sz w:val="22"/>
        </w:rPr>
        <w:t>10. Cost model</w:t>
        <w:tab/>
        <w:t>18</w:t>
      </w:r>
    </w:p>
    <w:p>
      <w:pPr>
        <w:tabs>
          <w:tab w:pos="9241" w:val="right" w:leader="dot"/>
        </w:tabs>
        <w:spacing w:after="60"/>
      </w:pPr>
      <w:r>
        <w:rPr>
          <w:sz w:val="22"/>
        </w:rPr>
        <w:t>11. Funding plan, use of funds and combined cash position</w:t>
        <w:tab/>
        <w:t>20</w:t>
      </w:r>
    </w:p>
    <w:p>
      <w:pPr>
        <w:tabs>
          <w:tab w:pos="9241" w:val="right" w:leader="dot"/>
        </w:tabs>
        <w:spacing w:after="60"/>
      </w:pPr>
      <w:r>
        <w:rPr>
          <w:sz w:val="22"/>
        </w:rPr>
        <w:t>12. Investment terms</w:t>
        <w:tab/>
        <w:t>23</w:t>
      </w:r>
    </w:p>
    <w:p>
      <w:pPr>
        <w:tabs>
          <w:tab w:pos="9241" w:val="right" w:leader="dot"/>
        </w:tabs>
        <w:spacing w:after="60"/>
      </w:pPr>
      <w:r>
        <w:rPr>
          <w:sz w:val="22"/>
        </w:rPr>
        <w:t>13. Returns analysis and sensitivities</w:t>
        <w:tab/>
        <w:t>25</w:t>
      </w:r>
    </w:p>
    <w:p>
      <w:pPr>
        <w:tabs>
          <w:tab w:pos="9241" w:val="right" w:leader="dot"/>
        </w:tabs>
        <w:spacing w:after="60"/>
      </w:pPr>
      <w:r>
        <w:rPr>
          <w:sz w:val="22"/>
        </w:rPr>
        <w:t>14. Security and ranking</w:t>
        <w:tab/>
        <w:t>30</w:t>
      </w:r>
    </w:p>
    <w:p>
      <w:pPr>
        <w:tabs>
          <w:tab w:pos="9241" w:val="right" w:leader="dot"/>
        </w:tabs>
        <w:spacing w:after="60"/>
      </w:pPr>
      <w:r>
        <w:rPr>
          <w:sz w:val="22"/>
        </w:rPr>
        <w:t>15. Governance and information rights</w:t>
        <w:tab/>
        <w:t>30</w:t>
      </w:r>
    </w:p>
    <w:p>
      <w:pPr>
        <w:tabs>
          <w:tab w:pos="9241" w:val="right" w:leader="dot"/>
        </w:tabs>
        <w:spacing w:after="60"/>
      </w:pPr>
      <w:r>
        <w:rPr>
          <w:sz w:val="22"/>
        </w:rPr>
        <w:t>16. Exit and liquidity</w:t>
        <w:tab/>
        <w:t>31</w:t>
      </w:r>
    </w:p>
    <w:p>
      <w:pPr>
        <w:tabs>
          <w:tab w:pos="9241" w:val="right" w:leader="dot"/>
        </w:tabs>
        <w:spacing w:after="60"/>
      </w:pPr>
      <w:r>
        <w:rPr>
          <w:sz w:val="22"/>
        </w:rPr>
        <w:t>17. Risk factors</w:t>
        <w:tab/>
        <w:t>32</w:t>
      </w:r>
    </w:p>
    <w:p>
      <w:pPr>
        <w:tabs>
          <w:tab w:pos="9241" w:val="right" w:leader="dot"/>
        </w:tabs>
        <w:spacing w:after="60"/>
      </w:pPr>
      <w:r>
        <w:rPr>
          <w:sz w:val="22"/>
        </w:rPr>
        <w:t>18. Tax and legal considerations</w:t>
        <w:tab/>
        <w:t>33</w:t>
      </w:r>
    </w:p>
    <w:p>
      <w:pPr>
        <w:tabs>
          <w:tab w:pos="9241" w:val="right" w:leader="dot"/>
        </w:tabs>
        <w:spacing w:after="60"/>
      </w:pPr>
      <w:r>
        <w:rPr>
          <w:sz w:val="22"/>
        </w:rPr>
        <w:t>Appendices</w:t>
        <w:tab/>
        <w:t>34</w:t>
      </w:r>
    </w:p>
    <w:p>
      <w:pPr>
        <w:pStyle w:val="Heading1"/>
        <w:pageBreakBefore/>
      </w:pPr>
      <w:r>
        <w:t>1. Executive summary</w:t>
      </w:r>
    </w:p>
    <w:p>
      <w:r>
        <w:rPr>
          <w:b w:val="0"/>
          <w:i w:val="0"/>
        </w:rPr>
        <w:t>Jalour is raising EGP 125 million from a single investor: EGP 62.5 million into Green Square and EGP 62.5 million into L'avenir. The projects are two commercial and office developments in El Mostakbal City, east of New Cairo, of 13,023 m2 and 13,419 m2 of built-up area on plots of 14,470 and 14,910 m2. Both plots belong to Al Ahly Sabbour. Jalour is developer and operator of each: it designs, obtains permits, builds to core-and-shell standard, markets, sells, collects and operates. Collections are shared 35% to the landowner (subject to minimum guarantees of EGP 800 million and EGP 850 million over six years) and 65% to Jalour.</w:t>
      </w:r>
    </w:p>
    <w:p>
      <w:r>
        <w:rPr>
          <w:b w:val="0"/>
          <w:i w:val="0"/>
        </w:rPr>
        <w:t>The investor chooses one of two instruments at signing, and the choice applies to both projects:</w:t>
      </w:r>
    </w:p>
    <w:p>
      <w:pPr>
        <w:pStyle w:val="ListBullet"/>
        <w:spacing w:after="60"/>
      </w:pPr>
      <w:r>
        <w:rPr>
          <w:b/>
          <w:i w:val="0"/>
        </w:rPr>
        <w:t>Option A, units.</w:t>
      </w:r>
      <w:r>
        <w:rPr>
          <w:b w:val="0"/>
          <w:i w:val="0"/>
        </w:rPr>
        <w:t xml:space="preserve"> In each project, units with a face value of EGP 125 million, twice the ticket, priced at the launch list, allocated from the first two sales tranches: EGP 250 million in total. At the delivery list prices the units are worth EGP 364 million. Projected investor IRR on the combined EGP 125 million: 27.7% base, 19.5% downside, 30.6% upside.</w:t>
      </w:r>
    </w:p>
    <w:p>
      <w:pPr>
        <w:pStyle w:val="ListBullet"/>
        <w:spacing w:after="60"/>
      </w:pPr>
      <w:r>
        <w:rPr>
          <w:b/>
          <w:i w:val="0"/>
        </w:rPr>
        <w:t>Option B, cash.</w:t>
      </w:r>
      <w:r>
        <w:rPr>
          <w:b w:val="0"/>
          <w:i w:val="0"/>
        </w:rPr>
        <w:t xml:space="preserve"> EGP 143.75 million (2.3x the ticket) from each project, EGP 287.5 million in total, in 12 equal quarterly instalments per project of EGP 11.98 million after a 24-month grace period (Green Square months 30 to 63; L'avenir months 39 to 72).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855"/>
            <w:shd w:val="clear" w:color="auto" w:fill="17324D"/>
          </w:tcPr>
          <w:p>
            <w:pPr>
              <w:spacing w:after="0" w:line="240" w:lineRule="auto"/>
            </w:pPr>
            <w:r/>
            <w:r>
              <w:rPr>
                <w:b/>
                <w:color w:val="FFFFFF"/>
                <w:sz w:val="19"/>
              </w:rPr>
              <w:t>Key figures (EGP million unless stated)</w:t>
            </w:r>
          </w:p>
        </w:tc>
        <w:tc>
          <w:tcPr>
            <w:tcW w:type="dxa" w:w="1757"/>
            <w:shd w:val="clear" w:color="auto" w:fill="17324D"/>
          </w:tcPr>
          <w:p>
            <w:pPr>
              <w:spacing w:after="0" w:line="240" w:lineRule="auto"/>
              <w:jc w:val="right"/>
            </w:pPr>
            <w:r/>
            <w:r>
              <w:rPr>
                <w:b/>
                <w:color w:val="FFFFFF"/>
                <w:sz w:val="19"/>
              </w:rPr>
              <w:t>Green Square</w:t>
            </w:r>
          </w:p>
        </w:tc>
        <w:tc>
          <w:tcPr>
            <w:tcW w:type="dxa" w:w="1757"/>
            <w:shd w:val="clear" w:color="auto" w:fill="17324D"/>
          </w:tcPr>
          <w:p>
            <w:pPr>
              <w:spacing w:after="0" w:line="240" w:lineRule="auto"/>
              <w:jc w:val="right"/>
            </w:pPr>
            <w:r/>
            <w:r>
              <w:rPr>
                <w:b/>
                <w:color w:val="FFFFFF"/>
                <w:sz w:val="19"/>
              </w:rPr>
              <w:t>L'avenir</w:t>
            </w:r>
          </w:p>
        </w:tc>
        <w:tc>
          <w:tcPr>
            <w:tcW w:type="dxa" w:w="1871"/>
            <w:shd w:val="clear" w:color="auto" w:fill="17324D"/>
          </w:tcPr>
          <w:p>
            <w:pPr>
              <w:spacing w:after="0" w:line="240" w:lineRule="auto"/>
              <w:jc w:val="right"/>
            </w:pPr>
            <w:r/>
            <w:r>
              <w:rPr>
                <w:b/>
                <w:color w:val="FFFFFF"/>
                <w:sz w:val="19"/>
              </w:rPr>
              <w:t>Combined</w:t>
            </w:r>
          </w:p>
        </w:tc>
      </w:tr>
      <w:tr>
        <w:trPr>
          <w:cantSplit/>
        </w:trPr>
        <w:tc>
          <w:tcPr>
            <w:tcW w:type="dxa" w:w="3855"/>
          </w:tcPr>
          <w:p>
            <w:pPr>
              <w:spacing w:after="0" w:line="240" w:lineRule="auto"/>
            </w:pPr>
            <w:r/>
            <w:r>
              <w:rPr>
                <w:sz w:val="19"/>
              </w:rPr>
              <w:t>Investor ticket</w:t>
            </w:r>
          </w:p>
        </w:tc>
        <w:tc>
          <w:tcPr>
            <w:tcW w:type="dxa" w:w="1757"/>
          </w:tcPr>
          <w:p>
            <w:pPr>
              <w:spacing w:after="0" w:line="240" w:lineRule="auto"/>
              <w:jc w:val="right"/>
            </w:pPr>
            <w:r/>
            <w:r>
              <w:rPr>
                <w:sz w:val="19"/>
              </w:rPr>
              <w:t>62.5</w:t>
            </w:r>
          </w:p>
        </w:tc>
        <w:tc>
          <w:tcPr>
            <w:tcW w:type="dxa" w:w="1757"/>
          </w:tcPr>
          <w:p>
            <w:pPr>
              <w:spacing w:after="0" w:line="240" w:lineRule="auto"/>
              <w:jc w:val="right"/>
            </w:pPr>
            <w:r/>
            <w:r>
              <w:rPr>
                <w:sz w:val="19"/>
              </w:rPr>
              <w:t>62.5</w:t>
            </w:r>
          </w:p>
        </w:tc>
        <w:tc>
          <w:tcPr>
            <w:tcW w:type="dxa" w:w="1871"/>
          </w:tcPr>
          <w:p>
            <w:pPr>
              <w:spacing w:after="0" w:line="240" w:lineRule="auto"/>
              <w:jc w:val="right"/>
            </w:pPr>
            <w:r/>
            <w:r>
              <w:rPr>
                <w:sz w:val="19"/>
              </w:rPr>
              <w:t>125.0</w:t>
            </w:r>
          </w:p>
        </w:tc>
      </w:tr>
      <w:tr>
        <w:trPr>
          <w:cantSplit/>
        </w:trPr>
        <w:tc>
          <w:tcPr>
            <w:tcW w:type="dxa" w:w="3855"/>
            <w:shd w:val="clear" w:color="auto" w:fill="F2F4F7"/>
          </w:tcPr>
          <w:p>
            <w:pPr>
              <w:spacing w:after="0" w:line="240" w:lineRule="auto"/>
            </w:pPr>
            <w:r/>
            <w:r>
              <w:rPr>
                <w:sz w:val="19"/>
              </w:rPr>
              <w:t>Modelled peak cumulative shortage, base case</w:t>
            </w:r>
          </w:p>
        </w:tc>
        <w:tc>
          <w:tcPr>
            <w:tcW w:type="dxa" w:w="1757"/>
            <w:shd w:val="clear" w:color="auto" w:fill="F2F4F7"/>
          </w:tcPr>
          <w:p>
            <w:pPr>
              <w:spacing w:after="0" w:line="240" w:lineRule="auto"/>
              <w:jc w:val="right"/>
            </w:pPr>
            <w:r/>
            <w:r>
              <w:rPr>
                <w:sz w:val="19"/>
              </w:rPr>
              <w:t>102.5</w:t>
            </w:r>
          </w:p>
        </w:tc>
        <w:tc>
          <w:tcPr>
            <w:tcW w:type="dxa" w:w="1757"/>
            <w:shd w:val="clear" w:color="auto" w:fill="F2F4F7"/>
          </w:tcPr>
          <w:p>
            <w:pPr>
              <w:spacing w:after="0" w:line="240" w:lineRule="auto"/>
              <w:jc w:val="right"/>
            </w:pPr>
            <w:r/>
            <w:r>
              <w:rPr>
                <w:sz w:val="19"/>
              </w:rPr>
              <w:t>102.0</w:t>
            </w:r>
          </w:p>
        </w:tc>
        <w:tc>
          <w:tcPr>
            <w:tcW w:type="dxa" w:w="1871"/>
            <w:shd w:val="clear" w:color="auto" w:fill="F2F4F7"/>
          </w:tcPr>
          <w:p>
            <w:pPr>
              <w:spacing w:after="0" w:line="240" w:lineRule="auto"/>
              <w:jc w:val="right"/>
            </w:pPr>
            <w:r/>
            <w:r>
              <w:rPr>
                <w:sz w:val="19"/>
              </w:rPr>
              <w:t>168.0</w:t>
            </w:r>
          </w:p>
        </w:tc>
      </w:tr>
      <w:tr>
        <w:trPr>
          <w:cantSplit/>
        </w:trPr>
        <w:tc>
          <w:tcPr>
            <w:tcW w:type="dxa" w:w="3855"/>
          </w:tcPr>
          <w:p>
            <w:pPr>
              <w:spacing w:after="0" w:line="240" w:lineRule="auto"/>
            </w:pPr>
            <w:r/>
            <w:r>
              <w:rPr>
                <w:sz w:val="19"/>
              </w:rPr>
              <w:t>Total uses at the funding peak</w:t>
            </w:r>
          </w:p>
        </w:tc>
        <w:tc>
          <w:tcPr>
            <w:tcW w:type="dxa" w:w="1757"/>
          </w:tcPr>
          <w:p>
            <w:pPr>
              <w:spacing w:after="0" w:line="240" w:lineRule="auto"/>
              <w:jc w:val="right"/>
            </w:pPr>
            <w:r/>
            <w:r>
              <w:rPr>
                <w:sz w:val="19"/>
              </w:rPr>
              <w:t>113.0</w:t>
            </w:r>
          </w:p>
        </w:tc>
        <w:tc>
          <w:tcPr>
            <w:tcW w:type="dxa" w:w="1757"/>
          </w:tcPr>
          <w:p>
            <w:pPr>
              <w:spacing w:after="0" w:line="240" w:lineRule="auto"/>
              <w:jc w:val="right"/>
            </w:pPr>
            <w:r/>
            <w:r>
              <w:rPr>
                <w:sz w:val="19"/>
              </w:rPr>
              <w:t>112.5</w:t>
            </w:r>
          </w:p>
        </w:tc>
        <w:tc>
          <w:tcPr>
            <w:tcW w:type="dxa" w:w="1871"/>
          </w:tcPr>
          <w:p>
            <w:pPr>
              <w:spacing w:after="0" w:line="240" w:lineRule="auto"/>
              <w:jc w:val="right"/>
            </w:pPr>
            <w:r/>
            <w:r>
              <w:rPr>
                <w:sz w:val="19"/>
              </w:rPr>
              <w:t>225.4</w:t>
            </w:r>
          </w:p>
        </w:tc>
      </w:tr>
      <w:tr>
        <w:trPr>
          <w:cantSplit/>
        </w:trPr>
        <w:tc>
          <w:tcPr>
            <w:tcW w:type="dxa" w:w="3855"/>
            <w:shd w:val="clear" w:color="auto" w:fill="F2F4F7"/>
          </w:tcPr>
          <w:p>
            <w:pPr>
              <w:spacing w:after="0" w:line="240" w:lineRule="auto"/>
            </w:pPr>
            <w:r/>
            <w:r>
              <w:rPr>
                <w:sz w:val="19"/>
              </w:rPr>
              <w:t>Total sales at 80% of units (sales plan)</w:t>
            </w:r>
          </w:p>
        </w:tc>
        <w:tc>
          <w:tcPr>
            <w:tcW w:type="dxa" w:w="1757"/>
            <w:shd w:val="clear" w:color="auto" w:fill="F2F4F7"/>
          </w:tcPr>
          <w:p>
            <w:pPr>
              <w:spacing w:after="0" w:line="240" w:lineRule="auto"/>
              <w:jc w:val="right"/>
            </w:pPr>
            <w:r/>
            <w:r>
              <w:rPr>
                <w:sz w:val="19"/>
              </w:rPr>
              <w:t>2,253</w:t>
            </w:r>
          </w:p>
        </w:tc>
        <w:tc>
          <w:tcPr>
            <w:tcW w:type="dxa" w:w="1757"/>
            <w:shd w:val="clear" w:color="auto" w:fill="F2F4F7"/>
          </w:tcPr>
          <w:p>
            <w:pPr>
              <w:spacing w:after="0" w:line="240" w:lineRule="auto"/>
              <w:jc w:val="right"/>
            </w:pPr>
            <w:r/>
            <w:r>
              <w:rPr>
                <w:sz w:val="19"/>
              </w:rPr>
              <w:t>2,674</w:t>
            </w:r>
          </w:p>
        </w:tc>
        <w:tc>
          <w:tcPr>
            <w:tcW w:type="dxa" w:w="1871"/>
            <w:shd w:val="clear" w:color="auto" w:fill="F2F4F7"/>
          </w:tcPr>
          <w:p>
            <w:pPr>
              <w:spacing w:after="0" w:line="240" w:lineRule="auto"/>
              <w:jc w:val="right"/>
            </w:pPr>
            <w:r/>
            <w:r>
              <w:rPr>
                <w:sz w:val="19"/>
              </w:rPr>
              <w:t>4,927</w:t>
            </w:r>
          </w:p>
        </w:tc>
      </w:tr>
      <w:tr>
        <w:trPr>
          <w:cantSplit/>
        </w:trPr>
        <w:tc>
          <w:tcPr>
            <w:tcW w:type="dxa" w:w="3855"/>
          </w:tcPr>
          <w:p>
            <w:pPr>
              <w:spacing w:after="0" w:line="240" w:lineRule="auto"/>
            </w:pPr>
            <w:r/>
            <w:r>
              <w:rPr>
                <w:sz w:val="19"/>
              </w:rPr>
              <w:t>Jalour net cash flow, nominal</w:t>
            </w:r>
          </w:p>
        </w:tc>
        <w:tc>
          <w:tcPr>
            <w:tcW w:type="dxa" w:w="1757"/>
          </w:tcPr>
          <w:p>
            <w:pPr>
              <w:spacing w:after="0" w:line="240" w:lineRule="auto"/>
              <w:jc w:val="right"/>
            </w:pPr>
            <w:r/>
            <w:r>
              <w:rPr>
                <w:sz w:val="19"/>
              </w:rPr>
              <w:t>375.4</w:t>
            </w:r>
          </w:p>
        </w:tc>
        <w:tc>
          <w:tcPr>
            <w:tcW w:type="dxa" w:w="1757"/>
          </w:tcPr>
          <w:p>
            <w:pPr>
              <w:spacing w:after="0" w:line="240" w:lineRule="auto"/>
              <w:jc w:val="right"/>
            </w:pPr>
            <w:r/>
            <w:r>
              <w:rPr>
                <w:sz w:val="19"/>
              </w:rPr>
              <w:t>595.3</w:t>
            </w:r>
          </w:p>
        </w:tc>
        <w:tc>
          <w:tcPr>
            <w:tcW w:type="dxa" w:w="1871"/>
          </w:tcPr>
          <w:p>
            <w:pPr>
              <w:spacing w:after="0" w:line="240" w:lineRule="auto"/>
              <w:jc w:val="right"/>
            </w:pPr>
            <w:r/>
            <w:r>
              <w:rPr>
                <w:sz w:val="19"/>
              </w:rPr>
              <w:t>970.7</w:t>
            </w:r>
          </w:p>
        </w:tc>
      </w:tr>
      <w:tr>
        <w:trPr>
          <w:cantSplit/>
        </w:trPr>
        <w:tc>
          <w:tcPr>
            <w:tcW w:type="dxa" w:w="3855"/>
            <w:shd w:val="clear" w:color="auto" w:fill="F2F4F7"/>
          </w:tcPr>
          <w:p>
            <w:pPr>
              <w:spacing w:after="0" w:line="240" w:lineRule="auto"/>
            </w:pPr>
            <w:r/>
            <w:r>
              <w:rPr>
                <w:sz w:val="19"/>
              </w:rPr>
              <w:t>NPV of Jalour net cash flow at 14%</w:t>
            </w:r>
          </w:p>
        </w:tc>
        <w:tc>
          <w:tcPr>
            <w:tcW w:type="dxa" w:w="1757"/>
            <w:shd w:val="clear" w:color="auto" w:fill="F2F4F7"/>
          </w:tcPr>
          <w:p>
            <w:pPr>
              <w:spacing w:after="0" w:line="240" w:lineRule="auto"/>
              <w:jc w:val="right"/>
            </w:pPr>
            <w:r/>
            <w:r>
              <w:rPr>
                <w:sz w:val="19"/>
              </w:rPr>
              <w:t>215.3</w:t>
            </w:r>
          </w:p>
        </w:tc>
        <w:tc>
          <w:tcPr>
            <w:tcW w:type="dxa" w:w="1757"/>
            <w:shd w:val="clear" w:color="auto" w:fill="F2F4F7"/>
          </w:tcPr>
          <w:p>
            <w:pPr>
              <w:spacing w:after="0" w:line="240" w:lineRule="auto"/>
              <w:jc w:val="right"/>
            </w:pPr>
            <w:r/>
            <w:r>
              <w:rPr>
                <w:sz w:val="19"/>
              </w:rPr>
              <w:t>307.5</w:t>
            </w:r>
          </w:p>
        </w:tc>
        <w:tc>
          <w:tcPr>
            <w:tcW w:type="dxa" w:w="1871"/>
            <w:shd w:val="clear" w:color="auto" w:fill="F2F4F7"/>
          </w:tcPr>
          <w:p>
            <w:pPr>
              <w:spacing w:after="0" w:line="240" w:lineRule="auto"/>
              <w:jc w:val="right"/>
            </w:pPr>
            <w:r/>
            <w:r>
              <w:rPr>
                <w:sz w:val="19"/>
              </w:rPr>
              <w:t>522.8</w:t>
            </w:r>
          </w:p>
        </w:tc>
      </w:tr>
      <w:tr>
        <w:trPr>
          <w:cantSplit/>
        </w:trPr>
        <w:tc>
          <w:tcPr>
            <w:tcW w:type="dxa" w:w="3855"/>
          </w:tcPr>
          <w:p>
            <w:pPr>
              <w:spacing w:after="0" w:line="240" w:lineRule="auto"/>
            </w:pPr>
            <w:r/>
            <w:r>
              <w:rPr>
                <w:sz w:val="19"/>
              </w:rPr>
              <w:t>Handover (project month)</w:t>
            </w:r>
          </w:p>
        </w:tc>
        <w:tc>
          <w:tcPr>
            <w:tcW w:type="dxa" w:w="1757"/>
          </w:tcPr>
          <w:p>
            <w:pPr>
              <w:spacing w:after="0" w:line="240" w:lineRule="auto"/>
              <w:jc w:val="right"/>
            </w:pPr>
            <w:r/>
            <w:r>
              <w:rPr>
                <w:sz w:val="19"/>
              </w:rPr>
              <w:t>48</w:t>
            </w:r>
          </w:p>
        </w:tc>
        <w:tc>
          <w:tcPr>
            <w:tcW w:type="dxa" w:w="1757"/>
          </w:tcPr>
          <w:p>
            <w:pPr>
              <w:spacing w:after="0" w:line="240" w:lineRule="auto"/>
              <w:jc w:val="right"/>
            </w:pPr>
            <w:r/>
            <w:r>
              <w:rPr>
                <w:sz w:val="19"/>
              </w:rPr>
              <w:t>54</w:t>
            </w:r>
          </w:p>
        </w:tc>
        <w:tc>
          <w:tcPr>
            <w:tcW w:type="dxa" w:w="1871"/>
          </w:tcPr>
          <w:p>
            <w:pPr>
              <w:spacing w:after="0" w:line="240" w:lineRule="auto"/>
              <w:jc w:val="right"/>
            </w:pPr>
            <w:r/>
            <w:r>
              <w:rPr>
                <w:sz w:val="19"/>
              </w:rPr>
            </w:r>
          </w:p>
        </w:tc>
      </w:tr>
      <w:tr>
        <w:trPr>
          <w:cantSplit/>
        </w:trPr>
        <w:tc>
          <w:tcPr>
            <w:tcW w:type="dxa" w:w="3855"/>
            <w:shd w:val="clear" w:color="auto" w:fill="F2F4F7"/>
          </w:tcPr>
          <w:p>
            <w:pPr>
              <w:spacing w:after="0" w:line="240" w:lineRule="auto"/>
            </w:pPr>
            <w:r/>
            <w:r>
              <w:rPr>
                <w:sz w:val="19"/>
              </w:rPr>
              <w:t>Option A units, face value</w:t>
            </w:r>
          </w:p>
        </w:tc>
        <w:tc>
          <w:tcPr>
            <w:tcW w:type="dxa" w:w="1757"/>
            <w:shd w:val="clear" w:color="auto" w:fill="F2F4F7"/>
          </w:tcPr>
          <w:p>
            <w:pPr>
              <w:spacing w:after="0" w:line="240" w:lineRule="auto"/>
              <w:jc w:val="right"/>
            </w:pPr>
            <w:r/>
            <w:r>
              <w:rPr>
                <w:sz w:val="19"/>
              </w:rPr>
              <w:t>125</w:t>
            </w:r>
          </w:p>
        </w:tc>
        <w:tc>
          <w:tcPr>
            <w:tcW w:type="dxa" w:w="1757"/>
            <w:shd w:val="clear" w:color="auto" w:fill="F2F4F7"/>
          </w:tcPr>
          <w:p>
            <w:pPr>
              <w:spacing w:after="0" w:line="240" w:lineRule="auto"/>
              <w:jc w:val="right"/>
            </w:pPr>
            <w:r/>
            <w:r>
              <w:rPr>
                <w:sz w:val="19"/>
              </w:rPr>
              <w:t>125</w:t>
            </w:r>
          </w:p>
        </w:tc>
        <w:tc>
          <w:tcPr>
            <w:tcW w:type="dxa" w:w="1871"/>
            <w:shd w:val="clear" w:color="auto" w:fill="F2F4F7"/>
          </w:tcPr>
          <w:p>
            <w:pPr>
              <w:spacing w:after="0" w:line="240" w:lineRule="auto"/>
              <w:jc w:val="right"/>
            </w:pPr>
            <w:r/>
            <w:r>
              <w:rPr>
                <w:sz w:val="19"/>
              </w:rPr>
              <w:t>250</w:t>
            </w:r>
          </w:p>
        </w:tc>
      </w:tr>
      <w:tr>
        <w:trPr>
          <w:cantSplit/>
        </w:trPr>
        <w:tc>
          <w:tcPr>
            <w:tcW w:type="dxa" w:w="3855"/>
          </w:tcPr>
          <w:p>
            <w:pPr>
              <w:spacing w:after="0" w:line="240" w:lineRule="auto"/>
            </w:pPr>
            <w:r/>
            <w:r>
              <w:rPr>
                <w:sz w:val="19"/>
              </w:rPr>
              <w:t>Option B total return</w:t>
            </w:r>
          </w:p>
        </w:tc>
        <w:tc>
          <w:tcPr>
            <w:tcW w:type="dxa" w:w="1757"/>
          </w:tcPr>
          <w:p>
            <w:pPr>
              <w:spacing w:after="0" w:line="240" w:lineRule="auto"/>
              <w:jc w:val="right"/>
            </w:pPr>
            <w:r/>
            <w:r>
              <w:rPr>
                <w:sz w:val="19"/>
              </w:rPr>
              <w:t>143.8</w:t>
            </w:r>
          </w:p>
        </w:tc>
        <w:tc>
          <w:tcPr>
            <w:tcW w:type="dxa" w:w="1757"/>
          </w:tcPr>
          <w:p>
            <w:pPr>
              <w:spacing w:after="0" w:line="240" w:lineRule="auto"/>
              <w:jc w:val="right"/>
            </w:pPr>
            <w:r/>
            <w:r>
              <w:rPr>
                <w:sz w:val="19"/>
              </w:rPr>
              <w:t>143.8</w:t>
            </w:r>
          </w:p>
        </w:tc>
        <w:tc>
          <w:tcPr>
            <w:tcW w:type="dxa" w:w="1871"/>
          </w:tcPr>
          <w:p>
            <w:pPr>
              <w:spacing w:after="0" w:line="240" w:lineRule="auto"/>
              <w:jc w:val="right"/>
            </w:pPr>
            <w:r/>
            <w:r>
              <w:rPr>
                <w:sz w:val="19"/>
              </w:rPr>
              <w:t>287.5</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plans rely on list prices rising from launch to delivery by 33% (retail) and 48% (offices) in Green Square and by 44% and 50% in L'avenir. Recent evidence of price growth is lower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each project's delivery payment (20% to 25% of price) on a contractual milestone ahead of handover. If it were collected at handover the peak funding need would be EGP 269 million (Green Square) and EGP 244 million (L'avenir) instead of EGP 102.5 and 102.0 million. Jalour has said it will cover project funding gaps above project cash from its cash reserves and from cash generated by other projects it is constructing (section 11).</w:t>
      </w:r>
    </w:p>
    <w:p>
      <w:pPr>
        <w:pStyle w:val="ListBullet"/>
        <w:spacing w:after="60"/>
      </w:pPr>
      <w:r>
        <w:rPr>
          <w:b/>
          <w:i w:val="0"/>
        </w:rPr>
        <w:t>Both projects together.</w:t>
      </w:r>
      <w:r>
        <w:rPr>
          <w:b w:val="0"/>
          <w:i w:val="0"/>
        </w:rPr>
        <w:t xml:space="preserve"> The combined base-case position is lowest at EGP 168.0 million in month 15 and positive from month 30, but in the stress cases both projects are short at the same time: the combined peak is EGP 318 million if delivery payments arrive at handover and EGP 1,089 million in the downside. One project's cash cannot be assumed to fund the other.</w:t>
      </w:r>
    </w:p>
    <w:p>
      <w:r>
        <w:rPr>
          <w:b w:val="0"/>
          <w:i/>
        </w:rPr>
        <w:t>The balance of project funding is provided by Jalour sponsor equity, project collections and other capital sources. This applies in each project.</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 (both plots)</w:t>
            </w:r>
          </w:p>
        </w:tc>
      </w:tr>
      <w:tr>
        <w:trPr>
          <w:cantSplit/>
        </w:trPr>
        <w:tc>
          <w:tcPr>
            <w:tcW w:type="dxa" w:w="2381"/>
          </w:tcPr>
          <w:p>
            <w:pPr>
              <w:spacing w:after="0" w:line="240" w:lineRule="auto"/>
            </w:pPr>
            <w:r/>
            <w:r>
              <w:rPr>
                <w:b/>
                <w:sz w:val="19"/>
              </w:rPr>
              <w:t>Issuers</w:t>
            </w:r>
          </w:p>
        </w:tc>
        <w:tc>
          <w:tcPr>
            <w:tcW w:type="dxa" w:w="6860"/>
          </w:tcPr>
          <w:p>
            <w:pPr>
              <w:spacing w:after="0" w:line="240" w:lineRule="auto"/>
            </w:pPr>
            <w:r/>
            <w:r>
              <w:rPr>
                <w:sz w:val="19"/>
              </w:rPr>
              <w:t>One project company for each development [names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in each project.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125 million in total: EGP 62.5 million into Green Square and EGP 62.5 million into L'avenir</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the same option applies to both projects</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 This applies in each project.</w:t>
            </w:r>
          </w:p>
        </w:tc>
      </w:tr>
    </w:tbl>
    <w:p>
      <w:pPr>
        <w:spacing w:after="80"/>
      </w:pPr>
    </w:p>
    <w:p>
      <w:pPr>
        <w:pStyle w:val="Heading2"/>
      </w:pPr>
      <w:r>
        <w:t>2.2 Conditions and timetable</w:t>
      </w:r>
    </w:p>
    <w:p>
      <w:pPr>
        <w:pStyle w:val="ListBullet"/>
        <w:spacing w:after="60"/>
      </w:pPr>
      <w:r>
        <w:rPr>
          <w:b w:val="0"/>
          <w:i w:val="0"/>
        </w:rPr>
        <w:t>Signature of the non-disclosure agreement (template provided with this pack), which covers all information provided.</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 for each project.</w:t>
      </w:r>
    </w:p>
    <w:p>
      <w:pPr>
        <w:pStyle w:val="ListBullet"/>
        <w:spacing w:after="60"/>
      </w:pPr>
      <w:r>
        <w:rPr>
          <w:b w:val="0"/>
          <w:i w:val="0"/>
        </w:rPr>
        <w:t>Definitive agreements for each project, including security documents reviewed by counsel for both sides.</w:t>
      </w:r>
    </w:p>
    <w:p>
      <w:pPr>
        <w:pStyle w:val="ListBullet"/>
        <w:spacing w:after="60"/>
      </w:pPr>
      <w:r>
        <w:rPr>
          <w:b w:val="0"/>
          <w:i w:val="0"/>
        </w:rPr>
        <w:t>Funding in cash into each project company, expected in project month 3 for Green Square and month 12 for L'avenir (the months the landlord down payments fall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A project company will not grant security over the investor's earmarked units or rank any new instrument ahead of the investor's entitlement without the consent given in the definitive agreements.</w:t>
      </w:r>
    </w:p>
    <w:p>
      <w:pPr>
        <w:pStyle w:val="Heading2"/>
      </w:pPr>
      <w:r>
        <w:t>2.4 Separate projects, single investment</w:t>
      </w:r>
    </w:p>
    <w:p>
      <w:r>
        <w:rPr>
          <w:b w:val="0"/>
          <w:i w:val="0"/>
        </w:rPr>
        <w:t>Each project is held in its own company. There is no cross-collateral and no cross-default between the projects. The investor's EGP 62.5 million in each project is that project's funding, not a restricted or segregated account; payment protections are contractual and described in section 14. The investment is made as one transaction under one non-disclosure agreement.</w:t>
      </w:r>
    </w:p>
    <w:p>
      <w:pPr>
        <w:pStyle w:val="Heading2"/>
      </w:pPr>
      <w:r>
        <w:t>2.5 Confidentiality</w:t>
      </w:r>
    </w:p>
    <w:p>
      <w:r>
        <w:rPr>
          <w:b w:val="0"/>
          <w:i w:val="0"/>
        </w:rPr>
        <w:t>Everything in this pack is confidential: this memorandum, the presentation, the Financial Annex, the Due Diligence Memorandum, the data room and any information about either project, the landowner, Jalour or Al Jalal Holding that the investor receives. The non-disclosure agreement template in this pack is to be signed before the sponsor, permit, title and landlord-consent materials are released.</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Two defined assets of G+2 buildings (13,023 and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 guarantees (EGP 800 million and EGP 850 million over six years) are payable even if sales are slow.</w:t>
            </w:r>
          </w:p>
        </w:tc>
      </w:tr>
      <w:tr>
        <w:trPr>
          <w:cantSplit/>
        </w:trPr>
        <w:tc>
          <w:tcPr>
            <w:tcW w:type="dxa" w:w="4706"/>
          </w:tcPr>
          <w:p>
            <w:pPr>
              <w:spacing w:after="0" w:line="240" w:lineRule="auto"/>
            </w:pPr>
            <w:r/>
            <w:r>
              <w:rPr>
                <w:sz w:val="19"/>
              </w:rPr>
              <w:t>Sales begin at launch lists of EGP 135,000 to 225,000 (Green Square) and 160,000 to 250,000 (L'avenir) per m2, with list price steps built into the plans.</w:t>
            </w:r>
          </w:p>
        </w:tc>
        <w:tc>
          <w:tcPr>
            <w:tcW w:type="dxa" w:w="4535"/>
          </w:tcPr>
          <w:p>
            <w:pPr>
              <w:spacing w:after="0" w:line="240" w:lineRule="auto"/>
            </w:pPr>
            <w:r/>
            <w:r>
              <w:rPr>
                <w:sz w:val="19"/>
              </w:rPr>
              <w:t>Asking prices for Mostakbal City offices today are about EGP 106,000 to 120,000 per m2; the plans assume higher.</w:t>
            </w:r>
          </w:p>
        </w:tc>
      </w:tr>
      <w:tr>
        <w:trPr>
          <w:cantSplit/>
        </w:trPr>
        <w:tc>
          <w:tcPr>
            <w:tcW w:type="dxa" w:w="4706"/>
            <w:shd w:val="clear" w:color="auto" w:fill="F2F4F7"/>
          </w:tcPr>
          <w:p>
            <w:pPr>
              <w:spacing w:after="0" w:line="240" w:lineRule="auto"/>
            </w:pPr>
            <w:r/>
            <w:r>
              <w:rPr>
                <w:sz w:val="19"/>
              </w:rPr>
              <w:t>Project funding peaks at EGP 102.5 million and EGP 102.0 million in the base case, in different months; the projects generate EGP 971 million of net cash flow before the value of retained units.</w:t>
            </w:r>
          </w:p>
        </w:tc>
        <w:tc>
          <w:tcPr>
            <w:tcW w:type="dxa" w:w="4535"/>
            <w:shd w:val="clear" w:color="auto" w:fill="F2F4F7"/>
          </w:tcPr>
          <w:p>
            <w:pPr>
              <w:spacing w:after="0" w:line="240" w:lineRule="auto"/>
            </w:pPr>
            <w:r/>
            <w:r>
              <w:rPr>
                <w:sz w:val="19"/>
              </w:rPr>
              <w:t>Combined funding peak is EGP 318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 across two projects with different timelines.</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r>
        <w:rPr>
          <w:b w:val="0"/>
          <w:i w:val="0"/>
        </w:rPr>
        <w:t>Jalour retains 20% of the units in each project. They sit outside the sales plans, outside the cash flows shown here, and outside this offering.</w:t>
      </w: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these developments (Invest-Gate).</w:t>
      </w:r>
    </w:p>
    <w:p>
      <w:pPr>
        <w:pStyle w:val="Heading2"/>
      </w:pPr>
      <w:r>
        <w:t>4.4 Pricing evidence and the plans</w:t>
      </w:r>
    </w:p>
    <w:p>
      <w:pPr>
        <w:keepNext/>
        <w:spacing w:after="60"/>
      </w:pPr>
      <w:r>
        <w:rPr>
          <w:b/>
          <w:color w:val="17324D"/>
          <w:sz w:val="19"/>
        </w:rPr>
        <w:t>Table 4: Plan prices against market asking prices (GS = Green Square, LA = L'avenir)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Measure (EGP per m2)</w:t>
            </w:r>
          </w:p>
        </w:tc>
        <w:tc>
          <w:tcPr>
            <w:tcW w:type="dxa" w:w="2721"/>
            <w:shd w:val="clear" w:color="auto" w:fill="17324D"/>
          </w:tcPr>
          <w:p>
            <w:pPr>
              <w:spacing w:after="0" w:line="240" w:lineRule="auto"/>
            </w:pPr>
            <w:r/>
            <w:r>
              <w:rPr>
                <w:b/>
                <w:color w:val="FFFFFF"/>
                <w:sz w:val="18"/>
              </w:rPr>
              <w:t>Evidence (asking prices)</w:t>
            </w:r>
          </w:p>
        </w:tc>
        <w:tc>
          <w:tcPr>
            <w:tcW w:type="dxa" w:w="1304"/>
            <w:shd w:val="clear" w:color="auto" w:fill="17324D"/>
          </w:tcPr>
          <w:p>
            <w:pPr>
              <w:spacing w:after="0" w:line="240" w:lineRule="auto"/>
              <w:jc w:val="right"/>
            </w:pPr>
            <w:r/>
            <w:r>
              <w:rPr>
                <w:b/>
                <w:color w:val="FFFFFF"/>
                <w:sz w:val="18"/>
              </w:rPr>
              <w:t>GS launch</w:t>
            </w:r>
          </w:p>
        </w:tc>
        <w:tc>
          <w:tcPr>
            <w:tcW w:type="dxa" w:w="1304"/>
            <w:shd w:val="clear" w:color="auto" w:fill="17324D"/>
          </w:tcPr>
          <w:p>
            <w:pPr>
              <w:spacing w:after="0" w:line="240" w:lineRule="auto"/>
              <w:jc w:val="right"/>
            </w:pPr>
            <w:r/>
            <w:r>
              <w:rPr>
                <w:b/>
                <w:color w:val="FFFFFF"/>
                <w:sz w:val="18"/>
              </w:rPr>
              <w:t>GS delivery list</w:t>
            </w:r>
          </w:p>
        </w:tc>
        <w:tc>
          <w:tcPr>
            <w:tcW w:type="dxa" w:w="1247"/>
            <w:shd w:val="clear" w:color="auto" w:fill="17324D"/>
          </w:tcPr>
          <w:p>
            <w:pPr>
              <w:spacing w:after="0" w:line="240" w:lineRule="auto"/>
              <w:jc w:val="right"/>
            </w:pPr>
            <w:r/>
            <w:r>
              <w:rPr>
                <w:b/>
                <w:color w:val="FFFFFF"/>
                <w:sz w:val="18"/>
              </w:rPr>
              <w:t>LA launch</w:t>
            </w:r>
          </w:p>
        </w:tc>
        <w:tc>
          <w:tcPr>
            <w:tcW w:type="dxa" w:w="1304"/>
            <w:shd w:val="clear" w:color="auto" w:fill="17324D"/>
          </w:tcPr>
          <w:p>
            <w:pPr>
              <w:spacing w:after="0" w:line="240" w:lineRule="auto"/>
              <w:jc w:val="right"/>
            </w:pPr>
            <w:r/>
            <w:r>
              <w:rPr>
                <w:b/>
                <w:color w:val="FFFFFF"/>
                <w:sz w:val="18"/>
              </w:rPr>
              <w:t>LA delivery list</w:t>
            </w:r>
          </w:p>
        </w:tc>
      </w:tr>
      <w:tr>
        <w:trPr>
          <w:cantSplit/>
        </w:trPr>
        <w:tc>
          <w:tcPr>
            <w:tcW w:type="dxa" w:w="1361"/>
          </w:tcPr>
          <w:p>
            <w:pPr>
              <w:spacing w:after="0" w:line="240" w:lineRule="auto"/>
            </w:pPr>
            <w:r/>
            <w:r>
              <w:rPr>
                <w:sz w:val="18"/>
              </w:rPr>
              <w:t>Offices</w:t>
            </w:r>
          </w:p>
        </w:tc>
        <w:tc>
          <w:tcPr>
            <w:tcW w:type="dxa" w:w="2721"/>
          </w:tcPr>
          <w:p>
            <w:pPr>
              <w:spacing w:after="0" w:line="240" w:lineRule="auto"/>
            </w:pPr>
            <w:r/>
            <w:r>
              <w:rPr>
                <w:sz w:val="18"/>
              </w:rPr>
              <w:t>106,000 to 120,000 (Mostakbal City listings)</w:t>
            </w:r>
          </w:p>
        </w:tc>
        <w:tc>
          <w:tcPr>
            <w:tcW w:type="dxa" w:w="1304"/>
          </w:tcPr>
          <w:p>
            <w:pPr>
              <w:spacing w:after="0" w:line="240" w:lineRule="auto"/>
              <w:jc w:val="right"/>
            </w:pPr>
            <w:r/>
            <w:r>
              <w:rPr>
                <w:sz w:val="18"/>
              </w:rPr>
              <w:t>135,000</w:t>
            </w:r>
          </w:p>
        </w:tc>
        <w:tc>
          <w:tcPr>
            <w:tcW w:type="dxa" w:w="1304"/>
          </w:tcPr>
          <w:p>
            <w:pPr>
              <w:spacing w:after="0" w:line="240" w:lineRule="auto"/>
              <w:jc w:val="right"/>
            </w:pPr>
            <w:r/>
            <w:r>
              <w:rPr>
                <w:sz w:val="18"/>
              </w:rPr>
              <w:t>200,000</w:t>
            </w:r>
          </w:p>
        </w:tc>
        <w:tc>
          <w:tcPr>
            <w:tcW w:type="dxa" w:w="1247"/>
          </w:tcPr>
          <w:p>
            <w:pPr>
              <w:spacing w:after="0" w:line="240" w:lineRule="auto"/>
              <w:jc w:val="right"/>
            </w:pPr>
            <w:r/>
            <w:r>
              <w:rPr>
                <w:sz w:val="18"/>
              </w:rPr>
              <w:t>160,000</w:t>
            </w:r>
          </w:p>
        </w:tc>
        <w:tc>
          <w:tcPr>
            <w:tcW w:type="dxa" w:w="1304"/>
          </w:tcPr>
          <w:p>
            <w:pPr>
              <w:spacing w:after="0" w:line="240" w:lineRule="auto"/>
              <w:jc w:val="right"/>
            </w:pPr>
            <w:r/>
            <w:r>
              <w:rPr>
                <w:sz w:val="18"/>
              </w:rPr>
              <w:t>240,000</w:t>
            </w:r>
          </w:p>
        </w:tc>
      </w:tr>
      <w:tr>
        <w:trPr>
          <w:cantSplit/>
        </w:trPr>
        <w:tc>
          <w:tcPr>
            <w:tcW w:type="dxa" w:w="1361"/>
            <w:shd w:val="clear" w:color="auto" w:fill="F2F4F7"/>
          </w:tcPr>
          <w:p>
            <w:pPr>
              <w:spacing w:after="0" w:line="240" w:lineRule="auto"/>
            </w:pPr>
            <w:r/>
            <w:r>
              <w:rPr>
                <w:sz w:val="18"/>
              </w:rPr>
              <w:t>Retail</w:t>
            </w:r>
          </w:p>
        </w:tc>
        <w:tc>
          <w:tcPr>
            <w:tcW w:type="dxa" w:w="2721"/>
            <w:shd w:val="clear" w:color="auto" w:fill="F2F4F7"/>
          </w:tcPr>
          <w:p>
            <w:pPr>
              <w:spacing w:after="0" w:line="240" w:lineRule="auto"/>
            </w:pPr>
            <w:r/>
            <w:r>
              <w:rPr>
                <w:sz w:val="18"/>
              </w:rPr>
              <w:t>139,000 to 325,000 (New Cairo listings, individual)</w:t>
            </w:r>
          </w:p>
        </w:tc>
        <w:tc>
          <w:tcPr>
            <w:tcW w:type="dxa" w:w="1304"/>
            <w:shd w:val="clear" w:color="auto" w:fill="F2F4F7"/>
          </w:tcPr>
          <w:p>
            <w:pPr>
              <w:spacing w:after="0" w:line="240" w:lineRule="auto"/>
              <w:jc w:val="right"/>
            </w:pPr>
            <w:r/>
            <w:r>
              <w:rPr>
                <w:sz w:val="18"/>
              </w:rPr>
              <w:t>225,000</w:t>
            </w:r>
          </w:p>
        </w:tc>
        <w:tc>
          <w:tcPr>
            <w:tcW w:type="dxa" w:w="1304"/>
            <w:shd w:val="clear" w:color="auto" w:fill="F2F4F7"/>
          </w:tcPr>
          <w:p>
            <w:pPr>
              <w:spacing w:after="0" w:line="240" w:lineRule="auto"/>
              <w:jc w:val="right"/>
            </w:pPr>
            <w:r/>
            <w:r>
              <w:rPr>
                <w:sz w:val="18"/>
              </w:rPr>
              <w:t>300,000</w:t>
            </w:r>
          </w:p>
        </w:tc>
        <w:tc>
          <w:tcPr>
            <w:tcW w:type="dxa" w:w="1247"/>
            <w:shd w:val="clear" w:color="auto" w:fill="F2F4F7"/>
          </w:tcPr>
          <w:p>
            <w:pPr>
              <w:spacing w:after="0" w:line="240" w:lineRule="auto"/>
              <w:jc w:val="right"/>
            </w:pPr>
            <w:r/>
            <w:r>
              <w:rPr>
                <w:sz w:val="18"/>
              </w:rPr>
              <w:t>250,000</w:t>
            </w:r>
          </w:p>
        </w:tc>
        <w:tc>
          <w:tcPr>
            <w:tcW w:type="dxa" w:w="1304"/>
            <w:shd w:val="clear" w:color="auto" w:fill="F2F4F7"/>
          </w:tcPr>
          <w:p>
            <w:pPr>
              <w:spacing w:after="0" w:line="240" w:lineRule="auto"/>
              <w:jc w:val="right"/>
            </w:pPr>
            <w:r/>
            <w:r>
              <w:rPr>
                <w:sz w:val="18"/>
              </w:rPr>
              <w:t>360,000</w:t>
            </w:r>
          </w:p>
        </w:tc>
      </w:tr>
    </w:tbl>
    <w:p>
      <w:pPr>
        <w:spacing w:after="80"/>
      </w:pPr>
    </w:p>
    <w:p>
      <w:pPr>
        <w:keepNext/>
        <w:spacing w:after="60"/>
      </w:pPr>
      <w:r>
        <w:rPr>
          <w:b/>
          <w:color w:val="17324D"/>
          <w:sz w:val="19"/>
        </w:rPr>
        <w:t>Table 5: Launch, average realised and delivery list prices (EGP per m2)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2154"/>
            <w:shd w:val="clear" w:color="auto" w:fill="17324D"/>
          </w:tcPr>
          <w:p>
            <w:pPr>
              <w:spacing w:after="0" w:line="240" w:lineRule="auto"/>
            </w:pPr>
            <w:r/>
            <w:r>
              <w:rPr>
                <w:b/>
                <w:color w:val="FFFFFF"/>
                <w:sz w:val="17"/>
              </w:rPr>
              <w:t>Project and type</w:t>
            </w:r>
          </w:p>
        </w:tc>
        <w:tc>
          <w:tcPr>
            <w:tcW w:type="dxa" w:w="1247"/>
            <w:shd w:val="clear" w:color="auto" w:fill="17324D"/>
          </w:tcPr>
          <w:p>
            <w:pPr>
              <w:spacing w:after="0" w:line="240" w:lineRule="auto"/>
              <w:jc w:val="right"/>
            </w:pPr>
            <w:r/>
            <w:r>
              <w:rPr>
                <w:b/>
                <w:color w:val="FFFFFF"/>
                <w:sz w:val="17"/>
              </w:rPr>
              <w:t>Launch list</w:t>
            </w:r>
          </w:p>
        </w:tc>
        <w:tc>
          <w:tcPr>
            <w:tcW w:type="dxa" w:w="1361"/>
            <w:shd w:val="clear" w:color="auto" w:fill="17324D"/>
          </w:tcPr>
          <w:p>
            <w:pPr>
              <w:spacing w:after="0" w:line="240" w:lineRule="auto"/>
              <w:jc w:val="right"/>
            </w:pPr>
            <w:r/>
            <w:r>
              <w:rPr>
                <w:b/>
                <w:color w:val="FFFFFF"/>
                <w:sz w:val="17"/>
              </w:rPr>
              <w:t>Average realised</w:t>
            </w:r>
          </w:p>
        </w:tc>
        <w:tc>
          <w:tcPr>
            <w:tcW w:type="dxa" w:w="1247"/>
            <w:shd w:val="clear" w:color="auto" w:fill="17324D"/>
          </w:tcPr>
          <w:p>
            <w:pPr>
              <w:spacing w:after="0" w:line="240" w:lineRule="auto"/>
              <w:jc w:val="right"/>
            </w:pPr>
            <w:r/>
            <w:r>
              <w:rPr>
                <w:b/>
                <w:color w:val="FFFFFF"/>
                <w:sz w:val="17"/>
              </w:rPr>
              <w:t>Delivery list</w:t>
            </w:r>
          </w:p>
        </w:tc>
        <w:tc>
          <w:tcPr>
            <w:tcW w:type="dxa" w:w="1361"/>
            <w:shd w:val="clear" w:color="auto" w:fill="17324D"/>
          </w:tcPr>
          <w:p>
            <w:pPr>
              <w:spacing w:after="0" w:line="240" w:lineRule="auto"/>
              <w:jc w:val="right"/>
            </w:pPr>
            <w:r/>
            <w:r>
              <w:rPr>
                <w:b/>
                <w:color w:val="FFFFFF"/>
                <w:sz w:val="17"/>
              </w:rPr>
              <w:t>Delivery vs launch</w:t>
            </w:r>
          </w:p>
        </w:tc>
        <w:tc>
          <w:tcPr>
            <w:tcW w:type="dxa" w:w="1871"/>
            <w:shd w:val="clear" w:color="auto" w:fill="17324D"/>
          </w:tcPr>
          <w:p>
            <w:pPr>
              <w:spacing w:after="0" w:line="240" w:lineRule="auto"/>
              <w:jc w:val="right"/>
            </w:pPr>
            <w:r/>
            <w:r>
              <w:rPr>
                <w:b/>
                <w:color w:val="FFFFFF"/>
                <w:sz w:val="17"/>
              </w:rPr>
              <w:t>Delivery list vs today's asking</w:t>
            </w:r>
          </w:p>
        </w:tc>
      </w:tr>
      <w:tr>
        <w:trPr>
          <w:cantSplit/>
        </w:trPr>
        <w:tc>
          <w:tcPr>
            <w:tcW w:type="dxa" w:w="2154"/>
          </w:tcPr>
          <w:p>
            <w:pPr>
              <w:spacing w:after="0" w:line="240" w:lineRule="auto"/>
            </w:pPr>
            <w:r/>
            <w:r>
              <w:rPr>
                <w:sz w:val="17"/>
              </w:rPr>
              <w:t>Green Square: offices</w:t>
            </w:r>
          </w:p>
        </w:tc>
        <w:tc>
          <w:tcPr>
            <w:tcW w:type="dxa" w:w="1247"/>
          </w:tcPr>
          <w:p>
            <w:pPr>
              <w:spacing w:after="0" w:line="240" w:lineRule="auto"/>
              <w:jc w:val="right"/>
            </w:pPr>
            <w:r/>
            <w:r>
              <w:rPr>
                <w:sz w:val="17"/>
              </w:rPr>
              <w:t>135,000</w:t>
            </w:r>
          </w:p>
        </w:tc>
        <w:tc>
          <w:tcPr>
            <w:tcW w:type="dxa" w:w="1361"/>
          </w:tcPr>
          <w:p>
            <w:pPr>
              <w:spacing w:after="0" w:line="240" w:lineRule="auto"/>
              <w:jc w:val="right"/>
            </w:pPr>
            <w:r/>
            <w:r>
              <w:rPr>
                <w:sz w:val="17"/>
              </w:rPr>
              <w:t>163,125</w:t>
            </w:r>
          </w:p>
        </w:tc>
        <w:tc>
          <w:tcPr>
            <w:tcW w:type="dxa" w:w="1247"/>
          </w:tcPr>
          <w:p>
            <w:pPr>
              <w:spacing w:after="0" w:line="240" w:lineRule="auto"/>
              <w:jc w:val="right"/>
            </w:pPr>
            <w:r/>
            <w:r>
              <w:rPr>
                <w:sz w:val="17"/>
              </w:rPr>
              <w:t>200,000</w:t>
            </w:r>
          </w:p>
        </w:tc>
        <w:tc>
          <w:tcPr>
            <w:tcW w:type="dxa" w:w="1361"/>
          </w:tcPr>
          <w:p>
            <w:pPr>
              <w:spacing w:after="0" w:line="240" w:lineRule="auto"/>
              <w:jc w:val="right"/>
            </w:pPr>
            <w:r/>
            <w:r>
              <w:rPr>
                <w:sz w:val="17"/>
              </w:rPr>
              <w:t>+48%</w:t>
            </w:r>
          </w:p>
        </w:tc>
        <w:tc>
          <w:tcPr>
            <w:tcW w:type="dxa" w:w="1871"/>
          </w:tcPr>
          <w:p>
            <w:pPr>
              <w:spacing w:after="0" w:line="240" w:lineRule="auto"/>
              <w:jc w:val="right"/>
            </w:pPr>
            <w:r/>
            <w:r>
              <w:rPr>
                <w:sz w:val="17"/>
              </w:rPr>
              <w:t>+77% (mid-point 113,000)</w:t>
            </w:r>
          </w:p>
        </w:tc>
      </w:tr>
      <w:tr>
        <w:trPr>
          <w:cantSplit/>
        </w:trPr>
        <w:tc>
          <w:tcPr>
            <w:tcW w:type="dxa" w:w="2154"/>
            <w:shd w:val="clear" w:color="auto" w:fill="F2F4F7"/>
          </w:tcPr>
          <w:p>
            <w:pPr>
              <w:spacing w:after="0" w:line="240" w:lineRule="auto"/>
            </w:pPr>
            <w:r/>
            <w:r>
              <w:rPr>
                <w:sz w:val="17"/>
              </w:rPr>
              <w:t>Green Square: retail</w:t>
            </w:r>
          </w:p>
        </w:tc>
        <w:tc>
          <w:tcPr>
            <w:tcW w:type="dxa" w:w="1247"/>
            <w:shd w:val="clear" w:color="auto" w:fill="F2F4F7"/>
          </w:tcPr>
          <w:p>
            <w:pPr>
              <w:spacing w:after="0" w:line="240" w:lineRule="auto"/>
              <w:jc w:val="right"/>
            </w:pPr>
            <w:r/>
            <w:r>
              <w:rPr>
                <w:sz w:val="17"/>
              </w:rPr>
              <w:t>225,000</w:t>
            </w:r>
          </w:p>
        </w:tc>
        <w:tc>
          <w:tcPr>
            <w:tcW w:type="dxa" w:w="1361"/>
            <w:shd w:val="clear" w:color="auto" w:fill="F2F4F7"/>
          </w:tcPr>
          <w:p>
            <w:pPr>
              <w:spacing w:after="0" w:line="240" w:lineRule="auto"/>
              <w:jc w:val="right"/>
            </w:pPr>
            <w:r/>
            <w:r>
              <w:rPr>
                <w:sz w:val="17"/>
              </w:rPr>
              <w:t>268,125</w:t>
            </w:r>
          </w:p>
        </w:tc>
        <w:tc>
          <w:tcPr>
            <w:tcW w:type="dxa" w:w="1247"/>
            <w:shd w:val="clear" w:color="auto" w:fill="F2F4F7"/>
          </w:tcPr>
          <w:p>
            <w:pPr>
              <w:spacing w:after="0" w:line="240" w:lineRule="auto"/>
              <w:jc w:val="right"/>
            </w:pPr>
            <w:r/>
            <w:r>
              <w:rPr>
                <w:sz w:val="17"/>
              </w:rPr>
              <w:t>300,000</w:t>
            </w:r>
          </w:p>
        </w:tc>
        <w:tc>
          <w:tcPr>
            <w:tcW w:type="dxa" w:w="1361"/>
            <w:shd w:val="clear" w:color="auto" w:fill="F2F4F7"/>
          </w:tcPr>
          <w:p>
            <w:pPr>
              <w:spacing w:after="0" w:line="240" w:lineRule="auto"/>
              <w:jc w:val="right"/>
            </w:pPr>
            <w:r/>
            <w:r>
              <w:rPr>
                <w:sz w:val="17"/>
              </w:rPr>
              <w:t>+33%</w:t>
            </w:r>
          </w:p>
        </w:tc>
        <w:tc>
          <w:tcPr>
            <w:tcW w:type="dxa" w:w="1871"/>
            <w:shd w:val="clear" w:color="auto" w:fill="F2F4F7"/>
          </w:tcPr>
          <w:p>
            <w:pPr>
              <w:spacing w:after="0" w:line="240" w:lineRule="auto"/>
              <w:jc w:val="right"/>
            </w:pPr>
            <w:r/>
            <w:r>
              <w:rPr>
                <w:sz w:val="17"/>
              </w:rPr>
              <w:t>Within the listed range</w:t>
            </w:r>
          </w:p>
        </w:tc>
      </w:tr>
      <w:tr>
        <w:trPr>
          <w:cantSplit/>
        </w:trPr>
        <w:tc>
          <w:tcPr>
            <w:tcW w:type="dxa" w:w="2154"/>
          </w:tcPr>
          <w:p>
            <w:pPr>
              <w:spacing w:after="0" w:line="240" w:lineRule="auto"/>
            </w:pPr>
            <w:r/>
            <w:r>
              <w:rPr>
                <w:sz w:val="17"/>
              </w:rPr>
              <w:t>L'avenir: offices</w:t>
            </w:r>
          </w:p>
        </w:tc>
        <w:tc>
          <w:tcPr>
            <w:tcW w:type="dxa" w:w="1247"/>
          </w:tcPr>
          <w:p>
            <w:pPr>
              <w:spacing w:after="0" w:line="240" w:lineRule="auto"/>
              <w:jc w:val="right"/>
            </w:pPr>
            <w:r/>
            <w:r>
              <w:rPr>
                <w:sz w:val="17"/>
              </w:rPr>
              <w:t>160,000</w:t>
            </w:r>
          </w:p>
        </w:tc>
        <w:tc>
          <w:tcPr>
            <w:tcW w:type="dxa" w:w="1361"/>
          </w:tcPr>
          <w:p>
            <w:pPr>
              <w:spacing w:after="0" w:line="240" w:lineRule="auto"/>
              <w:jc w:val="right"/>
            </w:pPr>
            <w:r/>
            <w:r>
              <w:rPr>
                <w:sz w:val="17"/>
              </w:rPr>
              <w:t>191,250</w:t>
            </w:r>
          </w:p>
        </w:tc>
        <w:tc>
          <w:tcPr>
            <w:tcW w:type="dxa" w:w="1247"/>
          </w:tcPr>
          <w:p>
            <w:pPr>
              <w:spacing w:after="0" w:line="240" w:lineRule="auto"/>
              <w:jc w:val="right"/>
            </w:pPr>
            <w:r/>
            <w:r>
              <w:rPr>
                <w:sz w:val="17"/>
              </w:rPr>
              <w:t>240,000</w:t>
            </w:r>
          </w:p>
        </w:tc>
        <w:tc>
          <w:tcPr>
            <w:tcW w:type="dxa" w:w="1361"/>
          </w:tcPr>
          <w:p>
            <w:pPr>
              <w:spacing w:after="0" w:line="240" w:lineRule="auto"/>
              <w:jc w:val="right"/>
            </w:pPr>
            <w:r/>
            <w:r>
              <w:rPr>
                <w:sz w:val="17"/>
              </w:rPr>
              <w:t>+50%</w:t>
            </w:r>
          </w:p>
        </w:tc>
        <w:tc>
          <w:tcPr>
            <w:tcW w:type="dxa" w:w="1871"/>
          </w:tcPr>
          <w:p>
            <w:pPr>
              <w:spacing w:after="0" w:line="240" w:lineRule="auto"/>
              <w:jc w:val="right"/>
            </w:pPr>
            <w:r/>
            <w:r>
              <w:rPr>
                <w:sz w:val="17"/>
              </w:rPr>
              <w:t>+112% (mid-point 113,000)</w:t>
            </w:r>
          </w:p>
        </w:tc>
      </w:tr>
      <w:tr>
        <w:trPr>
          <w:cantSplit/>
        </w:trPr>
        <w:tc>
          <w:tcPr>
            <w:tcW w:type="dxa" w:w="2154"/>
            <w:shd w:val="clear" w:color="auto" w:fill="F2F4F7"/>
          </w:tcPr>
          <w:p>
            <w:pPr>
              <w:spacing w:after="0" w:line="240" w:lineRule="auto"/>
            </w:pPr>
            <w:r/>
            <w:r>
              <w:rPr>
                <w:sz w:val="17"/>
              </w:rPr>
              <w:t>L'avenir: retail</w:t>
            </w:r>
          </w:p>
        </w:tc>
        <w:tc>
          <w:tcPr>
            <w:tcW w:type="dxa" w:w="1247"/>
            <w:shd w:val="clear" w:color="auto" w:fill="F2F4F7"/>
          </w:tcPr>
          <w:p>
            <w:pPr>
              <w:spacing w:after="0" w:line="240" w:lineRule="auto"/>
              <w:jc w:val="right"/>
            </w:pPr>
            <w:r/>
            <w:r>
              <w:rPr>
                <w:sz w:val="17"/>
              </w:rPr>
              <w:t>250,000</w:t>
            </w:r>
          </w:p>
        </w:tc>
        <w:tc>
          <w:tcPr>
            <w:tcW w:type="dxa" w:w="1361"/>
            <w:shd w:val="clear" w:color="auto" w:fill="F2F4F7"/>
          </w:tcPr>
          <w:p>
            <w:pPr>
              <w:spacing w:after="0" w:line="240" w:lineRule="auto"/>
              <w:jc w:val="right"/>
            </w:pPr>
            <w:r/>
            <w:r>
              <w:rPr>
                <w:sz w:val="17"/>
              </w:rPr>
              <w:t>300,938</w:t>
            </w:r>
          </w:p>
        </w:tc>
        <w:tc>
          <w:tcPr>
            <w:tcW w:type="dxa" w:w="1247"/>
            <w:shd w:val="clear" w:color="auto" w:fill="F2F4F7"/>
          </w:tcPr>
          <w:p>
            <w:pPr>
              <w:spacing w:after="0" w:line="240" w:lineRule="auto"/>
              <w:jc w:val="right"/>
            </w:pPr>
            <w:r/>
            <w:r>
              <w:rPr>
                <w:sz w:val="17"/>
              </w:rPr>
              <w:t>360,000</w:t>
            </w:r>
          </w:p>
        </w:tc>
        <w:tc>
          <w:tcPr>
            <w:tcW w:type="dxa" w:w="1361"/>
            <w:shd w:val="clear" w:color="auto" w:fill="F2F4F7"/>
          </w:tcPr>
          <w:p>
            <w:pPr>
              <w:spacing w:after="0" w:line="240" w:lineRule="auto"/>
              <w:jc w:val="right"/>
            </w:pPr>
            <w:r/>
            <w:r>
              <w:rPr>
                <w:sz w:val="17"/>
              </w:rPr>
              <w:t>+44%</w:t>
            </w:r>
          </w:p>
        </w:tc>
        <w:tc>
          <w:tcPr>
            <w:tcW w:type="dxa" w:w="1871"/>
            <w:shd w:val="clear" w:color="auto" w:fill="F2F4F7"/>
          </w:tcPr>
          <w:p>
            <w:pPr>
              <w:spacing w:after="0" w:line="240" w:lineRule="auto"/>
              <w:jc w:val="right"/>
            </w:pPr>
            <w:r/>
            <w:r>
              <w:rPr>
                <w:sz w:val="17"/>
              </w:rPr>
              <w:t>Within the listed range</w:t>
            </w:r>
          </w:p>
        </w:tc>
      </w:tr>
    </w:tbl>
    <w:p>
      <w:pPr>
        <w:spacing w:after="80"/>
      </w:pPr>
    </w:p>
    <w:p>
      <w:r>
        <w:rPr>
          <w:b w:val="0"/>
          <w:i w:val="0"/>
        </w:rPr>
        <w:t>The delivery list is the last list price in each plan and is unchanged to handover. Measured from launch, the blended rise is 43% in Green Square and 48% in L'avenir (weighted by the launch tranches), against the 40% to 60% range Jalour expects. Measured from today's office asking prices, the delivery lists are +77% and +112%, or about 15% and 18% a year if the model timeline starts in December 2026.</w:t>
      </w:r>
    </w:p>
    <w:p>
      <w:r>
        <w:rPr>
          <w:b w:val="0"/>
          <w:i w:val="0"/>
        </w:rPr>
        <w:t>The plans' launch prices for offices are above current Mostakbal City asking prices, and then rise.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the non-disclosure agreement. Counsel should confirm which other rules apply to a private placement of this kind. Resale of contracts is common but developer approval and fees are contractual; no specific rule on developer consent to resale was found.</w:t>
      </w:r>
    </w:p>
    <w:p>
      <w:pPr>
        <w:pStyle w:val="Heading1"/>
        <w:pageBreakBefore/>
      </w:pPr>
      <w:r>
        <w:t>5. Project descriptions</w:t>
      </w:r>
    </w:p>
    <w:p>
      <w:pPr>
        <w:pStyle w:val="Heading2"/>
      </w:pPr>
      <w:r>
        <w:t>5.1 Green Square</w:t>
      </w:r>
    </w:p>
    <w:p>
      <w:pPr>
        <w:keepNext/>
        <w:spacing w:after="60"/>
      </w:pPr>
      <w:r>
        <w:rPr>
          <w:b/>
          <w:color w:val="17324D"/>
          <w:sz w:val="19"/>
        </w:rPr>
        <w:t>Table 6: Green Square: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7</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13 to 48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48</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Retail accounts for 33% of built-up area and offices for 67%. The model sells offices on a sellable area of 10,129 m2, larger than the 8,682 m2 of office built-up area; the area schedule that reconciles the two is provided after the investor signs the non-disclosure agreement and should be required in due diligence.</w:t>
      </w:r>
    </w:p>
    <w:p>
      <w:pPr>
        <w:pStyle w:val="Heading2"/>
      </w:pPr>
      <w:r>
        <w:t>5.2 L'avenir</w:t>
      </w:r>
    </w:p>
    <w:p>
      <w:pPr>
        <w:keepNext/>
        <w:spacing w:after="60"/>
      </w:pPr>
      <w:r>
        <w:rPr>
          <w:b/>
          <w:color w:val="17324D"/>
          <w:sz w:val="19"/>
        </w:rPr>
        <w:t>Table 7: L'avenir: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13</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19 to 54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54</w:t>
            </w:r>
          </w:p>
        </w:tc>
      </w:tr>
      <w:tr>
        <w:trPr>
          <w:cantSplit/>
        </w:trPr>
        <w:tc>
          <w:tcPr>
            <w:tcW w:type="dxa" w:w="3402"/>
          </w:tcPr>
          <w:p>
            <w:pPr>
              <w:spacing w:after="0" w:line="240" w:lineRule="auto"/>
            </w:pPr>
            <w:r/>
            <w:r>
              <w:rPr>
                <w:b/>
                <w:sz w:val="19"/>
              </w:rPr>
              <w:t>Retained by Jalour</w:t>
            </w:r>
          </w:p>
        </w:tc>
        <w:tc>
          <w:tcPr>
            <w:tcW w:type="dxa" w:w="5839"/>
          </w:tcPr>
          <w:p>
            <w:pPr>
              <w:spacing w:after="0" w:line="240" w:lineRule="auto"/>
            </w:pPr>
            <w:r/>
            <w:r>
              <w:rPr>
                <w:sz w:val="19"/>
              </w:rPr>
              <w:t>20% of units (not offered, not in the cash flows)</w:t>
            </w:r>
          </w:p>
        </w:tc>
      </w:tr>
    </w:tbl>
    <w:p>
      <w:pPr>
        <w:spacing w:after="80"/>
      </w:pPr>
    </w:p>
    <w:p>
      <w:r>
        <w:rPr>
          <w:b w:val="0"/>
          <w:i w:val="0"/>
        </w:rPr>
        <w:t>Retail accounts for 33% of built-up area and offices for 67%. The model sells offices on a sellable area of 10,437 m2, larger than the 8,946 m2 of office built-up area; the area schedule that reconciles the two is provided after the investor signs the non-disclosure agreement and should be required in due diligence.</w:t>
      </w:r>
    </w:p>
    <w:p>
      <w:r>
        <w:rPr>
          <w:b w:val="0"/>
          <w:i w:val="0"/>
        </w:rPr>
        <w:t>Jalour is responsible in each project for design, permits and licences, construction to core and shell, project branding, marketing, sales and collection, and for operation, management and maintenance directly or through a facility management company. Permits, licences and title status are listed in the Due Diligence Memorandum [available after the investor signs the non-disclosure agreement].</w:t>
      </w:r>
    </w:p>
    <w:p>
      <w:pPr>
        <w:pStyle w:val="Heading1"/>
        <w:pageBreakBefore/>
      </w:pPr>
      <w:r>
        <w:t>6. The Al Ahly Sabbour agreements and consents</w:t>
      </w:r>
    </w:p>
    <w:p>
      <w:r>
        <w:rPr>
          <w:b w:val="0"/>
          <w:i w:val="0"/>
        </w:rPr>
        <w:t>The following terms are taken from the Jalour financial model and are to be verified against the signed agreements in the data room.</w:t>
      </w:r>
    </w:p>
    <w:p>
      <w:pPr>
        <w:keepNext/>
        <w:spacing w:after="60"/>
      </w:pPr>
      <w:r>
        <w:rPr>
          <w:b/>
          <w:color w:val="17324D"/>
          <w:sz w:val="19"/>
        </w:rPr>
        <w:t>Table 8: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9"/>
              </w:rPr>
              <w:t>Term</w:t>
            </w:r>
          </w:p>
        </w:tc>
        <w:tc>
          <w:tcPr>
            <w:tcW w:type="dxa" w:w="3402"/>
            <w:shd w:val="clear" w:color="auto" w:fill="17324D"/>
          </w:tcPr>
          <w:p>
            <w:pPr>
              <w:spacing w:after="0" w:line="240" w:lineRule="auto"/>
            </w:pPr>
            <w:r/>
            <w:r>
              <w:rPr>
                <w:b/>
                <w:color w:val="FFFFFF"/>
                <w:sz w:val="19"/>
              </w:rPr>
              <w:t>Green Square</w:t>
            </w:r>
          </w:p>
        </w:tc>
        <w:tc>
          <w:tcPr>
            <w:tcW w:type="dxa" w:w="3005"/>
            <w:shd w:val="clear" w:color="auto" w:fill="17324D"/>
          </w:tcPr>
          <w:p>
            <w:pPr>
              <w:spacing w:after="0" w:line="240" w:lineRule="auto"/>
            </w:pPr>
            <w:r/>
            <w:r>
              <w:rPr>
                <w:b/>
                <w:color w:val="FFFFFF"/>
                <w:sz w:val="19"/>
              </w:rPr>
              <w:t>L'avenir</w:t>
            </w:r>
          </w:p>
        </w:tc>
      </w:tr>
      <w:tr>
        <w:trPr>
          <w:cantSplit/>
        </w:trPr>
        <w:tc>
          <w:tcPr>
            <w:tcW w:type="dxa" w:w="2835"/>
          </w:tcPr>
          <w:p>
            <w:pPr>
              <w:spacing w:after="0" w:line="240" w:lineRule="auto"/>
            </w:pPr>
            <w:r/>
            <w:r>
              <w:rPr>
                <w:b/>
                <w:sz w:val="19"/>
              </w:rPr>
              <w:t>Landlord share of collections</w:t>
            </w:r>
          </w:p>
        </w:tc>
        <w:tc>
          <w:tcPr>
            <w:tcW w:type="dxa" w:w="3402"/>
          </w:tcPr>
          <w:p>
            <w:pPr>
              <w:spacing w:after="0" w:line="240" w:lineRule="auto"/>
            </w:pPr>
            <w:r/>
            <w:r>
              <w:rPr>
                <w:sz w:val="19"/>
              </w:rPr>
              <w:t>35%</w:t>
            </w:r>
          </w:p>
        </w:tc>
        <w:tc>
          <w:tcPr>
            <w:tcW w:type="dxa" w:w="3005"/>
          </w:tcPr>
          <w:p>
            <w:pPr>
              <w:spacing w:after="0" w:line="240" w:lineRule="auto"/>
            </w:pPr>
            <w:r/>
            <w:r>
              <w:rPr>
                <w:sz w:val="19"/>
              </w:rPr>
              <w:t>35%</w:t>
            </w:r>
          </w:p>
        </w:tc>
      </w:tr>
      <w:tr>
        <w:trPr>
          <w:cantSplit/>
        </w:trPr>
        <w:tc>
          <w:tcPr>
            <w:tcW w:type="dxa" w:w="2835"/>
            <w:shd w:val="clear" w:color="auto" w:fill="F2F4F7"/>
          </w:tcPr>
          <w:p>
            <w:pPr>
              <w:spacing w:after="0" w:line="240" w:lineRule="auto"/>
            </w:pPr>
            <w:r/>
            <w:r>
              <w:rPr>
                <w:b/>
                <w:sz w:val="19"/>
              </w:rPr>
              <w:t>Developer (Jalour) share</w:t>
            </w:r>
          </w:p>
        </w:tc>
        <w:tc>
          <w:tcPr>
            <w:tcW w:type="dxa" w:w="3402"/>
            <w:shd w:val="clear" w:color="auto" w:fill="F2F4F7"/>
          </w:tcPr>
          <w:p>
            <w:pPr>
              <w:spacing w:after="0" w:line="240" w:lineRule="auto"/>
            </w:pPr>
            <w:r/>
            <w:r>
              <w:rPr>
                <w:sz w:val="19"/>
              </w:rPr>
              <w:t>65%</w:t>
            </w:r>
          </w:p>
        </w:tc>
        <w:tc>
          <w:tcPr>
            <w:tcW w:type="dxa" w:w="3005"/>
            <w:shd w:val="clear" w:color="auto" w:fill="F2F4F7"/>
          </w:tcPr>
          <w:p>
            <w:pPr>
              <w:spacing w:after="0" w:line="240" w:lineRule="auto"/>
            </w:pPr>
            <w:r/>
            <w:r>
              <w:rPr>
                <w:sz w:val="19"/>
              </w:rPr>
              <w:t>65%</w:t>
            </w:r>
          </w:p>
        </w:tc>
      </w:tr>
      <w:tr>
        <w:trPr>
          <w:cantSplit/>
        </w:trPr>
        <w:tc>
          <w:tcPr>
            <w:tcW w:type="dxa" w:w="2835"/>
          </w:tcPr>
          <w:p>
            <w:pPr>
              <w:spacing w:after="0" w:line="240" w:lineRule="auto"/>
            </w:pPr>
            <w:r/>
            <w:r>
              <w:rPr>
                <w:b/>
                <w:sz w:val="19"/>
              </w:rPr>
              <w:t>Minimum guaranteed amount</w:t>
            </w:r>
          </w:p>
        </w:tc>
        <w:tc>
          <w:tcPr>
            <w:tcW w:type="dxa" w:w="3402"/>
          </w:tcPr>
          <w:p>
            <w:pPr>
              <w:spacing w:after="0" w:line="240" w:lineRule="auto"/>
            </w:pPr>
            <w:r/>
            <w:r>
              <w:rPr>
                <w:sz w:val="19"/>
              </w:rPr>
              <w:t>EGP 800 million over six years</w:t>
            </w:r>
          </w:p>
        </w:tc>
        <w:tc>
          <w:tcPr>
            <w:tcW w:type="dxa" w:w="3005"/>
          </w:tcPr>
          <w:p>
            <w:pPr>
              <w:spacing w:after="0" w:line="240" w:lineRule="auto"/>
            </w:pPr>
            <w:r/>
            <w:r>
              <w:rPr>
                <w:sz w:val="19"/>
              </w:rPr>
              <w:t>EGP 850 million over six years</w:t>
            </w:r>
          </w:p>
        </w:tc>
      </w:tr>
      <w:tr>
        <w:trPr>
          <w:cantSplit/>
        </w:trPr>
        <w:tc>
          <w:tcPr>
            <w:tcW w:type="dxa" w:w="2835"/>
            <w:shd w:val="clear" w:color="auto" w:fill="F2F4F7"/>
          </w:tcPr>
          <w:p>
            <w:pPr>
              <w:spacing w:after="0" w:line="240" w:lineRule="auto"/>
            </w:pPr>
            <w:r/>
            <w:r>
              <w:rPr>
                <w:b/>
                <w:sz w:val="19"/>
              </w:rPr>
              <w:t>Down payment</w:t>
            </w:r>
          </w:p>
        </w:tc>
        <w:tc>
          <w:tcPr>
            <w:tcW w:type="dxa" w:w="3402"/>
            <w:shd w:val="clear" w:color="auto" w:fill="F2F4F7"/>
          </w:tcPr>
          <w:p>
            <w:pPr>
              <w:spacing w:after="0" w:line="240" w:lineRule="auto"/>
            </w:pPr>
            <w:r/>
            <w:r>
              <w:rPr>
                <w:sz w:val="19"/>
              </w:rPr>
              <w:t>EGP 80 million</w:t>
            </w:r>
          </w:p>
        </w:tc>
        <w:tc>
          <w:tcPr>
            <w:tcW w:type="dxa" w:w="3005"/>
            <w:shd w:val="clear" w:color="auto" w:fill="F2F4F7"/>
          </w:tcPr>
          <w:p>
            <w:pPr>
              <w:spacing w:after="0" w:line="240" w:lineRule="auto"/>
            </w:pPr>
            <w:r/>
            <w:r>
              <w:rPr>
                <w:sz w:val="19"/>
              </w:rPr>
              <w:t>EGP 85 million</w:t>
            </w:r>
          </w:p>
        </w:tc>
      </w:tr>
      <w:tr>
        <w:trPr>
          <w:cantSplit/>
        </w:trPr>
        <w:tc>
          <w:tcPr>
            <w:tcW w:type="dxa" w:w="2835"/>
          </w:tcPr>
          <w:p>
            <w:pPr>
              <w:spacing w:after="0" w:line="240" w:lineRule="auto"/>
            </w:pPr>
            <w:r/>
            <w:r>
              <w:rPr>
                <w:b/>
                <w:sz w:val="19"/>
              </w:rPr>
              <w:t>Payment rule</w:t>
            </w:r>
          </w:p>
        </w:tc>
        <w:tc>
          <w:tcPr>
            <w:tcW w:type="dxa" w:w="3402"/>
          </w:tcPr>
          <w:p>
            <w:pPr>
              <w:spacing w:after="0" w:line="240" w:lineRule="auto"/>
            </w:pPr>
            <w:r/>
            <w:r>
              <w:rPr>
                <w:sz w:val="19"/>
              </w:rPr>
              <w:t>35% of collections or the guaranteed instalment, whichever is higher</w:t>
            </w:r>
          </w:p>
        </w:tc>
        <w:tc>
          <w:tcPr>
            <w:tcW w:type="dxa" w:w="3005"/>
          </w:tcPr>
          <w:p>
            <w:pPr>
              <w:spacing w:after="0" w:line="240" w:lineRule="auto"/>
            </w:pPr>
            <w:r/>
            <w:r>
              <w:rPr>
                <w:sz w:val="19"/>
              </w:rPr>
              <w:t>Same</w:t>
            </w:r>
          </w:p>
        </w:tc>
      </w:tr>
      <w:tr>
        <w:trPr>
          <w:cantSplit/>
        </w:trPr>
        <w:tc>
          <w:tcPr>
            <w:tcW w:type="dxa" w:w="2835"/>
            <w:shd w:val="clear" w:color="auto" w:fill="F2F4F7"/>
          </w:tcPr>
          <w:p>
            <w:pPr>
              <w:spacing w:after="0" w:line="240" w:lineRule="auto"/>
            </w:pPr>
            <w:r/>
            <w:r>
              <w:rPr>
                <w:b/>
                <w:sz w:val="19"/>
              </w:rPr>
              <w:t>Excess over the guarantee</w:t>
            </w:r>
          </w:p>
        </w:tc>
        <w:tc>
          <w:tcPr>
            <w:tcW w:type="dxa" w:w="3402"/>
            <w:shd w:val="clear" w:color="auto" w:fill="F2F4F7"/>
          </w:tcPr>
          <w:p>
            <w:pPr>
              <w:spacing w:after="0" w:line="240" w:lineRule="auto"/>
            </w:pPr>
            <w:r/>
            <w:r>
              <w:rPr>
                <w:sz w:val="19"/>
              </w:rPr>
              <w:t>Settled from year 8</w:t>
            </w:r>
          </w:p>
        </w:tc>
        <w:tc>
          <w:tcPr>
            <w:tcW w:type="dxa" w:w="3005"/>
            <w:shd w:val="clear" w:color="auto" w:fill="F2F4F7"/>
          </w:tcPr>
          <w:p>
            <w:pPr>
              <w:spacing w:after="0" w:line="240" w:lineRule="auto"/>
            </w:pPr>
            <w:r/>
            <w:r>
              <w:rPr>
                <w:sz w:val="19"/>
              </w:rPr>
              <w:t>Settled from year 8</w:t>
            </w:r>
          </w:p>
        </w:tc>
      </w:tr>
      <w:tr>
        <w:trPr>
          <w:cantSplit/>
        </w:trPr>
        <w:tc>
          <w:tcPr>
            <w:tcW w:type="dxa" w:w="2835"/>
          </w:tcPr>
          <w:p>
            <w:pPr>
              <w:spacing w:after="0" w:line="240" w:lineRule="auto"/>
            </w:pPr>
            <w:r/>
            <w:r>
              <w:rPr>
                <w:b/>
                <w:sz w:val="19"/>
              </w:rPr>
              <w:t>Delivery</w:t>
            </w:r>
          </w:p>
        </w:tc>
        <w:tc>
          <w:tcPr>
            <w:tcW w:type="dxa" w:w="3402"/>
          </w:tcPr>
          <w:p>
            <w:pPr>
              <w:spacing w:after="0" w:line="240" w:lineRule="auto"/>
            </w:pPr>
            <w:r/>
            <w:r>
              <w:rPr>
                <w:sz w:val="19"/>
              </w:rPr>
              <w:t>Month 48</w:t>
            </w:r>
          </w:p>
        </w:tc>
        <w:tc>
          <w:tcPr>
            <w:tcW w:type="dxa" w:w="3005"/>
          </w:tcPr>
          <w:p>
            <w:pPr>
              <w:spacing w:after="0" w:line="240" w:lineRule="auto"/>
            </w:pPr>
            <w:r/>
            <w:r>
              <w:rPr>
                <w:sz w:val="19"/>
              </w:rPr>
              <w:t>Month 54</w:t>
            </w:r>
          </w:p>
        </w:tc>
      </w:tr>
    </w:tbl>
    <w:p>
      <w:pPr>
        <w:spacing w:after="80"/>
      </w:pPr>
    </w:p>
    <w:p>
      <w:pPr>
        <w:keepNext/>
        <w:spacing w:after="60"/>
      </w:pPr>
      <w:r>
        <w:rPr>
          <w:b/>
          <w:color w:val="17324D"/>
          <w:sz w:val="19"/>
        </w:rPr>
        <w:t>Table 9: Minimum guarantee schedules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Green Square</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r>
        <w:trPr>
          <w:cantSplit/>
        </w:trPr>
        <w:tc>
          <w:tcPr>
            <w:tcW w:type="dxa" w:w="1928"/>
            <w:shd w:val="clear" w:color="auto" w:fill="F2F4F7"/>
          </w:tcPr>
          <w:p>
            <w:pPr>
              <w:spacing w:after="0" w:line="240" w:lineRule="auto"/>
            </w:pPr>
            <w:r/>
            <w:r>
              <w:rPr>
                <w:sz w:val="18"/>
              </w:rPr>
              <w:t>L'avenir</w:t>
            </w:r>
          </w:p>
        </w:tc>
        <w:tc>
          <w:tcPr>
            <w:tcW w:type="dxa" w:w="1077"/>
            <w:shd w:val="clear" w:color="auto" w:fill="F2F4F7"/>
          </w:tcPr>
          <w:p>
            <w:pPr>
              <w:spacing w:after="0" w:line="240" w:lineRule="auto"/>
              <w:jc w:val="right"/>
            </w:pPr>
            <w:r/>
            <w:r>
              <w:rPr>
                <w:sz w:val="18"/>
              </w:rPr>
              <w:t>85</w:t>
            </w:r>
          </w:p>
        </w:tc>
        <w:tc>
          <w:tcPr>
            <w:tcW w:type="dxa" w:w="850"/>
            <w:shd w:val="clear" w:color="auto" w:fill="F2F4F7"/>
          </w:tcPr>
          <w:p>
            <w:pPr>
              <w:spacing w:after="0" w:line="240" w:lineRule="auto"/>
              <w:jc w:val="right"/>
            </w:pPr>
            <w:r/>
            <w:r>
              <w:rPr>
                <w:sz w:val="18"/>
              </w:rPr>
              <w:t>0</w:t>
            </w:r>
          </w:p>
        </w:tc>
        <w:tc>
          <w:tcPr>
            <w:tcW w:type="dxa" w:w="850"/>
            <w:shd w:val="clear" w:color="auto" w:fill="F2F4F7"/>
          </w:tcPr>
          <w:p>
            <w:pPr>
              <w:spacing w:after="0" w:line="240" w:lineRule="auto"/>
              <w:jc w:val="right"/>
            </w:pPr>
            <w:r/>
            <w:r>
              <w:rPr>
                <w:sz w:val="18"/>
              </w:rPr>
              <w:t>90</w:t>
            </w:r>
          </w:p>
        </w:tc>
        <w:tc>
          <w:tcPr>
            <w:tcW w:type="dxa" w:w="850"/>
            <w:shd w:val="clear" w:color="auto" w:fill="F2F4F7"/>
          </w:tcPr>
          <w:p>
            <w:pPr>
              <w:spacing w:after="0" w:line="240" w:lineRule="auto"/>
              <w:jc w:val="right"/>
            </w:pPr>
            <w:r/>
            <w:r>
              <w:rPr>
                <w:sz w:val="18"/>
              </w:rPr>
              <w:t>180</w:t>
            </w:r>
          </w:p>
        </w:tc>
        <w:tc>
          <w:tcPr>
            <w:tcW w:type="dxa" w:w="850"/>
            <w:shd w:val="clear" w:color="auto" w:fill="F2F4F7"/>
          </w:tcPr>
          <w:p>
            <w:pPr>
              <w:spacing w:after="0" w:line="240" w:lineRule="auto"/>
              <w:jc w:val="right"/>
            </w:pPr>
            <w:r/>
            <w:r>
              <w:rPr>
                <w:sz w:val="18"/>
              </w:rPr>
              <w:t>225</w:t>
            </w:r>
          </w:p>
        </w:tc>
        <w:tc>
          <w:tcPr>
            <w:tcW w:type="dxa" w:w="850"/>
            <w:shd w:val="clear" w:color="auto" w:fill="F2F4F7"/>
          </w:tcPr>
          <w:p>
            <w:pPr>
              <w:spacing w:after="0" w:line="240" w:lineRule="auto"/>
              <w:jc w:val="right"/>
            </w:pPr>
            <w:r/>
            <w:r>
              <w:rPr>
                <w:sz w:val="18"/>
              </w:rPr>
              <w:t>180</w:t>
            </w:r>
          </w:p>
        </w:tc>
        <w:tc>
          <w:tcPr>
            <w:tcW w:type="dxa" w:w="850"/>
            <w:shd w:val="clear" w:color="auto" w:fill="F2F4F7"/>
          </w:tcPr>
          <w:p>
            <w:pPr>
              <w:spacing w:after="0" w:line="240" w:lineRule="auto"/>
              <w:jc w:val="right"/>
            </w:pPr>
            <w:r/>
            <w:r>
              <w:rPr>
                <w:sz w:val="18"/>
              </w:rPr>
              <w:t>90</w:t>
            </w:r>
          </w:p>
        </w:tc>
        <w:tc>
          <w:tcPr>
            <w:tcW w:type="dxa" w:w="907"/>
            <w:shd w:val="clear" w:color="auto" w:fill="F2F4F7"/>
          </w:tcPr>
          <w:p>
            <w:pPr>
              <w:spacing w:after="0" w:line="240" w:lineRule="auto"/>
              <w:jc w:val="right"/>
            </w:pPr>
            <w:r/>
            <w:r>
              <w:rPr>
                <w:sz w:val="18"/>
              </w:rPr>
              <w:t>850</w:t>
            </w:r>
          </w:p>
        </w:tc>
      </w:tr>
    </w:tbl>
    <w:p>
      <w:pPr>
        <w:spacing w:after="80"/>
      </w:pPr>
    </w:p>
    <w:p>
      <w:r>
        <w:rPr>
          <w:b w:val="0"/>
          <w:i w:val="0"/>
        </w:rPr>
        <w:t>In the plans the landlord receives EGP 986 million (Green Square) and EGP 1,170 million (L'avenir), equal to 35% of the value of all units at modelled prices, including the 20% retained by Jalour. Jalour pays the landlord share on the retained units in cash and keeps those units.</w:t>
      </w:r>
    </w:p>
    <w:p>
      <w:pPr>
        <w:pStyle w:val="Heading2"/>
      </w:pPr>
      <w:r>
        <w:t>6.1 Consents</w:t>
      </w:r>
    </w:p>
    <w:p>
      <w:pPr>
        <w:keepNext/>
      </w:pPr>
      <w:r>
        <w:rPr>
          <w:b w:val="0"/>
          <w:i w:val="0"/>
        </w:rPr>
        <w:t>Al Ahly Sabbour's written consent is required, in each project,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the non-disclosure agreement]. Receipt of consent is a condition precedent to signing.</w:t>
      </w:r>
    </w:p>
    <w:p>
      <w:pPr>
        <w:pStyle w:val="Heading1"/>
      </w:pPr>
      <w:r>
        <w:t>7. Sponsor and management</w:t>
      </w:r>
    </w:p>
    <w:p>
      <w:r>
        <w:rPr>
          <w:b w:val="0"/>
          <w:i w:val="0"/>
        </w:rPr>
        <w:t>Jalour Developments is the real estate arm of Al Jalal Holding, Cairo. In both projects it acts as developer and operator and carries all design, permit, construction, marketing, sales, collection and operating costs.</w:t>
      </w:r>
    </w:p>
    <w:p>
      <w:pPr>
        <w:keepNext/>
        <w:spacing w:after="60"/>
      </w:pPr>
      <w:r>
        <w:rPr>
          <w:b/>
          <w:color w:val="17324D"/>
          <w:sz w:val="19"/>
        </w:rPr>
        <w:t>Table 10: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the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the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the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the non-disclosure agreement]</w:t>
            </w:r>
          </w:p>
        </w:tc>
      </w:tr>
      <w:tr>
        <w:trPr>
          <w:cantSplit/>
        </w:trPr>
        <w:tc>
          <w:tcPr>
            <w:tcW w:type="dxa" w:w="5669"/>
          </w:tcPr>
          <w:p>
            <w:pPr>
              <w:spacing w:after="0" w:line="240" w:lineRule="auto"/>
            </w:pPr>
            <w:r/>
            <w:r>
              <w:rPr>
                <w:sz w:val="19"/>
              </w:rPr>
              <w:t>Contractor and consultant appointments for each project</w:t>
            </w:r>
          </w:p>
        </w:tc>
        <w:tc>
          <w:tcPr>
            <w:tcW w:type="dxa" w:w="3572"/>
          </w:tcPr>
          <w:p>
            <w:pPr>
              <w:spacing w:after="0" w:line="240" w:lineRule="auto"/>
            </w:pPr>
            <w:r/>
            <w:r>
              <w:rPr>
                <w:sz w:val="19"/>
              </w:rPr>
              <w:t>[Provided after the investor signs the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projects, not a guarantee of the investor's return. Jalour's capacity therefore rests on its own cash reserves and on distributions from those other projects, which are subject to those projects' own agreements and progress and are not held for these projects. Jalour's audited accounts and track record are provided after the investor signs the non-disclosure agreement.</w:t>
      </w:r>
    </w:p>
    <w:p>
      <w:pPr>
        <w:pStyle w:val="Heading1"/>
        <w:pageBreakBefore/>
      </w:pPr>
      <w:r>
        <w:t>8. Business plan and assumptions</w:t>
      </w:r>
    </w:p>
    <w:p>
      <w:pPr>
        <w:keepNext/>
        <w:spacing w:after="60"/>
      </w:pPr>
      <w:r>
        <w:rPr>
          <w:b/>
          <w:color w:val="17324D"/>
          <w:sz w:val="19"/>
        </w:rPr>
        <w:t>Table 11: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41"/>
            <w:shd w:val="clear" w:color="auto" w:fill="17324D"/>
          </w:tcPr>
          <w:p>
            <w:pPr>
              <w:spacing w:after="0" w:line="240" w:lineRule="auto"/>
            </w:pPr>
            <w:r/>
            <w:r>
              <w:rPr>
                <w:b/>
                <w:color w:val="FFFFFF"/>
                <w:sz w:val="17"/>
              </w:rPr>
              <w:t>Assumption</w:t>
            </w:r>
          </w:p>
        </w:tc>
        <w:tc>
          <w:tcPr>
            <w:tcW w:type="dxa" w:w="2665"/>
            <w:shd w:val="clear" w:color="auto" w:fill="17324D"/>
          </w:tcPr>
          <w:p>
            <w:pPr>
              <w:spacing w:after="0" w:line="240" w:lineRule="auto"/>
            </w:pPr>
            <w:r/>
            <w:r>
              <w:rPr>
                <w:b/>
                <w:color w:val="FFFFFF"/>
                <w:sz w:val="17"/>
              </w:rPr>
              <w:t>Green Square</w:t>
            </w:r>
          </w:p>
        </w:tc>
        <w:tc>
          <w:tcPr>
            <w:tcW w:type="dxa" w:w="2381"/>
            <w:shd w:val="clear" w:color="auto" w:fill="17324D"/>
          </w:tcPr>
          <w:p>
            <w:pPr>
              <w:spacing w:after="0" w:line="240" w:lineRule="auto"/>
            </w:pPr>
            <w:r/>
            <w:r>
              <w:rPr>
                <w:b/>
                <w:color w:val="FFFFFF"/>
                <w:sz w:val="17"/>
              </w:rPr>
              <w:t>L'avenir</w:t>
            </w:r>
          </w:p>
        </w:tc>
        <w:tc>
          <w:tcPr>
            <w:tcW w:type="dxa" w:w="2154"/>
            <w:shd w:val="clear" w:color="auto" w:fill="17324D"/>
          </w:tcPr>
          <w:p>
            <w:pPr>
              <w:spacing w:after="0" w:line="240" w:lineRule="auto"/>
            </w:pPr>
            <w:r/>
            <w:r>
              <w:rPr>
                <w:b/>
                <w:color w:val="FFFFFF"/>
                <w:sz w:val="17"/>
              </w:rPr>
              <w:t>Basis</w:t>
            </w:r>
          </w:p>
        </w:tc>
      </w:tr>
      <w:tr>
        <w:trPr>
          <w:cantSplit/>
        </w:trPr>
        <w:tc>
          <w:tcPr>
            <w:tcW w:type="dxa" w:w="2041"/>
          </w:tcPr>
          <w:p>
            <w:pPr>
              <w:spacing w:after="0" w:line="240" w:lineRule="auto"/>
            </w:pPr>
            <w:r/>
            <w:r>
              <w:rPr>
                <w:sz w:val="17"/>
              </w:rPr>
              <w:t>Discount rate</w:t>
            </w:r>
          </w:p>
        </w:tc>
        <w:tc>
          <w:tcPr>
            <w:tcW w:type="dxa" w:w="2665"/>
          </w:tcPr>
          <w:p>
            <w:pPr>
              <w:spacing w:after="0" w:line="240" w:lineRule="auto"/>
            </w:pPr>
            <w:r/>
            <w:r>
              <w:rPr>
                <w:sz w:val="17"/>
              </w:rPr>
              <w:t>14% a year</w:t>
            </w:r>
          </w:p>
        </w:tc>
        <w:tc>
          <w:tcPr>
            <w:tcW w:type="dxa" w:w="2381"/>
          </w:tcPr>
          <w:p>
            <w:pPr>
              <w:spacing w:after="0" w:line="240" w:lineRule="auto"/>
            </w:pPr>
            <w:r/>
            <w:r>
              <w:rPr>
                <w:sz w:val="17"/>
              </w:rPr>
              <w:t>14% a year</w:t>
            </w:r>
          </w:p>
        </w:tc>
        <w:tc>
          <w:tcPr>
            <w:tcW w:type="dxa" w:w="2154"/>
          </w:tcPr>
          <w:p>
            <w:pPr>
              <w:spacing w:after="0" w:line="240" w:lineRule="auto"/>
            </w:pPr>
            <w:r/>
            <w:r>
              <w:rPr>
                <w:sz w:val="17"/>
              </w:rPr>
              <w:t>Jalour model (labelled cost of capital)</w:t>
            </w:r>
          </w:p>
        </w:tc>
      </w:tr>
      <w:tr>
        <w:trPr>
          <w:cantSplit/>
        </w:trPr>
        <w:tc>
          <w:tcPr>
            <w:tcW w:type="dxa" w:w="2041"/>
            <w:shd w:val="clear" w:color="auto" w:fill="F2F4F7"/>
          </w:tcPr>
          <w:p>
            <w:pPr>
              <w:spacing w:after="0" w:line="240" w:lineRule="auto"/>
            </w:pPr>
            <w:r/>
            <w:r>
              <w:rPr>
                <w:sz w:val="17"/>
              </w:rPr>
              <w:t>Sales plan</w:t>
            </w:r>
          </w:p>
        </w:tc>
        <w:tc>
          <w:tcPr>
            <w:tcW w:type="dxa" w:w="2665"/>
            <w:shd w:val="clear" w:color="auto" w:fill="F2F4F7"/>
          </w:tcPr>
          <w:p>
            <w:pPr>
              <w:spacing w:after="0" w:line="240" w:lineRule="auto"/>
            </w:pPr>
            <w:r/>
            <w:r>
              <w:rPr>
                <w:sz w:val="17"/>
              </w:rPr>
              <w:t>80% sold; 20% retained</w:t>
            </w:r>
          </w:p>
        </w:tc>
        <w:tc>
          <w:tcPr>
            <w:tcW w:type="dxa" w:w="2381"/>
            <w:shd w:val="clear" w:color="auto" w:fill="F2F4F7"/>
          </w:tcPr>
          <w:p>
            <w:pPr>
              <w:spacing w:after="0" w:line="240" w:lineRule="auto"/>
            </w:pPr>
            <w:r/>
            <w:r>
              <w:rPr>
                <w:sz w:val="17"/>
              </w:rPr>
              <w:t>80% sold; 20% retained</w:t>
            </w:r>
          </w:p>
        </w:tc>
        <w:tc>
          <w:tcPr>
            <w:tcW w:type="dxa" w:w="2154"/>
            <w:shd w:val="clear" w:color="auto" w:fill="F2F4F7"/>
          </w:tcPr>
          <w:p>
            <w:pPr>
              <w:spacing w:after="0" w:line="240" w:lineRule="auto"/>
            </w:pPr>
            <w:r/>
            <w:r>
              <w:rPr>
                <w:sz w:val="17"/>
              </w:rPr>
              <w:t>Jalour model</w:t>
            </w:r>
          </w:p>
        </w:tc>
      </w:tr>
      <w:tr>
        <w:trPr>
          <w:cantSplit/>
        </w:trPr>
        <w:tc>
          <w:tcPr>
            <w:tcW w:type="dxa" w:w="2041"/>
          </w:tcPr>
          <w:p>
            <w:pPr>
              <w:spacing w:after="0" w:line="240" w:lineRule="auto"/>
            </w:pPr>
            <w:r/>
            <w:r>
              <w:rPr>
                <w:sz w:val="17"/>
              </w:rPr>
              <w:t>Sales window</w:t>
            </w:r>
          </w:p>
        </w:tc>
        <w:tc>
          <w:tcPr>
            <w:tcW w:type="dxa" w:w="2665"/>
          </w:tcPr>
          <w:p>
            <w:pPr>
              <w:spacing w:after="0" w:line="240" w:lineRule="auto"/>
            </w:pPr>
            <w:r/>
            <w:r>
              <w:rPr>
                <w:sz w:val="17"/>
              </w:rPr>
              <w:t>Months 7 to 36</w:t>
            </w:r>
          </w:p>
        </w:tc>
        <w:tc>
          <w:tcPr>
            <w:tcW w:type="dxa" w:w="2381"/>
          </w:tcPr>
          <w:p>
            <w:pPr>
              <w:spacing w:after="0" w:line="240" w:lineRule="auto"/>
            </w:pPr>
            <w:r/>
            <w:r>
              <w:rPr>
                <w:sz w:val="17"/>
              </w:rPr>
              <w:t>Months 13 to 48</w:t>
            </w:r>
          </w:p>
        </w:tc>
        <w:tc>
          <w:tcPr>
            <w:tcW w:type="dxa" w:w="2154"/>
          </w:tcPr>
          <w:p>
            <w:pPr>
              <w:spacing w:after="0" w:line="240" w:lineRule="auto"/>
            </w:pPr>
            <w:r/>
            <w:r>
              <w:rPr>
                <w:sz w:val="17"/>
              </w:rPr>
              <w:t>Jalour model</w:t>
            </w:r>
          </w:p>
        </w:tc>
      </w:tr>
      <w:tr>
        <w:trPr>
          <w:cantSplit/>
        </w:trPr>
        <w:tc>
          <w:tcPr>
            <w:tcW w:type="dxa" w:w="2041"/>
            <w:shd w:val="clear" w:color="auto" w:fill="F2F4F7"/>
          </w:tcPr>
          <w:p>
            <w:pPr>
              <w:spacing w:after="0" w:line="240" w:lineRule="auto"/>
            </w:pPr>
            <w:r/>
            <w:r>
              <w:rPr>
                <w:sz w:val="17"/>
              </w:rPr>
              <w:t>Launch list prices (EGP per m2)</w:t>
            </w:r>
          </w:p>
        </w:tc>
        <w:tc>
          <w:tcPr>
            <w:tcW w:type="dxa" w:w="2665"/>
            <w:shd w:val="clear" w:color="auto" w:fill="F2F4F7"/>
          </w:tcPr>
          <w:p>
            <w:pPr>
              <w:spacing w:after="0" w:line="240" w:lineRule="auto"/>
            </w:pPr>
            <w:r/>
            <w:r>
              <w:rPr>
                <w:sz w:val="17"/>
              </w:rPr>
              <w:t>Retail 225,000; offices 135,000</w:t>
            </w:r>
          </w:p>
        </w:tc>
        <w:tc>
          <w:tcPr>
            <w:tcW w:type="dxa" w:w="2381"/>
            <w:shd w:val="clear" w:color="auto" w:fill="F2F4F7"/>
          </w:tcPr>
          <w:p>
            <w:pPr>
              <w:spacing w:after="0" w:line="240" w:lineRule="auto"/>
            </w:pPr>
            <w:r/>
            <w:r>
              <w:rPr>
                <w:sz w:val="17"/>
              </w:rPr>
              <w:t>Retail 250,000; offices 160,000</w:t>
            </w:r>
          </w:p>
        </w:tc>
        <w:tc>
          <w:tcPr>
            <w:tcW w:type="dxa" w:w="2154"/>
            <w:shd w:val="clear" w:color="auto" w:fill="F2F4F7"/>
          </w:tcPr>
          <w:p>
            <w:pPr>
              <w:spacing w:after="0" w:line="240" w:lineRule="auto"/>
            </w:pPr>
            <w:r/>
            <w:r>
              <w:rPr>
                <w:sz w:val="17"/>
              </w:rPr>
              <w:t>Jalour model, first sales column</w:t>
            </w:r>
          </w:p>
        </w:tc>
      </w:tr>
      <w:tr>
        <w:trPr>
          <w:cantSplit/>
        </w:trPr>
        <w:tc>
          <w:tcPr>
            <w:tcW w:type="dxa" w:w="2041"/>
          </w:tcPr>
          <w:p>
            <w:pPr>
              <w:spacing w:after="0" w:line="240" w:lineRule="auto"/>
            </w:pPr>
            <w:r/>
            <w:r>
              <w:rPr>
                <w:sz w:val="17"/>
              </w:rPr>
              <w:t>Delivery list prices (EGP per m2)</w:t>
            </w:r>
          </w:p>
        </w:tc>
        <w:tc>
          <w:tcPr>
            <w:tcW w:type="dxa" w:w="2665"/>
          </w:tcPr>
          <w:p>
            <w:pPr>
              <w:spacing w:after="0" w:line="240" w:lineRule="auto"/>
            </w:pPr>
            <w:r/>
            <w:r>
              <w:rPr>
                <w:sz w:val="17"/>
              </w:rPr>
              <w:t>Retail 300,000; offices 200,000</w:t>
            </w:r>
          </w:p>
        </w:tc>
        <w:tc>
          <w:tcPr>
            <w:tcW w:type="dxa" w:w="2381"/>
          </w:tcPr>
          <w:p>
            <w:pPr>
              <w:spacing w:after="0" w:line="240" w:lineRule="auto"/>
            </w:pPr>
            <w:r/>
            <w:r>
              <w:rPr>
                <w:sz w:val="17"/>
              </w:rPr>
              <w:t>Retail 360,000; offices 240,000</w:t>
            </w:r>
          </w:p>
        </w:tc>
        <w:tc>
          <w:tcPr>
            <w:tcW w:type="dxa" w:w="2154"/>
          </w:tcPr>
          <w:p>
            <w:pPr>
              <w:spacing w:after="0" w:line="240" w:lineRule="auto"/>
            </w:pPr>
            <w:r/>
            <w:r>
              <w:rPr>
                <w:sz w:val="17"/>
              </w:rPr>
              <w:t>Jalour model</w:t>
            </w:r>
          </w:p>
        </w:tc>
      </w:tr>
      <w:tr>
        <w:trPr>
          <w:cantSplit/>
        </w:trPr>
        <w:tc>
          <w:tcPr>
            <w:tcW w:type="dxa" w:w="2041"/>
            <w:shd w:val="clear" w:color="auto" w:fill="F2F4F7"/>
          </w:tcPr>
          <w:p>
            <w:pPr>
              <w:spacing w:after="0" w:line="240" w:lineRule="auto"/>
            </w:pPr>
            <w:r/>
            <w:r>
              <w:rPr>
                <w:sz w:val="17"/>
              </w:rPr>
              <w:t>Payment plans</w:t>
            </w:r>
          </w:p>
        </w:tc>
        <w:tc>
          <w:tcPr>
            <w:tcW w:type="dxa" w:w="2665"/>
            <w:shd w:val="clear" w:color="auto" w:fill="F2F4F7"/>
          </w:tcPr>
          <w:p>
            <w:pPr>
              <w:spacing w:after="0" w:line="240" w:lineRule="auto"/>
            </w:pPr>
            <w:r/>
            <w:r>
              <w:rPr>
                <w:sz w:val="17"/>
              </w:rPr>
              <w:t>Down payment 5% to 20%; second payment after 3 months; instalments 2 to 8 years; delivery payment 20% to 25%</w:t>
            </w:r>
          </w:p>
        </w:tc>
        <w:tc>
          <w:tcPr>
            <w:tcW w:type="dxa" w:w="2381"/>
            <w:shd w:val="clear" w:color="auto" w:fill="F2F4F7"/>
          </w:tcPr>
          <w:p>
            <w:pPr>
              <w:spacing w:after="0" w:line="240" w:lineRule="auto"/>
            </w:pPr>
            <w:r/>
            <w:r>
              <w:rPr>
                <w:sz w:val="17"/>
              </w:rPr>
              <w:t>Same structure</w:t>
            </w:r>
          </w:p>
        </w:tc>
        <w:tc>
          <w:tcPr>
            <w:tcW w:type="dxa" w:w="2154"/>
            <w:shd w:val="clear" w:color="auto" w:fill="F2F4F7"/>
          </w:tcPr>
          <w:p>
            <w:pPr>
              <w:spacing w:after="0" w:line="240" w:lineRule="auto"/>
            </w:pPr>
            <w:r/>
            <w:r>
              <w:rPr>
                <w:sz w:val="17"/>
              </w:rPr>
              <w:t>Jalour model</w:t>
            </w:r>
          </w:p>
        </w:tc>
      </w:tr>
      <w:tr>
        <w:trPr>
          <w:cantSplit/>
        </w:trPr>
        <w:tc>
          <w:tcPr>
            <w:tcW w:type="dxa" w:w="2041"/>
          </w:tcPr>
          <w:p>
            <w:pPr>
              <w:spacing w:after="0" w:line="240" w:lineRule="auto"/>
            </w:pPr>
            <w:r/>
            <w:r>
              <w:rPr>
                <w:sz w:val="17"/>
              </w:rPr>
              <w:t>Construction cost (EGP m)</w:t>
            </w:r>
          </w:p>
        </w:tc>
        <w:tc>
          <w:tcPr>
            <w:tcW w:type="dxa" w:w="2665"/>
          </w:tcPr>
          <w:p>
            <w:pPr>
              <w:spacing w:after="0" w:line="240" w:lineRule="auto"/>
            </w:pPr>
            <w:r/>
            <w:r>
              <w:rPr>
                <w:sz w:val="17"/>
              </w:rPr>
              <w:t>697.2, flat in nominal terms</w:t>
            </w:r>
          </w:p>
        </w:tc>
        <w:tc>
          <w:tcPr>
            <w:tcW w:type="dxa" w:w="2381"/>
          </w:tcPr>
          <w:p>
            <w:pPr>
              <w:spacing w:after="0" w:line="240" w:lineRule="auto"/>
            </w:pPr>
            <w:r/>
            <w:r>
              <w:rPr>
                <w:sz w:val="17"/>
              </w:rPr>
              <w:t>697.2, flat in nominal terms</w:t>
            </w:r>
          </w:p>
        </w:tc>
        <w:tc>
          <w:tcPr>
            <w:tcW w:type="dxa" w:w="2154"/>
          </w:tcPr>
          <w:p>
            <w:pPr>
              <w:spacing w:after="0" w:line="240" w:lineRule="auto"/>
            </w:pPr>
            <w:r/>
            <w:r>
              <w:rPr>
                <w:sz w:val="17"/>
              </w:rPr>
              <w:t>Jalour model</w:t>
            </w:r>
          </w:p>
        </w:tc>
      </w:tr>
      <w:tr>
        <w:trPr>
          <w:cantSplit/>
        </w:trPr>
        <w:tc>
          <w:tcPr>
            <w:tcW w:type="dxa" w:w="2041"/>
            <w:shd w:val="clear" w:color="auto" w:fill="F2F4F7"/>
          </w:tcPr>
          <w:p>
            <w:pPr>
              <w:spacing w:after="0" w:line="240" w:lineRule="auto"/>
            </w:pPr>
            <w:r/>
            <w:r>
              <w:rPr>
                <w:sz w:val="17"/>
              </w:rPr>
              <w:t>Sales commission</w:t>
            </w:r>
          </w:p>
        </w:tc>
        <w:tc>
          <w:tcPr>
            <w:tcW w:type="dxa" w:w="2665"/>
            <w:shd w:val="clear" w:color="auto" w:fill="F2F4F7"/>
          </w:tcPr>
          <w:p>
            <w:pPr>
              <w:spacing w:after="0" w:line="240" w:lineRule="auto"/>
            </w:pPr>
            <w:r/>
            <w:r>
              <w:rPr>
                <w:sz w:val="17"/>
              </w:rPr>
              <w:t>4% of sales value, paid 12 months after the sale quarter</w:t>
            </w:r>
          </w:p>
        </w:tc>
        <w:tc>
          <w:tcPr>
            <w:tcW w:type="dxa" w:w="2381"/>
            <w:shd w:val="clear" w:color="auto" w:fill="F2F4F7"/>
          </w:tcPr>
          <w:p>
            <w:pPr>
              <w:spacing w:after="0" w:line="240" w:lineRule="auto"/>
            </w:pPr>
            <w:r/>
            <w:r>
              <w:rPr>
                <w:sz w:val="17"/>
              </w:rPr>
              <w:t>Same</w:t>
            </w:r>
          </w:p>
        </w:tc>
        <w:tc>
          <w:tcPr>
            <w:tcW w:type="dxa" w:w="2154"/>
            <w:shd w:val="clear" w:color="auto" w:fill="F2F4F7"/>
          </w:tcPr>
          <w:p>
            <w:pPr>
              <w:spacing w:after="0" w:line="240" w:lineRule="auto"/>
            </w:pPr>
            <w:r/>
            <w:r>
              <w:rPr>
                <w:sz w:val="17"/>
              </w:rPr>
              <w:t>Jalour model</w:t>
            </w:r>
          </w:p>
        </w:tc>
      </w:tr>
      <w:tr>
        <w:trPr>
          <w:cantSplit/>
        </w:trPr>
        <w:tc>
          <w:tcPr>
            <w:tcW w:type="dxa" w:w="2041"/>
          </w:tcPr>
          <w:p>
            <w:pPr>
              <w:spacing w:after="0" w:line="240" w:lineRule="auto"/>
            </w:pPr>
            <w:r/>
            <w:r>
              <w:rPr>
                <w:sz w:val="17"/>
              </w:rPr>
              <w:t>SG&amp;A and others</w:t>
            </w:r>
          </w:p>
        </w:tc>
        <w:tc>
          <w:tcPr>
            <w:tcW w:type="dxa" w:w="2665"/>
          </w:tcPr>
          <w:p>
            <w:pPr>
              <w:spacing w:after="0" w:line="240" w:lineRule="auto"/>
            </w:pPr>
            <w:r/>
            <w:r>
              <w:rPr>
                <w:sz w:val="17"/>
              </w:rPr>
              <w:t>15% of construction cost</w:t>
            </w:r>
          </w:p>
        </w:tc>
        <w:tc>
          <w:tcPr>
            <w:tcW w:type="dxa" w:w="2381"/>
          </w:tcPr>
          <w:p>
            <w:pPr>
              <w:spacing w:after="0" w:line="240" w:lineRule="auto"/>
            </w:pPr>
            <w:r/>
            <w:r>
              <w:rPr>
                <w:sz w:val="17"/>
              </w:rPr>
              <w:t>Same</w:t>
            </w:r>
          </w:p>
        </w:tc>
        <w:tc>
          <w:tcPr>
            <w:tcW w:type="dxa" w:w="2154"/>
          </w:tcPr>
          <w:p>
            <w:pPr>
              <w:spacing w:after="0" w:line="240" w:lineRule="auto"/>
            </w:pPr>
            <w:r/>
            <w:r>
              <w:rPr>
                <w:sz w:val="17"/>
              </w:rPr>
              <w:t>Jalour model</w:t>
            </w:r>
          </w:p>
        </w:tc>
      </w:tr>
      <w:tr>
        <w:trPr>
          <w:cantSplit/>
        </w:trPr>
        <w:tc>
          <w:tcPr>
            <w:tcW w:type="dxa" w:w="2041"/>
            <w:shd w:val="clear" w:color="auto" w:fill="F2F4F7"/>
          </w:tcPr>
          <w:p>
            <w:pPr>
              <w:spacing w:after="0" w:line="240" w:lineRule="auto"/>
            </w:pPr>
            <w:r/>
            <w:r>
              <w:rPr>
                <w:sz w:val="17"/>
              </w:rPr>
              <w:t>Investor funding month</w:t>
            </w:r>
          </w:p>
        </w:tc>
        <w:tc>
          <w:tcPr>
            <w:tcW w:type="dxa" w:w="2665"/>
            <w:shd w:val="clear" w:color="auto" w:fill="F2F4F7"/>
          </w:tcPr>
          <w:p>
            <w:pPr>
              <w:spacing w:after="0" w:line="240" w:lineRule="auto"/>
            </w:pPr>
            <w:r/>
            <w:r>
              <w:rPr>
                <w:sz w:val="17"/>
              </w:rPr>
              <w:t>3</w:t>
            </w:r>
          </w:p>
        </w:tc>
        <w:tc>
          <w:tcPr>
            <w:tcW w:type="dxa" w:w="2381"/>
            <w:shd w:val="clear" w:color="auto" w:fill="F2F4F7"/>
          </w:tcPr>
          <w:p>
            <w:pPr>
              <w:spacing w:after="0" w:line="240" w:lineRule="auto"/>
            </w:pPr>
            <w:r/>
            <w:r>
              <w:rPr>
                <w:sz w:val="17"/>
              </w:rPr>
              <w:t>12</w:t>
            </w:r>
          </w:p>
        </w:tc>
        <w:tc>
          <w:tcPr>
            <w:tcW w:type="dxa" w:w="2154"/>
            <w:shd w:val="clear" w:color="auto" w:fill="F2F4F7"/>
          </w:tcPr>
          <w:p>
            <w:pPr>
              <w:spacing w:after="0" w:line="240" w:lineRule="auto"/>
            </w:pPr>
            <w:r/>
            <w:r>
              <w:rPr>
                <w:sz w:val="17"/>
              </w:rPr>
              <w:t>Month the landlord down payment falls due</w:t>
            </w:r>
          </w:p>
        </w:tc>
      </w:tr>
    </w:tbl>
    <w:p>
      <w:pPr>
        <w:spacing w:after="80"/>
      </w:pPr>
    </w:p>
    <w:p>
      <w:r>
        <w:rPr>
          <w:b w:val="0"/>
          <w:i w:val="0"/>
        </w:rPr>
        <w:t>The model is quarterly, in EGP million. Net cash flow equals collections less landlord payments, construction, commission and SG&amp;A. It excludes the retained units, any financing costs and taxes, and any cost escalation.</w:t>
      </w:r>
    </w:p>
    <w:p>
      <w:pPr>
        <w:pStyle w:val="Heading1"/>
        <w:pageBreakBefore/>
      </w:pPr>
      <w:r>
        <w:t>9. Sales and collections model</w:t>
      </w:r>
    </w:p>
    <w:p>
      <w:pPr>
        <w:pStyle w:val="Heading2"/>
      </w:pPr>
      <w:r>
        <w:t>9.1 Green Square</w:t>
      </w:r>
    </w:p>
    <w:p>
      <w:pPr>
        <w:keepNext/>
        <w:spacing w:after="60"/>
      </w:pPr>
      <w:r>
        <w:rPr>
          <w:b/>
          <w:color w:val="17324D"/>
          <w:sz w:val="19"/>
        </w:rPr>
        <w:t>Table 12: Green Square: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7"/>
              </w:rPr>
              <w:t>Quarter of sale</w:t>
            </w:r>
          </w:p>
        </w:tc>
        <w:tc>
          <w:tcPr>
            <w:tcW w:type="dxa" w:w="1701"/>
            <w:shd w:val="clear" w:color="auto" w:fill="17324D"/>
          </w:tcPr>
          <w:p>
            <w:pPr>
              <w:spacing w:after="0" w:line="240" w:lineRule="auto"/>
              <w:jc w:val="right"/>
            </w:pPr>
            <w:r/>
            <w:r>
              <w:rPr>
                <w:b/>
                <w:color w:val="FFFFFF"/>
                <w:sz w:val="17"/>
              </w:rPr>
              <w:t>Retail (EGP m)</w:t>
            </w:r>
          </w:p>
        </w:tc>
        <w:tc>
          <w:tcPr>
            <w:tcW w:type="dxa" w:w="1814"/>
            <w:shd w:val="clear" w:color="auto" w:fill="17324D"/>
          </w:tcPr>
          <w:p>
            <w:pPr>
              <w:spacing w:after="0" w:line="240" w:lineRule="auto"/>
              <w:jc w:val="right"/>
            </w:pPr>
            <w:r/>
            <w:r>
              <w:rPr>
                <w:b/>
                <w:color w:val="FFFFFF"/>
                <w:sz w:val="17"/>
              </w:rPr>
              <w:t>Offices (EGP m)</w:t>
            </w:r>
          </w:p>
        </w:tc>
        <w:tc>
          <w:tcPr>
            <w:tcW w:type="dxa" w:w="1928"/>
            <w:shd w:val="clear" w:color="auto" w:fill="17324D"/>
          </w:tcPr>
          <w:p>
            <w:pPr>
              <w:spacing w:after="0" w:line="240" w:lineRule="auto"/>
              <w:jc w:val="right"/>
            </w:pPr>
            <w:r/>
            <w:r>
              <w:rPr>
                <w:b/>
                <w:color w:val="FFFFFF"/>
                <w:sz w:val="17"/>
              </w:rPr>
              <w:t>Retail price (EGP k/m2)</w:t>
            </w:r>
          </w:p>
        </w:tc>
        <w:tc>
          <w:tcPr>
            <w:tcW w:type="dxa" w:w="1871"/>
            <w:shd w:val="clear" w:color="auto" w:fill="17324D"/>
          </w:tcPr>
          <w:p>
            <w:pPr>
              <w:spacing w:after="0" w:line="240" w:lineRule="auto"/>
              <w:jc w:val="right"/>
            </w:pPr>
            <w:r/>
            <w:r>
              <w:rPr>
                <w:b/>
                <w:color w:val="FFFFFF"/>
                <w:sz w:val="17"/>
              </w:rPr>
              <w:t>Office price (EGP k/m2)</w:t>
            </w:r>
          </w:p>
        </w:tc>
      </w:tr>
      <w:tr>
        <w:trPr>
          <w:cantSplit/>
        </w:trPr>
        <w:tc>
          <w:tcPr>
            <w:tcW w:type="dxa" w:w="1928"/>
          </w:tcPr>
          <w:p>
            <w:pPr>
              <w:spacing w:after="0" w:line="240" w:lineRule="auto"/>
            </w:pPr>
            <w:r/>
            <w:r>
              <w:rPr>
                <w:sz w:val="17"/>
              </w:rPr>
              <w:t>Month 9</w:t>
            </w:r>
          </w:p>
        </w:tc>
        <w:tc>
          <w:tcPr>
            <w:tcW w:type="dxa" w:w="1701"/>
          </w:tcPr>
          <w:p>
            <w:pPr>
              <w:spacing w:after="0" w:line="240" w:lineRule="auto"/>
              <w:jc w:val="right"/>
            </w:pPr>
            <w:r/>
            <w:r>
              <w:rPr>
                <w:sz w:val="17"/>
              </w:rPr>
              <w:t>97.7</w:t>
            </w:r>
          </w:p>
        </w:tc>
        <w:tc>
          <w:tcPr>
            <w:tcW w:type="dxa" w:w="1814"/>
          </w:tcPr>
          <w:p>
            <w:pPr>
              <w:spacing w:after="0" w:line="240" w:lineRule="auto"/>
              <w:jc w:val="right"/>
            </w:pPr>
            <w:r/>
            <w:r>
              <w:rPr>
                <w:sz w:val="17"/>
              </w:rPr>
              <w:t>205.1</w:t>
            </w:r>
          </w:p>
        </w:tc>
        <w:tc>
          <w:tcPr>
            <w:tcW w:type="dxa" w:w="1928"/>
          </w:tcPr>
          <w:p>
            <w:pPr>
              <w:spacing w:after="0" w:line="240" w:lineRule="auto"/>
              <w:jc w:val="right"/>
            </w:pPr>
            <w:r/>
            <w:r>
              <w:rPr>
                <w:sz w:val="17"/>
              </w:rPr>
              <w:t>225</w:t>
            </w:r>
          </w:p>
        </w:tc>
        <w:tc>
          <w:tcPr>
            <w:tcW w:type="dxa" w:w="1871"/>
          </w:tcPr>
          <w:p>
            <w:pPr>
              <w:spacing w:after="0" w:line="240" w:lineRule="auto"/>
              <w:jc w:val="right"/>
            </w:pPr>
            <w:r/>
            <w:r>
              <w:rPr>
                <w:sz w:val="17"/>
              </w:rPr>
              <w:t>135</w:t>
            </w:r>
          </w:p>
        </w:tc>
      </w:tr>
      <w:tr>
        <w:trPr>
          <w:cantSplit/>
        </w:trPr>
        <w:tc>
          <w:tcPr>
            <w:tcW w:type="dxa" w:w="1928"/>
            <w:shd w:val="clear" w:color="auto" w:fill="F2F4F7"/>
          </w:tcPr>
          <w:p>
            <w:pPr>
              <w:spacing w:after="0" w:line="240" w:lineRule="auto"/>
            </w:pPr>
            <w:r/>
            <w:r>
              <w:rPr>
                <w:sz w:val="17"/>
              </w:rPr>
              <w:t>Month 12</w:t>
            </w:r>
          </w:p>
        </w:tc>
        <w:tc>
          <w:tcPr>
            <w:tcW w:type="dxa" w:w="1701"/>
            <w:shd w:val="clear" w:color="auto" w:fill="F2F4F7"/>
          </w:tcPr>
          <w:p>
            <w:pPr>
              <w:spacing w:after="0" w:line="240" w:lineRule="auto"/>
              <w:jc w:val="right"/>
            </w:pPr>
            <w:r/>
            <w:r>
              <w:rPr>
                <w:sz w:val="17"/>
              </w:rPr>
              <w:t>97.7</w:t>
            </w:r>
          </w:p>
        </w:tc>
        <w:tc>
          <w:tcPr>
            <w:tcW w:type="dxa" w:w="1814"/>
            <w:shd w:val="clear" w:color="auto" w:fill="F2F4F7"/>
          </w:tcPr>
          <w:p>
            <w:pPr>
              <w:spacing w:after="0" w:line="240" w:lineRule="auto"/>
              <w:jc w:val="right"/>
            </w:pPr>
            <w:r/>
            <w:r>
              <w:rPr>
                <w:sz w:val="17"/>
              </w:rPr>
              <w:t>205.1</w:t>
            </w:r>
          </w:p>
        </w:tc>
        <w:tc>
          <w:tcPr>
            <w:tcW w:type="dxa" w:w="1928"/>
            <w:shd w:val="clear" w:color="auto" w:fill="F2F4F7"/>
          </w:tcPr>
          <w:p>
            <w:pPr>
              <w:spacing w:after="0" w:line="240" w:lineRule="auto"/>
              <w:jc w:val="right"/>
            </w:pPr>
            <w:r/>
            <w:r>
              <w:rPr>
                <w:sz w:val="17"/>
              </w:rPr>
              <w:t>225</w:t>
            </w:r>
          </w:p>
        </w:tc>
        <w:tc>
          <w:tcPr>
            <w:tcW w:type="dxa" w:w="1871"/>
            <w:shd w:val="clear" w:color="auto" w:fill="F2F4F7"/>
          </w:tcPr>
          <w:p>
            <w:pPr>
              <w:spacing w:after="0" w:line="240" w:lineRule="auto"/>
              <w:jc w:val="right"/>
            </w:pPr>
            <w:r/>
            <w:r>
              <w:rPr>
                <w:sz w:val="17"/>
              </w:rPr>
              <w:t>135</w:t>
            </w:r>
          </w:p>
        </w:tc>
      </w:tr>
      <w:tr>
        <w:trPr>
          <w:cantSplit/>
        </w:trPr>
        <w:tc>
          <w:tcPr>
            <w:tcW w:type="dxa" w:w="1928"/>
          </w:tcPr>
          <w:p>
            <w:pPr>
              <w:spacing w:after="0" w:line="240" w:lineRule="auto"/>
            </w:pPr>
            <w:r/>
            <w:r>
              <w:rPr>
                <w:sz w:val="17"/>
              </w:rPr>
              <w:t>Month 15</w:t>
            </w:r>
          </w:p>
        </w:tc>
        <w:tc>
          <w:tcPr>
            <w:tcW w:type="dxa" w:w="1701"/>
          </w:tcPr>
          <w:p>
            <w:pPr>
              <w:spacing w:after="0" w:line="240" w:lineRule="auto"/>
              <w:jc w:val="right"/>
            </w:pPr>
            <w:r/>
            <w:r>
              <w:rPr>
                <w:sz w:val="17"/>
              </w:rPr>
              <w:t>76.0</w:t>
            </w:r>
          </w:p>
        </w:tc>
        <w:tc>
          <w:tcPr>
            <w:tcW w:type="dxa" w:w="1814"/>
          </w:tcPr>
          <w:p>
            <w:pPr>
              <w:spacing w:after="0" w:line="240" w:lineRule="auto"/>
              <w:jc w:val="right"/>
            </w:pPr>
            <w:r/>
            <w:r>
              <w:rPr>
                <w:sz w:val="17"/>
              </w:rPr>
              <w:t>162.1</w:t>
            </w:r>
          </w:p>
        </w:tc>
        <w:tc>
          <w:tcPr>
            <w:tcW w:type="dxa" w:w="1928"/>
          </w:tcPr>
          <w:p>
            <w:pPr>
              <w:spacing w:after="0" w:line="240" w:lineRule="auto"/>
              <w:jc w:val="right"/>
            </w:pPr>
            <w:r/>
            <w:r>
              <w:rPr>
                <w:sz w:val="17"/>
              </w:rPr>
              <w:t>250</w:t>
            </w:r>
          </w:p>
        </w:tc>
        <w:tc>
          <w:tcPr>
            <w:tcW w:type="dxa" w:w="1871"/>
          </w:tcPr>
          <w:p>
            <w:pPr>
              <w:spacing w:after="0" w:line="240" w:lineRule="auto"/>
              <w:jc w:val="right"/>
            </w:pPr>
            <w:r/>
            <w:r>
              <w:rPr>
                <w:sz w:val="17"/>
              </w:rPr>
              <w:t>160</w:t>
            </w:r>
          </w:p>
        </w:tc>
      </w:tr>
      <w:tr>
        <w:trPr>
          <w:cantSplit/>
        </w:trPr>
        <w:tc>
          <w:tcPr>
            <w:tcW w:type="dxa" w:w="1928"/>
            <w:shd w:val="clear" w:color="auto" w:fill="F2F4F7"/>
          </w:tcPr>
          <w:p>
            <w:pPr>
              <w:spacing w:after="0" w:line="240" w:lineRule="auto"/>
            </w:pPr>
            <w:r/>
            <w:r>
              <w:rPr>
                <w:sz w:val="17"/>
              </w:rPr>
              <w:t>Month 18</w:t>
            </w:r>
          </w:p>
        </w:tc>
        <w:tc>
          <w:tcPr>
            <w:tcW w:type="dxa" w:w="1701"/>
            <w:shd w:val="clear" w:color="auto" w:fill="F2F4F7"/>
          </w:tcPr>
          <w:p>
            <w:pPr>
              <w:spacing w:after="0" w:line="240" w:lineRule="auto"/>
              <w:jc w:val="right"/>
            </w:pPr>
            <w:r/>
            <w:r>
              <w:rPr>
                <w:sz w:val="17"/>
              </w:rPr>
              <w:t>76.0</w:t>
            </w:r>
          </w:p>
        </w:tc>
        <w:tc>
          <w:tcPr>
            <w:tcW w:type="dxa" w:w="1814"/>
            <w:shd w:val="clear" w:color="auto" w:fill="F2F4F7"/>
          </w:tcPr>
          <w:p>
            <w:pPr>
              <w:spacing w:after="0" w:line="240" w:lineRule="auto"/>
              <w:jc w:val="right"/>
            </w:pPr>
            <w:r/>
            <w:r>
              <w:rPr>
                <w:sz w:val="17"/>
              </w:rPr>
              <w:t>162.1</w:t>
            </w:r>
          </w:p>
        </w:tc>
        <w:tc>
          <w:tcPr>
            <w:tcW w:type="dxa" w:w="1928"/>
            <w:shd w:val="clear" w:color="auto" w:fill="F2F4F7"/>
          </w:tcPr>
          <w:p>
            <w:pPr>
              <w:spacing w:after="0" w:line="240" w:lineRule="auto"/>
              <w:jc w:val="right"/>
            </w:pPr>
            <w:r/>
            <w:r>
              <w:rPr>
                <w:sz w:val="17"/>
              </w:rPr>
              <w:t>250</w:t>
            </w:r>
          </w:p>
        </w:tc>
        <w:tc>
          <w:tcPr>
            <w:tcW w:type="dxa" w:w="1871"/>
            <w:shd w:val="clear" w:color="auto" w:fill="F2F4F7"/>
          </w:tcPr>
          <w:p>
            <w:pPr>
              <w:spacing w:after="0" w:line="240" w:lineRule="auto"/>
              <w:jc w:val="right"/>
            </w:pPr>
            <w:r/>
            <w:r>
              <w:rPr>
                <w:sz w:val="17"/>
              </w:rPr>
              <w:t>160</w:t>
            </w:r>
          </w:p>
        </w:tc>
      </w:tr>
      <w:tr>
        <w:trPr>
          <w:cantSplit/>
        </w:trPr>
        <w:tc>
          <w:tcPr>
            <w:tcW w:type="dxa" w:w="1928"/>
          </w:tcPr>
          <w:p>
            <w:pPr>
              <w:spacing w:after="0" w:line="240" w:lineRule="auto"/>
            </w:pPr>
            <w:r/>
            <w:r>
              <w:rPr>
                <w:sz w:val="17"/>
              </w:rPr>
              <w:t>Month 21</w:t>
            </w:r>
          </w:p>
        </w:tc>
        <w:tc>
          <w:tcPr>
            <w:tcW w:type="dxa" w:w="1701"/>
          </w:tcPr>
          <w:p>
            <w:pPr>
              <w:spacing w:after="0" w:line="240" w:lineRule="auto"/>
              <w:jc w:val="right"/>
            </w:pPr>
            <w:r/>
            <w:r>
              <w:rPr>
                <w:sz w:val="17"/>
              </w:rPr>
              <w:t>83.6</w:t>
            </w:r>
          </w:p>
        </w:tc>
        <w:tc>
          <w:tcPr>
            <w:tcW w:type="dxa" w:w="1814"/>
          </w:tcPr>
          <w:p>
            <w:pPr>
              <w:spacing w:after="0" w:line="240" w:lineRule="auto"/>
              <w:jc w:val="right"/>
            </w:pPr>
            <w:r/>
            <w:r>
              <w:rPr>
                <w:sz w:val="17"/>
              </w:rPr>
              <w:t>91.2</w:t>
            </w:r>
          </w:p>
        </w:tc>
        <w:tc>
          <w:tcPr>
            <w:tcW w:type="dxa" w:w="1928"/>
          </w:tcPr>
          <w:p>
            <w:pPr>
              <w:spacing w:after="0" w:line="240" w:lineRule="auto"/>
              <w:jc w:val="right"/>
            </w:pPr>
            <w:r/>
            <w:r>
              <w:rPr>
                <w:sz w:val="17"/>
              </w:rPr>
              <w:t>275</w:t>
            </w:r>
          </w:p>
        </w:tc>
        <w:tc>
          <w:tcPr>
            <w:tcW w:type="dxa" w:w="1871"/>
          </w:tcPr>
          <w:p>
            <w:pPr>
              <w:spacing w:after="0" w:line="240" w:lineRule="auto"/>
              <w:jc w:val="right"/>
            </w:pPr>
            <w:r/>
            <w:r>
              <w:rPr>
                <w:sz w:val="17"/>
              </w:rPr>
              <w:t>180</w:t>
            </w:r>
          </w:p>
        </w:tc>
      </w:tr>
      <w:tr>
        <w:trPr>
          <w:cantSplit/>
        </w:trPr>
        <w:tc>
          <w:tcPr>
            <w:tcW w:type="dxa" w:w="1928"/>
            <w:shd w:val="clear" w:color="auto" w:fill="F2F4F7"/>
          </w:tcPr>
          <w:p>
            <w:pPr>
              <w:spacing w:after="0" w:line="240" w:lineRule="auto"/>
            </w:pPr>
            <w:r/>
            <w:r>
              <w:rPr>
                <w:sz w:val="17"/>
              </w:rPr>
              <w:t>Month 24</w:t>
            </w:r>
          </w:p>
        </w:tc>
        <w:tc>
          <w:tcPr>
            <w:tcW w:type="dxa" w:w="1701"/>
            <w:shd w:val="clear" w:color="auto" w:fill="F2F4F7"/>
          </w:tcPr>
          <w:p>
            <w:pPr>
              <w:spacing w:after="0" w:line="240" w:lineRule="auto"/>
              <w:jc w:val="right"/>
            </w:pPr>
            <w:r/>
            <w:r>
              <w:rPr>
                <w:sz w:val="17"/>
              </w:rPr>
              <w:t>83.6</w:t>
            </w:r>
          </w:p>
        </w:tc>
        <w:tc>
          <w:tcPr>
            <w:tcW w:type="dxa" w:w="1814"/>
            <w:shd w:val="clear" w:color="auto" w:fill="F2F4F7"/>
          </w:tcPr>
          <w:p>
            <w:pPr>
              <w:spacing w:after="0" w:line="240" w:lineRule="auto"/>
              <w:jc w:val="right"/>
            </w:pPr>
            <w:r/>
            <w:r>
              <w:rPr>
                <w:sz w:val="17"/>
              </w:rPr>
              <w:t>91.2</w:t>
            </w:r>
          </w:p>
        </w:tc>
        <w:tc>
          <w:tcPr>
            <w:tcW w:type="dxa" w:w="1928"/>
            <w:shd w:val="clear" w:color="auto" w:fill="F2F4F7"/>
          </w:tcPr>
          <w:p>
            <w:pPr>
              <w:spacing w:after="0" w:line="240" w:lineRule="auto"/>
              <w:jc w:val="right"/>
            </w:pPr>
            <w:r/>
            <w:r>
              <w:rPr>
                <w:sz w:val="17"/>
              </w:rPr>
              <w:t>275</w:t>
            </w:r>
          </w:p>
        </w:tc>
        <w:tc>
          <w:tcPr>
            <w:tcW w:type="dxa" w:w="1871"/>
            <w:shd w:val="clear" w:color="auto" w:fill="F2F4F7"/>
          </w:tcPr>
          <w:p>
            <w:pPr>
              <w:spacing w:after="0" w:line="240" w:lineRule="auto"/>
              <w:jc w:val="right"/>
            </w:pPr>
            <w:r/>
            <w:r>
              <w:rPr>
                <w:sz w:val="17"/>
              </w:rPr>
              <w:t>180</w:t>
            </w:r>
          </w:p>
        </w:tc>
      </w:tr>
      <w:tr>
        <w:trPr>
          <w:cantSplit/>
        </w:trPr>
        <w:tc>
          <w:tcPr>
            <w:tcW w:type="dxa" w:w="1928"/>
          </w:tcPr>
          <w:p>
            <w:pPr>
              <w:spacing w:after="0" w:line="240" w:lineRule="auto"/>
            </w:pPr>
            <w:r/>
            <w:r>
              <w:rPr>
                <w:sz w:val="17"/>
              </w:rPr>
              <w:t>Month 27</w:t>
            </w:r>
          </w:p>
        </w:tc>
        <w:tc>
          <w:tcPr>
            <w:tcW w:type="dxa" w:w="1701"/>
          </w:tcPr>
          <w:p>
            <w:pPr>
              <w:spacing w:after="0" w:line="240" w:lineRule="auto"/>
              <w:jc w:val="right"/>
            </w:pPr>
            <w:r/>
            <w:r>
              <w:rPr>
                <w:sz w:val="17"/>
              </w:rPr>
              <w:t>91.2</w:t>
            </w:r>
          </w:p>
        </w:tc>
        <w:tc>
          <w:tcPr>
            <w:tcW w:type="dxa" w:w="1814"/>
          </w:tcPr>
          <w:p>
            <w:pPr>
              <w:spacing w:after="0" w:line="240" w:lineRule="auto"/>
              <w:jc w:val="right"/>
            </w:pPr>
            <w:r/>
            <w:r>
              <w:rPr>
                <w:sz w:val="17"/>
              </w:rPr>
              <w:t>101.3</w:t>
            </w:r>
          </w:p>
        </w:tc>
        <w:tc>
          <w:tcPr>
            <w:tcW w:type="dxa" w:w="1928"/>
          </w:tcPr>
          <w:p>
            <w:pPr>
              <w:spacing w:after="0" w:line="240" w:lineRule="auto"/>
              <w:jc w:val="right"/>
            </w:pPr>
            <w:r/>
            <w:r>
              <w:rPr>
                <w:sz w:val="17"/>
              </w:rPr>
              <w:t>300</w:t>
            </w:r>
          </w:p>
        </w:tc>
        <w:tc>
          <w:tcPr>
            <w:tcW w:type="dxa" w:w="1871"/>
          </w:tcPr>
          <w:p>
            <w:pPr>
              <w:spacing w:after="0" w:line="240" w:lineRule="auto"/>
              <w:jc w:val="right"/>
            </w:pPr>
            <w:r/>
            <w:r>
              <w:rPr>
                <w:sz w:val="17"/>
              </w:rPr>
              <w:t>200</w:t>
            </w:r>
          </w:p>
        </w:tc>
      </w:tr>
      <w:tr>
        <w:trPr>
          <w:cantSplit/>
        </w:trPr>
        <w:tc>
          <w:tcPr>
            <w:tcW w:type="dxa" w:w="1928"/>
            <w:shd w:val="clear" w:color="auto" w:fill="F2F4F7"/>
          </w:tcPr>
          <w:p>
            <w:pPr>
              <w:spacing w:after="0" w:line="240" w:lineRule="auto"/>
            </w:pPr>
            <w:r/>
            <w:r>
              <w:rPr>
                <w:sz w:val="17"/>
              </w:rPr>
              <w:t>Month 30</w:t>
            </w:r>
          </w:p>
        </w:tc>
        <w:tc>
          <w:tcPr>
            <w:tcW w:type="dxa" w:w="1701"/>
            <w:shd w:val="clear" w:color="auto" w:fill="F2F4F7"/>
          </w:tcPr>
          <w:p>
            <w:pPr>
              <w:spacing w:after="0" w:line="240" w:lineRule="auto"/>
              <w:jc w:val="right"/>
            </w:pPr>
            <w:r/>
            <w:r>
              <w:rPr>
                <w:sz w:val="17"/>
              </w:rPr>
              <w:t>130.2</w:t>
            </w:r>
          </w:p>
        </w:tc>
        <w:tc>
          <w:tcPr>
            <w:tcW w:type="dxa" w:w="1814"/>
            <w:shd w:val="clear" w:color="auto" w:fill="F2F4F7"/>
          </w:tcPr>
          <w:p>
            <w:pPr>
              <w:spacing w:after="0" w:line="240" w:lineRule="auto"/>
              <w:jc w:val="right"/>
            </w:pPr>
            <w:r/>
            <w:r>
              <w:rPr>
                <w:sz w:val="17"/>
              </w:rPr>
              <w:t>101.3</w:t>
            </w:r>
          </w:p>
        </w:tc>
        <w:tc>
          <w:tcPr>
            <w:tcW w:type="dxa" w:w="1928"/>
            <w:shd w:val="clear" w:color="auto" w:fill="F2F4F7"/>
          </w:tcPr>
          <w:p>
            <w:pPr>
              <w:spacing w:after="0" w:line="240" w:lineRule="auto"/>
              <w:jc w:val="right"/>
            </w:pPr>
            <w:r/>
            <w:r>
              <w:rPr>
                <w:sz w:val="17"/>
              </w:rPr>
              <w:t>300</w:t>
            </w:r>
          </w:p>
        </w:tc>
        <w:tc>
          <w:tcPr>
            <w:tcW w:type="dxa" w:w="1871"/>
            <w:shd w:val="clear" w:color="auto" w:fill="F2F4F7"/>
          </w:tcPr>
          <w:p>
            <w:pPr>
              <w:spacing w:after="0" w:line="240" w:lineRule="auto"/>
              <w:jc w:val="right"/>
            </w:pPr>
            <w:r/>
            <w:r>
              <w:rPr>
                <w:sz w:val="17"/>
              </w:rPr>
              <w:t>200</w:t>
            </w:r>
          </w:p>
        </w:tc>
      </w:tr>
      <w:tr>
        <w:trPr>
          <w:cantSplit/>
        </w:trPr>
        <w:tc>
          <w:tcPr>
            <w:tcW w:type="dxa" w:w="1928"/>
          </w:tcPr>
          <w:p>
            <w:pPr>
              <w:spacing w:after="0" w:line="240" w:lineRule="auto"/>
            </w:pPr>
            <w:r/>
            <w:r>
              <w:rPr>
                <w:sz w:val="17"/>
              </w:rPr>
              <w:t>Month 33</w:t>
            </w:r>
          </w:p>
        </w:tc>
        <w:tc>
          <w:tcPr>
            <w:tcW w:type="dxa" w:w="1701"/>
          </w:tcPr>
          <w:p>
            <w:pPr>
              <w:spacing w:after="0" w:line="240" w:lineRule="auto"/>
              <w:jc w:val="right"/>
            </w:pPr>
            <w:r/>
            <w:r>
              <w:rPr>
                <w:sz w:val="17"/>
              </w:rPr>
              <w:t>130.2</w:t>
            </w:r>
          </w:p>
        </w:tc>
        <w:tc>
          <w:tcPr>
            <w:tcW w:type="dxa" w:w="1814"/>
          </w:tcPr>
          <w:p>
            <w:pPr>
              <w:spacing w:after="0" w:line="240" w:lineRule="auto"/>
              <w:jc w:val="right"/>
            </w:pPr>
            <w:r/>
            <w:r>
              <w:rPr>
                <w:sz w:val="17"/>
              </w:rPr>
              <w:t>101.3</w:t>
            </w:r>
          </w:p>
        </w:tc>
        <w:tc>
          <w:tcPr>
            <w:tcW w:type="dxa" w:w="1928"/>
          </w:tcPr>
          <w:p>
            <w:pPr>
              <w:spacing w:after="0" w:line="240" w:lineRule="auto"/>
              <w:jc w:val="right"/>
            </w:pPr>
            <w:r/>
            <w:r>
              <w:rPr>
                <w:sz w:val="17"/>
              </w:rPr>
              <w:t>300</w:t>
            </w:r>
          </w:p>
        </w:tc>
        <w:tc>
          <w:tcPr>
            <w:tcW w:type="dxa" w:w="1871"/>
          </w:tcPr>
          <w:p>
            <w:pPr>
              <w:spacing w:after="0" w:line="240" w:lineRule="auto"/>
              <w:jc w:val="right"/>
            </w:pPr>
            <w:r/>
            <w:r>
              <w:rPr>
                <w:sz w:val="17"/>
              </w:rPr>
              <w:t>200</w:t>
            </w:r>
          </w:p>
        </w:tc>
      </w:tr>
      <w:tr>
        <w:trPr>
          <w:cantSplit/>
        </w:trPr>
        <w:tc>
          <w:tcPr>
            <w:tcW w:type="dxa" w:w="1928"/>
            <w:shd w:val="clear" w:color="auto" w:fill="F2F4F7"/>
          </w:tcPr>
          <w:p>
            <w:pPr>
              <w:spacing w:after="0" w:line="240" w:lineRule="auto"/>
            </w:pPr>
            <w:r/>
            <w:r>
              <w:rPr>
                <w:sz w:val="17"/>
              </w:rPr>
              <w:t>Month 36</w:t>
            </w:r>
          </w:p>
        </w:tc>
        <w:tc>
          <w:tcPr>
            <w:tcW w:type="dxa" w:w="1701"/>
            <w:shd w:val="clear" w:color="auto" w:fill="F2F4F7"/>
          </w:tcPr>
          <w:p>
            <w:pPr>
              <w:spacing w:after="0" w:line="240" w:lineRule="auto"/>
              <w:jc w:val="right"/>
            </w:pPr>
            <w:r/>
            <w:r>
              <w:rPr>
                <w:sz w:val="17"/>
              </w:rPr>
              <w:t>65.1</w:t>
            </w:r>
          </w:p>
        </w:tc>
        <w:tc>
          <w:tcPr>
            <w:tcW w:type="dxa" w:w="1814"/>
            <w:shd w:val="clear" w:color="auto" w:fill="F2F4F7"/>
          </w:tcPr>
          <w:p>
            <w:pPr>
              <w:spacing w:after="0" w:line="240" w:lineRule="auto"/>
              <w:jc w:val="right"/>
            </w:pPr>
            <w:r/>
            <w:r>
              <w:rPr>
                <w:sz w:val="17"/>
              </w:rPr>
              <w:t>101.3</w:t>
            </w:r>
          </w:p>
        </w:tc>
        <w:tc>
          <w:tcPr>
            <w:tcW w:type="dxa" w:w="1928"/>
            <w:shd w:val="clear" w:color="auto" w:fill="F2F4F7"/>
          </w:tcPr>
          <w:p>
            <w:pPr>
              <w:spacing w:after="0" w:line="240" w:lineRule="auto"/>
              <w:jc w:val="right"/>
            </w:pPr>
            <w:r/>
            <w:r>
              <w:rPr>
                <w:sz w:val="17"/>
              </w:rPr>
              <w:t>300</w:t>
            </w:r>
          </w:p>
        </w:tc>
        <w:tc>
          <w:tcPr>
            <w:tcW w:type="dxa" w:w="1871"/>
            <w:shd w:val="clear" w:color="auto" w:fill="F2F4F7"/>
          </w:tcPr>
          <w:p>
            <w:pPr>
              <w:spacing w:after="0" w:line="240" w:lineRule="auto"/>
              <w:jc w:val="right"/>
            </w:pPr>
            <w:r/>
            <w:r>
              <w:rPr>
                <w:sz w:val="17"/>
              </w:rPr>
              <w:t>200</w:t>
            </w:r>
          </w:p>
        </w:tc>
      </w:tr>
      <w:tr>
        <w:trPr>
          <w:cantSplit/>
        </w:trPr>
        <w:tc>
          <w:tcPr>
            <w:tcW w:type="dxa" w:w="1928"/>
          </w:tcPr>
          <w:p>
            <w:pPr>
              <w:spacing w:after="0" w:line="240" w:lineRule="auto"/>
            </w:pPr>
            <w:r/>
            <w:r>
              <w:rPr>
                <w:b/>
                <w:sz w:val="17"/>
              </w:rPr>
              <w:t>Total</w:t>
            </w:r>
          </w:p>
        </w:tc>
        <w:tc>
          <w:tcPr>
            <w:tcW w:type="dxa" w:w="1701"/>
          </w:tcPr>
          <w:p>
            <w:pPr>
              <w:spacing w:after="0" w:line="240" w:lineRule="auto"/>
              <w:jc w:val="right"/>
            </w:pPr>
            <w:r/>
            <w:r>
              <w:rPr>
                <w:b/>
                <w:sz w:val="17"/>
              </w:rPr>
              <w:t>931.1</w:t>
            </w:r>
          </w:p>
        </w:tc>
        <w:tc>
          <w:tcPr>
            <w:tcW w:type="dxa" w:w="1814"/>
          </w:tcPr>
          <w:p>
            <w:pPr>
              <w:spacing w:after="0" w:line="240" w:lineRule="auto"/>
              <w:jc w:val="right"/>
            </w:pPr>
            <w:r/>
            <w:r>
              <w:rPr>
                <w:b/>
                <w:sz w:val="17"/>
              </w:rPr>
              <w:t>1,321.8</w:t>
            </w:r>
          </w:p>
        </w:tc>
        <w:tc>
          <w:tcPr>
            <w:tcW w:type="dxa" w:w="1928"/>
          </w:tcPr>
          <w:p>
            <w:pPr>
              <w:spacing w:after="0" w:line="240" w:lineRule="auto"/>
              <w:jc w:val="right"/>
            </w:pPr>
            <w:r/>
            <w:r>
              <w:rPr>
                <w:b/>
                <w:sz w:val="17"/>
              </w:rPr>
            </w:r>
          </w:p>
        </w:tc>
        <w:tc>
          <w:tcPr>
            <w:tcW w:type="dxa" w:w="1871"/>
          </w:tcPr>
          <w:p>
            <w:pPr>
              <w:spacing w:after="0" w:line="240" w:lineRule="auto"/>
              <w:jc w:val="right"/>
            </w:pPr>
            <w:r/>
            <w:r>
              <w:rPr>
                <w:b/>
                <w:sz w:val="17"/>
              </w:rPr>
            </w:r>
          </w:p>
        </w:tc>
      </w:tr>
    </w:tbl>
    <w:p>
      <w:pPr>
        <w:spacing w:after="80"/>
      </w:pPr>
    </w:p>
    <w:p>
      <w:r>
        <w:rPr>
          <w:b w:val="0"/>
          <w:i w:val="0"/>
        </w:rPr>
        <w:t>Total sales at 100% of units are EGP 2,816 million at modelled prices; the plan sells 80%, EGP 2,253 million. The first two tranches (months 9 and 12) carry the launch list and total EGP 606 million; Option A units come from these.</w:t>
      </w:r>
    </w:p>
    <w:p>
      <w:pPr>
        <w:keepNext/>
        <w:spacing w:after="60"/>
      </w:pPr>
      <w:r>
        <w:rPr>
          <w:b/>
          <w:color w:val="17324D"/>
          <w:sz w:val="19"/>
        </w:rPr>
        <w:t>Table 13: Green Square: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7"/>
              </w:rPr>
              <w:t>Project year</w:t>
            </w:r>
          </w:p>
        </w:tc>
        <w:tc>
          <w:tcPr>
            <w:tcW w:type="dxa" w:w="1417"/>
            <w:shd w:val="clear" w:color="auto" w:fill="17324D"/>
          </w:tcPr>
          <w:p>
            <w:pPr>
              <w:spacing w:after="0" w:line="240" w:lineRule="auto"/>
              <w:jc w:val="right"/>
            </w:pPr>
            <w:r/>
            <w:r>
              <w:rPr>
                <w:b/>
                <w:color w:val="FFFFFF"/>
                <w:sz w:val="17"/>
              </w:rPr>
              <w:t>Collections</w:t>
            </w:r>
          </w:p>
        </w:tc>
        <w:tc>
          <w:tcPr>
            <w:tcW w:type="dxa" w:w="1644"/>
            <w:shd w:val="clear" w:color="auto" w:fill="17324D"/>
          </w:tcPr>
          <w:p>
            <w:pPr>
              <w:spacing w:after="0" w:line="240" w:lineRule="auto"/>
              <w:jc w:val="right"/>
            </w:pPr>
            <w:r/>
            <w:r>
              <w:rPr>
                <w:b/>
                <w:color w:val="FFFFFF"/>
                <w:sz w:val="17"/>
              </w:rPr>
              <w:t>Landlord payments</w:t>
            </w:r>
          </w:p>
        </w:tc>
        <w:tc>
          <w:tcPr>
            <w:tcW w:type="dxa" w:w="2041"/>
            <w:shd w:val="clear" w:color="auto" w:fill="17324D"/>
          </w:tcPr>
          <w:p>
            <w:pPr>
              <w:spacing w:after="0" w:line="240" w:lineRule="auto"/>
              <w:jc w:val="right"/>
            </w:pPr>
            <w:r/>
            <w:r>
              <w:rPr>
                <w:b/>
                <w:color w:val="FFFFFF"/>
                <w:sz w:val="17"/>
              </w:rPr>
              <w:t>Construction, commission, SG&amp;A</w:t>
            </w:r>
          </w:p>
        </w:tc>
        <w:tc>
          <w:tcPr>
            <w:tcW w:type="dxa" w:w="1417"/>
            <w:shd w:val="clear" w:color="auto" w:fill="17324D"/>
          </w:tcPr>
          <w:p>
            <w:pPr>
              <w:spacing w:after="0" w:line="240" w:lineRule="auto"/>
              <w:jc w:val="right"/>
            </w:pPr>
            <w:r/>
            <w:r>
              <w:rPr>
                <w:b/>
                <w:color w:val="FFFFFF"/>
                <w:sz w:val="17"/>
              </w:rPr>
              <w:t>Net cash flow</w:t>
            </w:r>
          </w:p>
        </w:tc>
        <w:tc>
          <w:tcPr>
            <w:tcW w:type="dxa" w:w="1361"/>
            <w:shd w:val="clear" w:color="auto" w:fill="17324D"/>
          </w:tcPr>
          <w:p>
            <w:pPr>
              <w:spacing w:after="0" w:line="240" w:lineRule="auto"/>
              <w:jc w:val="right"/>
            </w:pPr>
            <w:r/>
            <w:r>
              <w:rPr>
                <w:b/>
                <w:color w:val="FFFFFF"/>
                <w:sz w:val="17"/>
              </w:rPr>
              <w:t>Cumulative</w:t>
            </w:r>
          </w:p>
        </w:tc>
      </w:tr>
      <w:tr>
        <w:trPr>
          <w:cantSplit/>
        </w:trPr>
        <w:tc>
          <w:tcPr>
            <w:tcW w:type="dxa" w:w="1361"/>
          </w:tcPr>
          <w:p>
            <w:pPr>
              <w:spacing w:after="0" w:line="240" w:lineRule="auto"/>
            </w:pPr>
            <w:r/>
            <w:r>
              <w:rPr>
                <w:sz w:val="17"/>
              </w:rPr>
              <w:t>Year 1</w:t>
            </w:r>
          </w:p>
        </w:tc>
        <w:tc>
          <w:tcPr>
            <w:tcW w:type="dxa" w:w="1417"/>
          </w:tcPr>
          <w:p>
            <w:pPr>
              <w:spacing w:after="0" w:line="240" w:lineRule="auto"/>
              <w:jc w:val="right"/>
            </w:pPr>
            <w:r/>
            <w:r>
              <w:rPr>
                <w:sz w:val="17"/>
              </w:rPr>
              <w:t>45.4</w:t>
            </w:r>
          </w:p>
        </w:tc>
        <w:tc>
          <w:tcPr>
            <w:tcW w:type="dxa" w:w="1644"/>
          </w:tcPr>
          <w:p>
            <w:pPr>
              <w:spacing w:after="0" w:line="240" w:lineRule="auto"/>
              <w:jc w:val="right"/>
            </w:pPr>
            <w:r/>
            <w:r>
              <w:rPr>
                <w:sz w:val="17"/>
              </w:rPr>
              <w:t>-125.0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-79.6</w:t>
            </w:r>
          </w:p>
        </w:tc>
        <w:tc>
          <w:tcPr>
            <w:tcW w:type="dxa" w:w="1361"/>
          </w:tcPr>
          <w:p>
            <w:pPr>
              <w:spacing w:after="0" w:line="240" w:lineRule="auto"/>
              <w:jc w:val="right"/>
            </w:pPr>
            <w:r/>
            <w:r>
              <w:rPr>
                <w:sz w:val="17"/>
              </w:rPr>
              <w:t>-79.6</w:t>
            </w:r>
          </w:p>
        </w:tc>
      </w:tr>
      <w:tr>
        <w:trPr>
          <w:cantSplit/>
        </w:trPr>
        <w:tc>
          <w:tcPr>
            <w:tcW w:type="dxa" w:w="1361"/>
            <w:shd w:val="clear" w:color="auto" w:fill="F2F4F7"/>
          </w:tcPr>
          <w:p>
            <w:pPr>
              <w:spacing w:after="0" w:line="240" w:lineRule="auto"/>
            </w:pPr>
            <w:r/>
            <w:r>
              <w:rPr>
                <w:sz w:val="17"/>
              </w:rPr>
              <w:t>Year 2</w:t>
            </w:r>
          </w:p>
        </w:tc>
        <w:tc>
          <w:tcPr>
            <w:tcW w:type="dxa" w:w="1417"/>
            <w:shd w:val="clear" w:color="auto" w:fill="F2F4F7"/>
          </w:tcPr>
          <w:p>
            <w:pPr>
              <w:spacing w:after="0" w:line="240" w:lineRule="auto"/>
              <w:jc w:val="right"/>
            </w:pPr>
            <w:r/>
            <w:r>
              <w:rPr>
                <w:sz w:val="17"/>
              </w:rPr>
              <w:t>235.1</w:t>
            </w:r>
          </w:p>
        </w:tc>
        <w:tc>
          <w:tcPr>
            <w:tcW w:type="dxa" w:w="1644"/>
            <w:shd w:val="clear" w:color="auto" w:fill="F2F4F7"/>
          </w:tcPr>
          <w:p>
            <w:pPr>
              <w:spacing w:after="0" w:line="240" w:lineRule="auto"/>
              <w:jc w:val="right"/>
            </w:pPr>
            <w:r/>
            <w:r>
              <w:rPr>
                <w:sz w:val="17"/>
              </w:rPr>
              <w:t>-90.0</w:t>
            </w:r>
          </w:p>
        </w:tc>
        <w:tc>
          <w:tcPr>
            <w:tcW w:type="dxa" w:w="2041"/>
            <w:shd w:val="clear" w:color="auto" w:fill="F2F4F7"/>
          </w:tcPr>
          <w:p>
            <w:pPr>
              <w:spacing w:after="0" w:line="240" w:lineRule="auto"/>
              <w:jc w:val="right"/>
            </w:pPr>
            <w:r/>
            <w:r>
              <w:rPr>
                <w:sz w:val="17"/>
              </w:rPr>
              <w:t>-153.9</w:t>
            </w:r>
          </w:p>
        </w:tc>
        <w:tc>
          <w:tcPr>
            <w:tcW w:type="dxa" w:w="1417"/>
            <w:shd w:val="clear" w:color="auto" w:fill="F2F4F7"/>
          </w:tcPr>
          <w:p>
            <w:pPr>
              <w:spacing w:after="0" w:line="240" w:lineRule="auto"/>
              <w:jc w:val="right"/>
            </w:pPr>
            <w:r/>
            <w:r>
              <w:rPr>
                <w:sz w:val="17"/>
              </w:rPr>
              <w:t>-8.8</w:t>
            </w:r>
          </w:p>
        </w:tc>
        <w:tc>
          <w:tcPr>
            <w:tcW w:type="dxa" w:w="1361"/>
            <w:shd w:val="clear" w:color="auto" w:fill="F2F4F7"/>
          </w:tcPr>
          <w:p>
            <w:pPr>
              <w:spacing w:after="0" w:line="240" w:lineRule="auto"/>
              <w:jc w:val="right"/>
            </w:pPr>
            <w:r/>
            <w:r>
              <w:rPr>
                <w:sz w:val="17"/>
              </w:rPr>
              <w:t>-88.4</w:t>
            </w:r>
          </w:p>
        </w:tc>
      </w:tr>
      <w:tr>
        <w:trPr>
          <w:cantSplit/>
        </w:trPr>
        <w:tc>
          <w:tcPr>
            <w:tcW w:type="dxa" w:w="1361"/>
          </w:tcPr>
          <w:p>
            <w:pPr>
              <w:spacing w:after="0" w:line="240" w:lineRule="auto"/>
            </w:pPr>
            <w:r/>
            <w:r>
              <w:rPr>
                <w:sz w:val="17"/>
              </w:rPr>
              <w:t>Year 3</w:t>
            </w:r>
          </w:p>
        </w:tc>
        <w:tc>
          <w:tcPr>
            <w:tcW w:type="dxa" w:w="1417"/>
          </w:tcPr>
          <w:p>
            <w:pPr>
              <w:spacing w:after="0" w:line="240" w:lineRule="auto"/>
              <w:jc w:val="right"/>
            </w:pPr>
            <w:r/>
            <w:r>
              <w:rPr>
                <w:sz w:val="17"/>
              </w:rPr>
              <w:t>937.7</w:t>
            </w:r>
          </w:p>
        </w:tc>
        <w:tc>
          <w:tcPr>
            <w:tcW w:type="dxa" w:w="1644"/>
          </w:tcPr>
          <w:p>
            <w:pPr>
              <w:spacing w:after="0" w:line="240" w:lineRule="auto"/>
              <w:jc w:val="right"/>
            </w:pPr>
            <w:r/>
            <w:r>
              <w:rPr>
                <w:sz w:val="17"/>
              </w:rPr>
              <w:t>-135.0</w:t>
            </w:r>
          </w:p>
        </w:tc>
        <w:tc>
          <w:tcPr>
            <w:tcW w:type="dxa" w:w="2041"/>
          </w:tcPr>
          <w:p>
            <w:pPr>
              <w:spacing w:after="0" w:line="240" w:lineRule="auto"/>
              <w:jc w:val="right"/>
            </w:pPr>
            <w:r/>
            <w:r>
              <w:rPr>
                <w:sz w:val="17"/>
              </w:rPr>
              <w:t>-105.9</w:t>
            </w:r>
          </w:p>
        </w:tc>
        <w:tc>
          <w:tcPr>
            <w:tcW w:type="dxa" w:w="1417"/>
          </w:tcPr>
          <w:p>
            <w:pPr>
              <w:spacing w:after="0" w:line="240" w:lineRule="auto"/>
              <w:jc w:val="right"/>
            </w:pPr>
            <w:r/>
            <w:r>
              <w:rPr>
                <w:sz w:val="17"/>
              </w:rPr>
              <w:t>696.8</w:t>
            </w:r>
          </w:p>
        </w:tc>
        <w:tc>
          <w:tcPr>
            <w:tcW w:type="dxa" w:w="1361"/>
          </w:tcPr>
          <w:p>
            <w:pPr>
              <w:spacing w:after="0" w:line="240" w:lineRule="auto"/>
              <w:jc w:val="right"/>
            </w:pPr>
            <w:r/>
            <w:r>
              <w:rPr>
                <w:sz w:val="17"/>
              </w:rPr>
              <w:t>608.4</w:t>
            </w:r>
          </w:p>
        </w:tc>
      </w:tr>
      <w:tr>
        <w:trPr>
          <w:cantSplit/>
        </w:trPr>
        <w:tc>
          <w:tcPr>
            <w:tcW w:type="dxa" w:w="1361"/>
            <w:shd w:val="clear" w:color="auto" w:fill="F2F4F7"/>
          </w:tcPr>
          <w:p>
            <w:pPr>
              <w:spacing w:after="0" w:line="240" w:lineRule="auto"/>
            </w:pPr>
            <w:r/>
            <w:r>
              <w:rPr>
                <w:sz w:val="17"/>
              </w:rPr>
              <w:t>Year 4</w:t>
            </w:r>
          </w:p>
        </w:tc>
        <w:tc>
          <w:tcPr>
            <w:tcW w:type="dxa" w:w="1417"/>
            <w:shd w:val="clear" w:color="auto" w:fill="F2F4F7"/>
          </w:tcPr>
          <w:p>
            <w:pPr>
              <w:spacing w:after="0" w:line="240" w:lineRule="auto"/>
              <w:jc w:val="right"/>
            </w:pPr>
            <w:r/>
            <w:r>
              <w:rPr>
                <w:sz w:val="17"/>
              </w:rPr>
              <w:t>308.0</w:t>
            </w:r>
          </w:p>
        </w:tc>
        <w:tc>
          <w:tcPr>
            <w:tcW w:type="dxa" w:w="1644"/>
            <w:shd w:val="clear" w:color="auto" w:fill="F2F4F7"/>
          </w:tcPr>
          <w:p>
            <w:pPr>
              <w:spacing w:after="0" w:line="240" w:lineRule="auto"/>
              <w:jc w:val="right"/>
            </w:pPr>
            <w:r/>
            <w:r>
              <w:rPr>
                <w:sz w:val="17"/>
              </w:rPr>
              <w:t>-180.0</w:t>
            </w:r>
          </w:p>
        </w:tc>
        <w:tc>
          <w:tcPr>
            <w:tcW w:type="dxa" w:w="2041"/>
            <w:shd w:val="clear" w:color="auto" w:fill="F2F4F7"/>
          </w:tcPr>
          <w:p>
            <w:pPr>
              <w:spacing w:after="0" w:line="240" w:lineRule="auto"/>
              <w:jc w:val="right"/>
            </w:pPr>
            <w:r/>
            <w:r>
              <w:rPr>
                <w:sz w:val="17"/>
              </w:rPr>
              <w:t>-632.0</w:t>
            </w:r>
          </w:p>
        </w:tc>
        <w:tc>
          <w:tcPr>
            <w:tcW w:type="dxa" w:w="1417"/>
            <w:shd w:val="clear" w:color="auto" w:fill="F2F4F7"/>
          </w:tcPr>
          <w:p>
            <w:pPr>
              <w:spacing w:after="0" w:line="240" w:lineRule="auto"/>
              <w:jc w:val="right"/>
            </w:pPr>
            <w:r/>
            <w:r>
              <w:rPr>
                <w:sz w:val="17"/>
              </w:rPr>
              <w:t>-504.1</w:t>
            </w:r>
          </w:p>
        </w:tc>
        <w:tc>
          <w:tcPr>
            <w:tcW w:type="dxa" w:w="1361"/>
            <w:shd w:val="clear" w:color="auto" w:fill="F2F4F7"/>
          </w:tcPr>
          <w:p>
            <w:pPr>
              <w:spacing w:after="0" w:line="240" w:lineRule="auto"/>
              <w:jc w:val="right"/>
            </w:pPr>
            <w:r/>
            <w:r>
              <w:rPr>
                <w:sz w:val="17"/>
              </w:rPr>
              <w:t>104.3</w:t>
            </w:r>
          </w:p>
        </w:tc>
      </w:tr>
      <w:tr>
        <w:trPr>
          <w:cantSplit/>
        </w:trPr>
        <w:tc>
          <w:tcPr>
            <w:tcW w:type="dxa" w:w="1361"/>
          </w:tcPr>
          <w:p>
            <w:pPr>
              <w:spacing w:after="0" w:line="240" w:lineRule="auto"/>
            </w:pPr>
            <w:r/>
            <w:r>
              <w:rPr>
                <w:sz w:val="17"/>
              </w:rPr>
              <w:t>Year 5</w:t>
            </w:r>
          </w:p>
        </w:tc>
        <w:tc>
          <w:tcPr>
            <w:tcW w:type="dxa" w:w="1417"/>
          </w:tcPr>
          <w:p>
            <w:pPr>
              <w:spacing w:after="0" w:line="240" w:lineRule="auto"/>
              <w:jc w:val="right"/>
            </w:pPr>
            <w:r/>
            <w:r>
              <w:rPr>
                <w:sz w:val="17"/>
              </w:rPr>
              <w:t>224.0</w:t>
            </w:r>
          </w:p>
        </w:tc>
        <w:tc>
          <w:tcPr>
            <w:tcW w:type="dxa" w:w="1644"/>
          </w:tcPr>
          <w:p>
            <w:pPr>
              <w:spacing w:after="0" w:line="240" w:lineRule="auto"/>
              <w:jc w:val="right"/>
            </w:pPr>
            <w:r/>
            <w:r>
              <w:rPr>
                <w:sz w:val="17"/>
              </w:rPr>
              <w:t>-180.0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44.0</w:t>
            </w:r>
          </w:p>
        </w:tc>
        <w:tc>
          <w:tcPr>
            <w:tcW w:type="dxa" w:w="1361"/>
          </w:tcPr>
          <w:p>
            <w:pPr>
              <w:spacing w:after="0" w:line="240" w:lineRule="auto"/>
              <w:jc w:val="right"/>
            </w:pPr>
            <w:r/>
            <w:r>
              <w:rPr>
                <w:sz w:val="17"/>
              </w:rPr>
              <w:t>148.4</w:t>
            </w:r>
          </w:p>
        </w:tc>
      </w:tr>
      <w:tr>
        <w:trPr>
          <w:cantSplit/>
        </w:trPr>
        <w:tc>
          <w:tcPr>
            <w:tcW w:type="dxa" w:w="1361"/>
            <w:shd w:val="clear" w:color="auto" w:fill="F2F4F7"/>
          </w:tcPr>
          <w:p>
            <w:pPr>
              <w:spacing w:after="0" w:line="240" w:lineRule="auto"/>
            </w:pPr>
            <w:r/>
            <w:r>
              <w:rPr>
                <w:sz w:val="17"/>
              </w:rPr>
              <w:t>Year 6</w:t>
            </w:r>
          </w:p>
        </w:tc>
        <w:tc>
          <w:tcPr>
            <w:tcW w:type="dxa" w:w="1417"/>
            <w:shd w:val="clear" w:color="auto" w:fill="F2F4F7"/>
          </w:tcPr>
          <w:p>
            <w:pPr>
              <w:spacing w:after="0" w:line="240" w:lineRule="auto"/>
              <w:jc w:val="right"/>
            </w:pPr>
            <w:r/>
            <w:r>
              <w:rPr>
                <w:sz w:val="17"/>
              </w:rPr>
              <w:t>175.7</w:t>
            </w:r>
          </w:p>
        </w:tc>
        <w:tc>
          <w:tcPr>
            <w:tcW w:type="dxa" w:w="1644"/>
            <w:shd w:val="clear" w:color="auto" w:fill="F2F4F7"/>
          </w:tcPr>
          <w:p>
            <w:pPr>
              <w:spacing w:after="0" w:line="240" w:lineRule="auto"/>
              <w:jc w:val="right"/>
            </w:pPr>
            <w:r/>
            <w:r>
              <w:rPr>
                <w:sz w:val="17"/>
              </w:rPr>
              <w:t>-90.0</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85.7</w:t>
            </w:r>
          </w:p>
        </w:tc>
        <w:tc>
          <w:tcPr>
            <w:tcW w:type="dxa" w:w="1361"/>
            <w:shd w:val="clear" w:color="auto" w:fill="F2F4F7"/>
          </w:tcPr>
          <w:p>
            <w:pPr>
              <w:spacing w:after="0" w:line="240" w:lineRule="auto"/>
              <w:jc w:val="right"/>
            </w:pPr>
            <w:r/>
            <w:r>
              <w:rPr>
                <w:sz w:val="17"/>
              </w:rPr>
              <w:t>234.1</w:t>
            </w:r>
          </w:p>
        </w:tc>
      </w:tr>
      <w:tr>
        <w:trPr>
          <w:cantSplit/>
        </w:trPr>
        <w:tc>
          <w:tcPr>
            <w:tcW w:type="dxa" w:w="1361"/>
          </w:tcPr>
          <w:p>
            <w:pPr>
              <w:spacing w:after="0" w:line="240" w:lineRule="auto"/>
            </w:pPr>
            <w:r/>
            <w:r>
              <w:rPr>
                <w:sz w:val="17"/>
              </w:rPr>
              <w:t>Year 7</w:t>
            </w:r>
          </w:p>
        </w:tc>
        <w:tc>
          <w:tcPr>
            <w:tcW w:type="dxa" w:w="1417"/>
          </w:tcPr>
          <w:p>
            <w:pPr>
              <w:spacing w:after="0" w:line="240" w:lineRule="auto"/>
              <w:jc w:val="right"/>
            </w:pPr>
            <w:r/>
            <w:r>
              <w:rPr>
                <w:sz w:val="17"/>
              </w:rPr>
              <w:t>123.9</w:t>
            </w:r>
          </w:p>
        </w:tc>
        <w:tc>
          <w:tcPr>
            <w:tcW w:type="dxa" w:w="1644"/>
          </w:tcPr>
          <w:p>
            <w:pPr>
              <w:spacing w:after="0" w:line="240" w:lineRule="auto"/>
              <w:jc w:val="right"/>
            </w:pPr>
            <w:r/>
            <w:r>
              <w:rPr>
                <w:sz w:val="17"/>
              </w:rPr>
              <w:t>-0.0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123.9</w:t>
            </w:r>
          </w:p>
        </w:tc>
        <w:tc>
          <w:tcPr>
            <w:tcW w:type="dxa" w:w="1361"/>
          </w:tcPr>
          <w:p>
            <w:pPr>
              <w:spacing w:after="0" w:line="240" w:lineRule="auto"/>
              <w:jc w:val="right"/>
            </w:pPr>
            <w:r/>
            <w:r>
              <w:rPr>
                <w:sz w:val="17"/>
              </w:rPr>
              <w:t>357.9</w:t>
            </w:r>
          </w:p>
        </w:tc>
      </w:tr>
      <w:tr>
        <w:trPr>
          <w:cantSplit/>
        </w:trPr>
        <w:tc>
          <w:tcPr>
            <w:tcW w:type="dxa" w:w="1361"/>
            <w:shd w:val="clear" w:color="auto" w:fill="F2F4F7"/>
          </w:tcPr>
          <w:p>
            <w:pPr>
              <w:spacing w:after="0" w:line="240" w:lineRule="auto"/>
            </w:pPr>
            <w:r/>
            <w:r>
              <w:rPr>
                <w:sz w:val="17"/>
              </w:rPr>
              <w:t>Year 8</w:t>
            </w:r>
          </w:p>
        </w:tc>
        <w:tc>
          <w:tcPr>
            <w:tcW w:type="dxa" w:w="1417"/>
            <w:shd w:val="clear" w:color="auto" w:fill="F2F4F7"/>
          </w:tcPr>
          <w:p>
            <w:pPr>
              <w:spacing w:after="0" w:line="240" w:lineRule="auto"/>
              <w:jc w:val="right"/>
            </w:pPr>
            <w:r/>
            <w:r>
              <w:rPr>
                <w:sz w:val="17"/>
              </w:rPr>
              <w:t>100.4</w:t>
            </w:r>
          </w:p>
        </w:tc>
        <w:tc>
          <w:tcPr>
            <w:tcW w:type="dxa" w:w="1644"/>
            <w:shd w:val="clear" w:color="auto" w:fill="F2F4F7"/>
          </w:tcPr>
          <w:p>
            <w:pPr>
              <w:spacing w:after="0" w:line="240" w:lineRule="auto"/>
              <w:jc w:val="right"/>
            </w:pPr>
            <w:r/>
            <w:r>
              <w:rPr>
                <w:sz w:val="17"/>
              </w:rPr>
              <w:t>-140.7</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-40.3</w:t>
            </w:r>
          </w:p>
        </w:tc>
        <w:tc>
          <w:tcPr>
            <w:tcW w:type="dxa" w:w="1361"/>
            <w:shd w:val="clear" w:color="auto" w:fill="F2F4F7"/>
          </w:tcPr>
          <w:p>
            <w:pPr>
              <w:spacing w:after="0" w:line="240" w:lineRule="auto"/>
              <w:jc w:val="right"/>
            </w:pPr>
            <w:r/>
            <w:r>
              <w:rPr>
                <w:sz w:val="17"/>
              </w:rPr>
              <w:t>317.6</w:t>
            </w:r>
          </w:p>
        </w:tc>
      </w:tr>
      <w:tr>
        <w:trPr>
          <w:cantSplit/>
        </w:trPr>
        <w:tc>
          <w:tcPr>
            <w:tcW w:type="dxa" w:w="1361"/>
          </w:tcPr>
          <w:p>
            <w:pPr>
              <w:spacing w:after="0" w:line="240" w:lineRule="auto"/>
            </w:pPr>
            <w:r/>
            <w:r>
              <w:rPr>
                <w:sz w:val="17"/>
              </w:rPr>
              <w:t>Year 9</w:t>
            </w:r>
          </w:p>
        </w:tc>
        <w:tc>
          <w:tcPr>
            <w:tcW w:type="dxa" w:w="1417"/>
          </w:tcPr>
          <w:p>
            <w:pPr>
              <w:spacing w:after="0" w:line="240" w:lineRule="auto"/>
              <w:jc w:val="right"/>
            </w:pPr>
            <w:r/>
            <w:r>
              <w:rPr>
                <w:sz w:val="17"/>
              </w:rPr>
              <w:t>89.6</w:t>
            </w:r>
          </w:p>
        </w:tc>
        <w:tc>
          <w:tcPr>
            <w:tcW w:type="dxa" w:w="1644"/>
          </w:tcPr>
          <w:p>
            <w:pPr>
              <w:spacing w:after="0" w:line="240" w:lineRule="auto"/>
              <w:jc w:val="right"/>
            </w:pPr>
            <w:r/>
            <w:r>
              <w:rPr>
                <w:sz w:val="17"/>
              </w:rPr>
              <w:t>-39.2</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50.4</w:t>
            </w:r>
          </w:p>
        </w:tc>
        <w:tc>
          <w:tcPr>
            <w:tcW w:type="dxa" w:w="1361"/>
          </w:tcPr>
          <w:p>
            <w:pPr>
              <w:spacing w:after="0" w:line="240" w:lineRule="auto"/>
              <w:jc w:val="right"/>
            </w:pPr>
            <w:r/>
            <w:r>
              <w:rPr>
                <w:sz w:val="17"/>
              </w:rPr>
              <w:t>368.0</w:t>
            </w:r>
          </w:p>
        </w:tc>
      </w:tr>
      <w:tr>
        <w:trPr>
          <w:cantSplit/>
        </w:trPr>
        <w:tc>
          <w:tcPr>
            <w:tcW w:type="dxa" w:w="1361"/>
            <w:shd w:val="clear" w:color="auto" w:fill="F2F4F7"/>
          </w:tcPr>
          <w:p>
            <w:pPr>
              <w:spacing w:after="0" w:line="240" w:lineRule="auto"/>
            </w:pPr>
            <w:r/>
            <w:r>
              <w:rPr>
                <w:sz w:val="17"/>
              </w:rPr>
              <w:t>Year 10</w:t>
            </w:r>
          </w:p>
        </w:tc>
        <w:tc>
          <w:tcPr>
            <w:tcW w:type="dxa" w:w="1417"/>
            <w:shd w:val="clear" w:color="auto" w:fill="F2F4F7"/>
          </w:tcPr>
          <w:p>
            <w:pPr>
              <w:spacing w:after="0" w:line="240" w:lineRule="auto"/>
              <w:jc w:val="right"/>
            </w:pPr>
            <w:r/>
            <w:r>
              <w:rPr>
                <w:sz w:val="17"/>
              </w:rPr>
              <w:t>13.2</w:t>
            </w:r>
          </w:p>
        </w:tc>
        <w:tc>
          <w:tcPr>
            <w:tcW w:type="dxa" w:w="1644"/>
            <w:shd w:val="clear" w:color="auto" w:fill="F2F4F7"/>
          </w:tcPr>
          <w:p>
            <w:pPr>
              <w:spacing w:after="0" w:line="240" w:lineRule="auto"/>
              <w:jc w:val="right"/>
            </w:pPr>
            <w:r/>
            <w:r>
              <w:rPr>
                <w:sz w:val="17"/>
              </w:rPr>
              <w:t>-5.8</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7.4</w:t>
            </w:r>
          </w:p>
        </w:tc>
        <w:tc>
          <w:tcPr>
            <w:tcW w:type="dxa" w:w="1361"/>
            <w:shd w:val="clear" w:color="auto" w:fill="F2F4F7"/>
          </w:tcPr>
          <w:p>
            <w:pPr>
              <w:spacing w:after="0" w:line="240" w:lineRule="auto"/>
              <w:jc w:val="right"/>
            </w:pPr>
            <w:r/>
            <w:r>
              <w:rPr>
                <w:sz w:val="17"/>
              </w:rPr>
              <w:t>375.4</w:t>
            </w:r>
          </w:p>
        </w:tc>
      </w:tr>
      <w:tr>
        <w:trPr>
          <w:cantSplit/>
        </w:trPr>
        <w:tc>
          <w:tcPr>
            <w:tcW w:type="dxa" w:w="1361"/>
          </w:tcPr>
          <w:p>
            <w:pPr>
              <w:spacing w:after="0" w:line="240" w:lineRule="auto"/>
            </w:pPr>
            <w:r/>
            <w:r>
              <w:rPr>
                <w:sz w:val="17"/>
              </w:rPr>
              <w:t>Year 11</w:t>
            </w:r>
          </w:p>
        </w:tc>
        <w:tc>
          <w:tcPr>
            <w:tcW w:type="dxa" w:w="1417"/>
          </w:tcPr>
          <w:p>
            <w:pPr>
              <w:spacing w:after="0" w:line="240" w:lineRule="auto"/>
              <w:jc w:val="right"/>
            </w:pPr>
            <w:r/>
            <w:r>
              <w:rPr>
                <w:sz w:val="17"/>
              </w:rPr>
              <w:t>0.0</w:t>
            </w:r>
          </w:p>
        </w:tc>
        <w:tc>
          <w:tcPr>
            <w:tcW w:type="dxa" w:w="1644"/>
          </w:tcPr>
          <w:p>
            <w:pPr>
              <w:spacing w:after="0" w:line="240" w:lineRule="auto"/>
              <w:jc w:val="right"/>
            </w:pPr>
            <w:r/>
            <w:r>
              <w:rPr>
                <w:sz w:val="17"/>
              </w:rPr>
              <w:t>-0.0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0.0</w:t>
            </w:r>
          </w:p>
        </w:tc>
        <w:tc>
          <w:tcPr>
            <w:tcW w:type="dxa" w:w="1361"/>
          </w:tcPr>
          <w:p>
            <w:pPr>
              <w:spacing w:after="0" w:line="240" w:lineRule="auto"/>
              <w:jc w:val="right"/>
            </w:pPr>
            <w:r/>
            <w:r>
              <w:rPr>
                <w:sz w:val="17"/>
              </w:rPr>
              <w:t>375.4</w:t>
            </w:r>
          </w:p>
        </w:tc>
      </w:tr>
      <w:tr>
        <w:trPr>
          <w:cantSplit/>
        </w:trPr>
        <w:tc>
          <w:tcPr>
            <w:tcW w:type="dxa" w:w="1361"/>
            <w:shd w:val="clear" w:color="auto" w:fill="F2F4F7"/>
          </w:tcPr>
          <w:p>
            <w:pPr>
              <w:spacing w:after="0" w:line="240" w:lineRule="auto"/>
            </w:pPr>
            <w:r/>
            <w:r>
              <w:rPr>
                <w:b/>
                <w:sz w:val="17"/>
              </w:rPr>
              <w:t>Total</w:t>
            </w:r>
          </w:p>
        </w:tc>
        <w:tc>
          <w:tcPr>
            <w:tcW w:type="dxa" w:w="1417"/>
            <w:shd w:val="clear" w:color="auto" w:fill="F2F4F7"/>
          </w:tcPr>
          <w:p>
            <w:pPr>
              <w:spacing w:after="0" w:line="240" w:lineRule="auto"/>
              <w:jc w:val="right"/>
            </w:pPr>
            <w:r/>
            <w:r>
              <w:rPr>
                <w:b/>
                <w:sz w:val="17"/>
              </w:rPr>
              <w:t>2,253.0</w:t>
            </w:r>
          </w:p>
        </w:tc>
        <w:tc>
          <w:tcPr>
            <w:tcW w:type="dxa" w:w="1644"/>
            <w:shd w:val="clear" w:color="auto" w:fill="F2F4F7"/>
          </w:tcPr>
          <w:p>
            <w:pPr>
              <w:spacing w:after="0" w:line="240" w:lineRule="auto"/>
              <w:jc w:val="right"/>
            </w:pPr>
            <w:r/>
            <w:r>
              <w:rPr>
                <w:b/>
                <w:sz w:val="17"/>
              </w:rPr>
              <w:t>-985.7</w:t>
            </w:r>
          </w:p>
        </w:tc>
        <w:tc>
          <w:tcPr>
            <w:tcW w:type="dxa" w:w="2041"/>
            <w:shd w:val="clear" w:color="auto" w:fill="F2F4F7"/>
          </w:tcPr>
          <w:p>
            <w:pPr>
              <w:spacing w:after="0" w:line="240" w:lineRule="auto"/>
              <w:jc w:val="right"/>
            </w:pPr>
            <w:r/>
            <w:r>
              <w:rPr>
                <w:b/>
                <w:sz w:val="17"/>
              </w:rPr>
              <w:t>-891.9</w:t>
            </w:r>
          </w:p>
        </w:tc>
        <w:tc>
          <w:tcPr>
            <w:tcW w:type="dxa" w:w="1417"/>
            <w:shd w:val="clear" w:color="auto" w:fill="F2F4F7"/>
          </w:tcPr>
          <w:p>
            <w:pPr>
              <w:spacing w:after="0" w:line="240" w:lineRule="auto"/>
              <w:jc w:val="right"/>
            </w:pPr>
            <w:r/>
            <w:r>
              <w:rPr>
                <w:b/>
                <w:sz w:val="17"/>
              </w:rPr>
              <w:t>375.4</w:t>
            </w:r>
          </w:p>
        </w:tc>
        <w:tc>
          <w:tcPr>
            <w:tcW w:type="dxa" w:w="1361"/>
            <w:shd w:val="clear" w:color="auto" w:fill="F2F4F7"/>
          </w:tcPr>
          <w:p>
            <w:pPr>
              <w:spacing w:after="0" w:line="240" w:lineRule="auto"/>
              <w:jc w:val="right"/>
            </w:pPr>
            <w:r/>
            <w:r>
              <w:rPr>
                <w:b/>
                <w:sz w:val="17"/>
              </w:rPr>
            </w:r>
          </w:p>
        </w:tc>
      </w:tr>
    </w:tbl>
    <w:p>
      <w:pPr>
        <w:spacing w:after="80"/>
      </w:pPr>
    </w:p>
    <w:p>
      <w:pPr>
        <w:keepNext/>
        <w:jc w:val="center"/>
      </w:pPr>
      <w: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fig_cash.png"/>
                    <pic:cNvPicPr/>
                  </pic:nvPicPr>
                  <pic:blipFill>
                    <a:blip r:embed="rId11"/>
                    <a:stretch>
                      <a:fillRect/>
                    </a:stretch>
                  </pic:blipFill>
                  <pic:spPr>
                    <a:xfrm>
                      <a:off x="0" y="0"/>
                      <a:ext cx="5580000" cy="2790000"/>
                    </a:xfrm>
                    <a:prstGeom prst="rect"/>
                  </pic:spPr>
                </pic:pic>
              </a:graphicData>
            </a:graphic>
          </wp:inline>
        </w:drawing>
      </w:r>
    </w:p>
    <w:p>
      <w:pPr>
        <w:jc w:val="center"/>
      </w:pPr>
      <w:r>
        <w:rPr>
          <w:b/>
          <w:color w:val="17324D"/>
          <w:sz w:val="18"/>
        </w:rPr>
        <w:t xml:space="preserve">Figure 1: Green Square: project cash flow by year. </w:t>
      </w:r>
      <w:r>
        <w:rPr>
          <w:i/>
          <w:color w:val="6B7280"/>
          <w:sz w:val="18"/>
        </w:rPr>
        <w:t>Source: Jalour financial model; Financial Annex, project cash flow sheets</w:t>
      </w:r>
    </w:p>
    <w:p>
      <w:pPr>
        <w:pStyle w:val="Heading2"/>
      </w:pPr>
      <w:r>
        <w:t>9.2 L'avenir</w:t>
      </w:r>
    </w:p>
    <w:p>
      <w:pPr>
        <w:keepNext/>
        <w:spacing w:after="60"/>
      </w:pPr>
      <w:r>
        <w:rPr>
          <w:b/>
          <w:color w:val="17324D"/>
          <w:sz w:val="19"/>
        </w:rPr>
        <w:t>Table 14: L'avenir: sales plan by tranche (80% of units)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7"/>
              </w:rPr>
              <w:t>Quarter of sale</w:t>
            </w:r>
          </w:p>
        </w:tc>
        <w:tc>
          <w:tcPr>
            <w:tcW w:type="dxa" w:w="1701"/>
            <w:shd w:val="clear" w:color="auto" w:fill="17324D"/>
          </w:tcPr>
          <w:p>
            <w:pPr>
              <w:spacing w:after="0" w:line="240" w:lineRule="auto"/>
              <w:jc w:val="right"/>
            </w:pPr>
            <w:r/>
            <w:r>
              <w:rPr>
                <w:b/>
                <w:color w:val="FFFFFF"/>
                <w:sz w:val="17"/>
              </w:rPr>
              <w:t>Retail (EGP m)</w:t>
            </w:r>
          </w:p>
        </w:tc>
        <w:tc>
          <w:tcPr>
            <w:tcW w:type="dxa" w:w="1814"/>
            <w:shd w:val="clear" w:color="auto" w:fill="17324D"/>
          </w:tcPr>
          <w:p>
            <w:pPr>
              <w:spacing w:after="0" w:line="240" w:lineRule="auto"/>
              <w:jc w:val="right"/>
            </w:pPr>
            <w:r/>
            <w:r>
              <w:rPr>
                <w:b/>
                <w:color w:val="FFFFFF"/>
                <w:sz w:val="17"/>
              </w:rPr>
              <w:t>Offices (EGP m)</w:t>
            </w:r>
          </w:p>
        </w:tc>
        <w:tc>
          <w:tcPr>
            <w:tcW w:type="dxa" w:w="1928"/>
            <w:shd w:val="clear" w:color="auto" w:fill="17324D"/>
          </w:tcPr>
          <w:p>
            <w:pPr>
              <w:spacing w:after="0" w:line="240" w:lineRule="auto"/>
              <w:jc w:val="right"/>
            </w:pPr>
            <w:r/>
            <w:r>
              <w:rPr>
                <w:b/>
                <w:color w:val="FFFFFF"/>
                <w:sz w:val="17"/>
              </w:rPr>
              <w:t>Retail price (EGP k/m2)</w:t>
            </w:r>
          </w:p>
        </w:tc>
        <w:tc>
          <w:tcPr>
            <w:tcW w:type="dxa" w:w="1871"/>
            <w:shd w:val="clear" w:color="auto" w:fill="17324D"/>
          </w:tcPr>
          <w:p>
            <w:pPr>
              <w:spacing w:after="0" w:line="240" w:lineRule="auto"/>
              <w:jc w:val="right"/>
            </w:pPr>
            <w:r/>
            <w:r>
              <w:rPr>
                <w:b/>
                <w:color w:val="FFFFFF"/>
                <w:sz w:val="17"/>
              </w:rPr>
              <w:t>Office price (EGP k/m2)</w:t>
            </w:r>
          </w:p>
        </w:tc>
      </w:tr>
      <w:tr>
        <w:trPr>
          <w:cantSplit/>
        </w:trPr>
        <w:tc>
          <w:tcPr>
            <w:tcW w:type="dxa" w:w="1928"/>
          </w:tcPr>
          <w:p>
            <w:pPr>
              <w:spacing w:after="0" w:line="240" w:lineRule="auto"/>
            </w:pPr>
            <w:r/>
            <w:r>
              <w:rPr>
                <w:sz w:val="17"/>
              </w:rPr>
              <w:t>Month 15</w:t>
            </w:r>
          </w:p>
        </w:tc>
        <w:tc>
          <w:tcPr>
            <w:tcW w:type="dxa" w:w="1701"/>
          </w:tcPr>
          <w:p>
            <w:pPr>
              <w:spacing w:after="0" w:line="240" w:lineRule="auto"/>
              <w:jc w:val="right"/>
            </w:pPr>
            <w:r/>
            <w:r>
              <w:rPr>
                <w:sz w:val="17"/>
              </w:rPr>
              <w:t>111.8</w:t>
            </w:r>
          </w:p>
        </w:tc>
        <w:tc>
          <w:tcPr>
            <w:tcW w:type="dxa" w:w="1814"/>
          </w:tcPr>
          <w:p>
            <w:pPr>
              <w:spacing w:after="0" w:line="240" w:lineRule="auto"/>
              <w:jc w:val="right"/>
            </w:pPr>
            <w:r/>
            <w:r>
              <w:rPr>
                <w:sz w:val="17"/>
              </w:rPr>
              <w:t>250.5</w:t>
            </w:r>
          </w:p>
        </w:tc>
        <w:tc>
          <w:tcPr>
            <w:tcW w:type="dxa" w:w="1928"/>
          </w:tcPr>
          <w:p>
            <w:pPr>
              <w:spacing w:after="0" w:line="240" w:lineRule="auto"/>
              <w:jc w:val="right"/>
            </w:pPr>
            <w:r/>
            <w:r>
              <w:rPr>
                <w:sz w:val="17"/>
              </w:rPr>
              <w:t>250</w:t>
            </w:r>
          </w:p>
        </w:tc>
        <w:tc>
          <w:tcPr>
            <w:tcW w:type="dxa" w:w="1871"/>
          </w:tcPr>
          <w:p>
            <w:pPr>
              <w:spacing w:after="0" w:line="240" w:lineRule="auto"/>
              <w:jc w:val="right"/>
            </w:pPr>
            <w:r/>
            <w:r>
              <w:rPr>
                <w:sz w:val="17"/>
              </w:rPr>
              <w:t>160</w:t>
            </w:r>
          </w:p>
        </w:tc>
      </w:tr>
      <w:tr>
        <w:trPr>
          <w:cantSplit/>
        </w:trPr>
        <w:tc>
          <w:tcPr>
            <w:tcW w:type="dxa" w:w="1928"/>
            <w:shd w:val="clear" w:color="auto" w:fill="F2F4F7"/>
          </w:tcPr>
          <w:p>
            <w:pPr>
              <w:spacing w:after="0" w:line="240" w:lineRule="auto"/>
            </w:pPr>
            <w:r/>
            <w:r>
              <w:rPr>
                <w:sz w:val="17"/>
              </w:rPr>
              <w:t>Month 18</w:t>
            </w:r>
          </w:p>
        </w:tc>
        <w:tc>
          <w:tcPr>
            <w:tcW w:type="dxa" w:w="1701"/>
            <w:shd w:val="clear" w:color="auto" w:fill="F2F4F7"/>
          </w:tcPr>
          <w:p>
            <w:pPr>
              <w:spacing w:after="0" w:line="240" w:lineRule="auto"/>
              <w:jc w:val="right"/>
            </w:pPr>
            <w:r/>
            <w:r>
              <w:rPr>
                <w:sz w:val="17"/>
              </w:rPr>
              <w:t>111.8</w:t>
            </w:r>
          </w:p>
        </w:tc>
        <w:tc>
          <w:tcPr>
            <w:tcW w:type="dxa" w:w="1814"/>
            <w:shd w:val="clear" w:color="auto" w:fill="F2F4F7"/>
          </w:tcPr>
          <w:p>
            <w:pPr>
              <w:spacing w:after="0" w:line="240" w:lineRule="auto"/>
              <w:jc w:val="right"/>
            </w:pPr>
            <w:r/>
            <w:r>
              <w:rPr>
                <w:sz w:val="17"/>
              </w:rPr>
              <w:t>250.5</w:t>
            </w:r>
          </w:p>
        </w:tc>
        <w:tc>
          <w:tcPr>
            <w:tcW w:type="dxa" w:w="1928"/>
            <w:shd w:val="clear" w:color="auto" w:fill="F2F4F7"/>
          </w:tcPr>
          <w:p>
            <w:pPr>
              <w:spacing w:after="0" w:line="240" w:lineRule="auto"/>
              <w:jc w:val="right"/>
            </w:pPr>
            <w:r/>
            <w:r>
              <w:rPr>
                <w:sz w:val="17"/>
              </w:rPr>
              <w:t>250</w:t>
            </w:r>
          </w:p>
        </w:tc>
        <w:tc>
          <w:tcPr>
            <w:tcW w:type="dxa" w:w="1871"/>
            <w:shd w:val="clear" w:color="auto" w:fill="F2F4F7"/>
          </w:tcPr>
          <w:p>
            <w:pPr>
              <w:spacing w:after="0" w:line="240" w:lineRule="auto"/>
              <w:jc w:val="right"/>
            </w:pPr>
            <w:r/>
            <w:r>
              <w:rPr>
                <w:sz w:val="17"/>
              </w:rPr>
              <w:t>160</w:t>
            </w:r>
          </w:p>
        </w:tc>
      </w:tr>
      <w:tr>
        <w:trPr>
          <w:cantSplit/>
        </w:trPr>
        <w:tc>
          <w:tcPr>
            <w:tcW w:type="dxa" w:w="1928"/>
          </w:tcPr>
          <w:p>
            <w:pPr>
              <w:spacing w:after="0" w:line="240" w:lineRule="auto"/>
            </w:pPr>
            <w:r/>
            <w:r>
              <w:rPr>
                <w:sz w:val="17"/>
              </w:rPr>
              <w:t>Month 21</w:t>
            </w:r>
          </w:p>
        </w:tc>
        <w:tc>
          <w:tcPr>
            <w:tcW w:type="dxa" w:w="1701"/>
          </w:tcPr>
          <w:p>
            <w:pPr>
              <w:spacing w:after="0" w:line="240" w:lineRule="auto"/>
              <w:jc w:val="right"/>
            </w:pPr>
            <w:r/>
            <w:r>
              <w:rPr>
                <w:sz w:val="17"/>
              </w:rPr>
              <w:t>123.0</w:t>
            </w:r>
          </w:p>
        </w:tc>
        <w:tc>
          <w:tcPr>
            <w:tcW w:type="dxa" w:w="1814"/>
          </w:tcPr>
          <w:p>
            <w:pPr>
              <w:spacing w:after="0" w:line="240" w:lineRule="auto"/>
              <w:jc w:val="right"/>
            </w:pPr>
            <w:r/>
            <w:r>
              <w:rPr>
                <w:sz w:val="17"/>
              </w:rPr>
              <w:t>187.9</w:t>
            </w:r>
          </w:p>
        </w:tc>
        <w:tc>
          <w:tcPr>
            <w:tcW w:type="dxa" w:w="1928"/>
          </w:tcPr>
          <w:p>
            <w:pPr>
              <w:spacing w:after="0" w:line="240" w:lineRule="auto"/>
              <w:jc w:val="right"/>
            </w:pPr>
            <w:r/>
            <w:r>
              <w:rPr>
                <w:sz w:val="17"/>
              </w:rPr>
              <w:t>275</w:t>
            </w:r>
          </w:p>
        </w:tc>
        <w:tc>
          <w:tcPr>
            <w:tcW w:type="dxa" w:w="1871"/>
          </w:tcPr>
          <w:p>
            <w:pPr>
              <w:spacing w:after="0" w:line="240" w:lineRule="auto"/>
              <w:jc w:val="right"/>
            </w:pPr>
            <w:r/>
            <w:r>
              <w:rPr>
                <w:sz w:val="17"/>
              </w:rPr>
              <w:t>180</w:t>
            </w:r>
          </w:p>
        </w:tc>
      </w:tr>
      <w:tr>
        <w:trPr>
          <w:cantSplit/>
        </w:trPr>
        <w:tc>
          <w:tcPr>
            <w:tcW w:type="dxa" w:w="1928"/>
            <w:shd w:val="clear" w:color="auto" w:fill="F2F4F7"/>
          </w:tcPr>
          <w:p>
            <w:pPr>
              <w:spacing w:after="0" w:line="240" w:lineRule="auto"/>
            </w:pPr>
            <w:r/>
            <w:r>
              <w:rPr>
                <w:sz w:val="17"/>
              </w:rPr>
              <w:t>Month 24</w:t>
            </w:r>
          </w:p>
        </w:tc>
        <w:tc>
          <w:tcPr>
            <w:tcW w:type="dxa" w:w="1701"/>
            <w:shd w:val="clear" w:color="auto" w:fill="F2F4F7"/>
          </w:tcPr>
          <w:p>
            <w:pPr>
              <w:spacing w:after="0" w:line="240" w:lineRule="auto"/>
              <w:jc w:val="right"/>
            </w:pPr>
            <w:r/>
            <w:r>
              <w:rPr>
                <w:sz w:val="17"/>
              </w:rPr>
              <w:t>86.1</w:t>
            </w:r>
          </w:p>
        </w:tc>
        <w:tc>
          <w:tcPr>
            <w:tcW w:type="dxa" w:w="1814"/>
            <w:shd w:val="clear" w:color="auto" w:fill="F2F4F7"/>
          </w:tcPr>
          <w:p>
            <w:pPr>
              <w:spacing w:after="0" w:line="240" w:lineRule="auto"/>
              <w:jc w:val="right"/>
            </w:pPr>
            <w:r/>
            <w:r>
              <w:rPr>
                <w:sz w:val="17"/>
              </w:rPr>
              <w:t>93.9</w:t>
            </w:r>
          </w:p>
        </w:tc>
        <w:tc>
          <w:tcPr>
            <w:tcW w:type="dxa" w:w="1928"/>
            <w:shd w:val="clear" w:color="auto" w:fill="F2F4F7"/>
          </w:tcPr>
          <w:p>
            <w:pPr>
              <w:spacing w:after="0" w:line="240" w:lineRule="auto"/>
              <w:jc w:val="right"/>
            </w:pPr>
            <w:r/>
            <w:r>
              <w:rPr>
                <w:sz w:val="17"/>
              </w:rPr>
              <w:t>275</w:t>
            </w:r>
          </w:p>
        </w:tc>
        <w:tc>
          <w:tcPr>
            <w:tcW w:type="dxa" w:w="1871"/>
            <w:shd w:val="clear" w:color="auto" w:fill="F2F4F7"/>
          </w:tcPr>
          <w:p>
            <w:pPr>
              <w:spacing w:after="0" w:line="240" w:lineRule="auto"/>
              <w:jc w:val="right"/>
            </w:pPr>
            <w:r/>
            <w:r>
              <w:rPr>
                <w:sz w:val="17"/>
              </w:rPr>
              <w:t>180</w:t>
            </w:r>
          </w:p>
        </w:tc>
      </w:tr>
      <w:tr>
        <w:trPr>
          <w:cantSplit/>
        </w:trPr>
        <w:tc>
          <w:tcPr>
            <w:tcW w:type="dxa" w:w="1928"/>
          </w:tcPr>
          <w:p>
            <w:pPr>
              <w:spacing w:after="0" w:line="240" w:lineRule="auto"/>
            </w:pPr>
            <w:r/>
            <w:r>
              <w:rPr>
                <w:sz w:val="17"/>
              </w:rPr>
              <w:t>Month 27</w:t>
            </w:r>
          </w:p>
        </w:tc>
        <w:tc>
          <w:tcPr>
            <w:tcW w:type="dxa" w:w="1701"/>
          </w:tcPr>
          <w:p>
            <w:pPr>
              <w:spacing w:after="0" w:line="240" w:lineRule="auto"/>
              <w:jc w:val="right"/>
            </w:pPr>
            <w:r/>
            <w:r>
              <w:rPr>
                <w:sz w:val="17"/>
              </w:rPr>
              <w:t>93.9</w:t>
            </w:r>
          </w:p>
        </w:tc>
        <w:tc>
          <w:tcPr>
            <w:tcW w:type="dxa" w:w="1814"/>
          </w:tcPr>
          <w:p>
            <w:pPr>
              <w:spacing w:after="0" w:line="240" w:lineRule="auto"/>
              <w:jc w:val="right"/>
            </w:pPr>
            <w:r/>
            <w:r>
              <w:rPr>
                <w:sz w:val="17"/>
              </w:rPr>
              <w:t>104.4</w:t>
            </w:r>
          </w:p>
        </w:tc>
        <w:tc>
          <w:tcPr>
            <w:tcW w:type="dxa" w:w="1928"/>
          </w:tcPr>
          <w:p>
            <w:pPr>
              <w:spacing w:after="0" w:line="240" w:lineRule="auto"/>
              <w:jc w:val="right"/>
            </w:pPr>
            <w:r/>
            <w:r>
              <w:rPr>
                <w:sz w:val="17"/>
              </w:rPr>
              <w:t>300</w:t>
            </w:r>
          </w:p>
        </w:tc>
        <w:tc>
          <w:tcPr>
            <w:tcW w:type="dxa" w:w="1871"/>
          </w:tcPr>
          <w:p>
            <w:pPr>
              <w:spacing w:after="0" w:line="240" w:lineRule="auto"/>
              <w:jc w:val="right"/>
            </w:pPr>
            <w:r/>
            <w:r>
              <w:rPr>
                <w:sz w:val="17"/>
              </w:rPr>
              <w:t>200</w:t>
            </w:r>
          </w:p>
        </w:tc>
      </w:tr>
      <w:tr>
        <w:trPr>
          <w:cantSplit/>
        </w:trPr>
        <w:tc>
          <w:tcPr>
            <w:tcW w:type="dxa" w:w="1928"/>
            <w:shd w:val="clear" w:color="auto" w:fill="F2F4F7"/>
          </w:tcPr>
          <w:p>
            <w:pPr>
              <w:spacing w:after="0" w:line="240" w:lineRule="auto"/>
            </w:pPr>
            <w:r/>
            <w:r>
              <w:rPr>
                <w:sz w:val="17"/>
              </w:rPr>
              <w:t>Month 30</w:t>
            </w:r>
          </w:p>
        </w:tc>
        <w:tc>
          <w:tcPr>
            <w:tcW w:type="dxa" w:w="1701"/>
            <w:shd w:val="clear" w:color="auto" w:fill="F2F4F7"/>
          </w:tcPr>
          <w:p>
            <w:pPr>
              <w:spacing w:after="0" w:line="240" w:lineRule="auto"/>
              <w:jc w:val="right"/>
            </w:pPr>
            <w:r/>
            <w:r>
              <w:rPr>
                <w:sz w:val="17"/>
              </w:rPr>
              <w:t>80.5</w:t>
            </w:r>
          </w:p>
        </w:tc>
        <w:tc>
          <w:tcPr>
            <w:tcW w:type="dxa" w:w="1814"/>
            <w:shd w:val="clear" w:color="auto" w:fill="F2F4F7"/>
          </w:tcPr>
          <w:p>
            <w:pPr>
              <w:spacing w:after="0" w:line="240" w:lineRule="auto"/>
              <w:jc w:val="right"/>
            </w:pPr>
            <w:r/>
            <w:r>
              <w:rPr>
                <w:sz w:val="17"/>
              </w:rPr>
              <w:t>104.4</w:t>
            </w:r>
          </w:p>
        </w:tc>
        <w:tc>
          <w:tcPr>
            <w:tcW w:type="dxa" w:w="1928"/>
            <w:shd w:val="clear" w:color="auto" w:fill="F2F4F7"/>
          </w:tcPr>
          <w:p>
            <w:pPr>
              <w:spacing w:after="0" w:line="240" w:lineRule="auto"/>
              <w:jc w:val="right"/>
            </w:pPr>
            <w:r/>
            <w:r>
              <w:rPr>
                <w:sz w:val="17"/>
              </w:rPr>
              <w:t>300</w:t>
            </w:r>
          </w:p>
        </w:tc>
        <w:tc>
          <w:tcPr>
            <w:tcW w:type="dxa" w:w="1871"/>
            <w:shd w:val="clear" w:color="auto" w:fill="F2F4F7"/>
          </w:tcPr>
          <w:p>
            <w:pPr>
              <w:spacing w:after="0" w:line="240" w:lineRule="auto"/>
              <w:jc w:val="right"/>
            </w:pPr>
            <w:r/>
            <w:r>
              <w:rPr>
                <w:sz w:val="17"/>
              </w:rPr>
              <w:t>200</w:t>
            </w:r>
          </w:p>
        </w:tc>
      </w:tr>
      <w:tr>
        <w:trPr>
          <w:cantSplit/>
        </w:trPr>
        <w:tc>
          <w:tcPr>
            <w:tcW w:type="dxa" w:w="1928"/>
          </w:tcPr>
          <w:p>
            <w:pPr>
              <w:spacing w:after="0" w:line="240" w:lineRule="auto"/>
            </w:pPr>
            <w:r/>
            <w:r>
              <w:rPr>
                <w:sz w:val="17"/>
              </w:rPr>
              <w:t>Month 33</w:t>
            </w:r>
          </w:p>
        </w:tc>
        <w:tc>
          <w:tcPr>
            <w:tcW w:type="dxa" w:w="1701"/>
          </w:tcPr>
          <w:p>
            <w:pPr>
              <w:spacing w:after="0" w:line="240" w:lineRule="auto"/>
              <w:jc w:val="right"/>
            </w:pPr>
            <w:r/>
            <w:r>
              <w:rPr>
                <w:sz w:val="17"/>
              </w:rPr>
              <w:t>73.8</w:t>
            </w:r>
          </w:p>
        </w:tc>
        <w:tc>
          <w:tcPr>
            <w:tcW w:type="dxa" w:w="1814"/>
          </w:tcPr>
          <w:p>
            <w:pPr>
              <w:spacing w:after="0" w:line="240" w:lineRule="auto"/>
              <w:jc w:val="right"/>
            </w:pPr>
            <w:r/>
            <w:r>
              <w:rPr>
                <w:sz w:val="17"/>
              </w:rPr>
              <w:t>114.8</w:t>
            </w:r>
          </w:p>
        </w:tc>
        <w:tc>
          <w:tcPr>
            <w:tcW w:type="dxa" w:w="1928"/>
          </w:tcPr>
          <w:p>
            <w:pPr>
              <w:spacing w:after="0" w:line="240" w:lineRule="auto"/>
              <w:jc w:val="right"/>
            </w:pPr>
            <w:r/>
            <w:r>
              <w:rPr>
                <w:sz w:val="17"/>
              </w:rPr>
              <w:t>330</w:t>
            </w:r>
          </w:p>
        </w:tc>
        <w:tc>
          <w:tcPr>
            <w:tcW w:type="dxa" w:w="1871"/>
          </w:tcPr>
          <w:p>
            <w:pPr>
              <w:spacing w:after="0" w:line="240" w:lineRule="auto"/>
              <w:jc w:val="right"/>
            </w:pPr>
            <w:r/>
            <w:r>
              <w:rPr>
                <w:sz w:val="17"/>
              </w:rPr>
              <w:t>220</w:t>
            </w:r>
          </w:p>
        </w:tc>
      </w:tr>
      <w:tr>
        <w:trPr>
          <w:cantSplit/>
        </w:trPr>
        <w:tc>
          <w:tcPr>
            <w:tcW w:type="dxa" w:w="1928"/>
            <w:shd w:val="clear" w:color="auto" w:fill="F2F4F7"/>
          </w:tcPr>
          <w:p>
            <w:pPr>
              <w:spacing w:after="0" w:line="240" w:lineRule="auto"/>
            </w:pPr>
            <w:r/>
            <w:r>
              <w:rPr>
                <w:sz w:val="17"/>
              </w:rPr>
              <w:t>Month 36</w:t>
            </w:r>
          </w:p>
        </w:tc>
        <w:tc>
          <w:tcPr>
            <w:tcW w:type="dxa" w:w="1701"/>
            <w:shd w:val="clear" w:color="auto" w:fill="F2F4F7"/>
          </w:tcPr>
          <w:p>
            <w:pPr>
              <w:spacing w:after="0" w:line="240" w:lineRule="auto"/>
              <w:jc w:val="right"/>
            </w:pPr>
            <w:r/>
            <w:r>
              <w:rPr>
                <w:sz w:val="17"/>
              </w:rPr>
              <w:t>73.8</w:t>
            </w:r>
          </w:p>
        </w:tc>
        <w:tc>
          <w:tcPr>
            <w:tcW w:type="dxa" w:w="1814"/>
            <w:shd w:val="clear" w:color="auto" w:fill="F2F4F7"/>
          </w:tcPr>
          <w:p>
            <w:pPr>
              <w:spacing w:after="0" w:line="240" w:lineRule="auto"/>
              <w:jc w:val="right"/>
            </w:pPr>
            <w:r/>
            <w:r>
              <w:rPr>
                <w:sz w:val="17"/>
              </w:rPr>
              <w:t>114.8</w:t>
            </w:r>
          </w:p>
        </w:tc>
        <w:tc>
          <w:tcPr>
            <w:tcW w:type="dxa" w:w="1928"/>
            <w:shd w:val="clear" w:color="auto" w:fill="F2F4F7"/>
          </w:tcPr>
          <w:p>
            <w:pPr>
              <w:spacing w:after="0" w:line="240" w:lineRule="auto"/>
              <w:jc w:val="right"/>
            </w:pPr>
            <w:r/>
            <w:r>
              <w:rPr>
                <w:sz w:val="17"/>
              </w:rPr>
              <w:t>330</w:t>
            </w:r>
          </w:p>
        </w:tc>
        <w:tc>
          <w:tcPr>
            <w:tcW w:type="dxa" w:w="1871"/>
            <w:shd w:val="clear" w:color="auto" w:fill="F2F4F7"/>
          </w:tcPr>
          <w:p>
            <w:pPr>
              <w:spacing w:after="0" w:line="240" w:lineRule="auto"/>
              <w:jc w:val="right"/>
            </w:pPr>
            <w:r/>
            <w:r>
              <w:rPr>
                <w:sz w:val="17"/>
              </w:rPr>
              <w:t>220</w:t>
            </w:r>
          </w:p>
        </w:tc>
      </w:tr>
      <w:tr>
        <w:trPr>
          <w:cantSplit/>
        </w:trPr>
        <w:tc>
          <w:tcPr>
            <w:tcW w:type="dxa" w:w="1928"/>
          </w:tcPr>
          <w:p>
            <w:pPr>
              <w:spacing w:after="0" w:line="240" w:lineRule="auto"/>
            </w:pPr>
            <w:r/>
            <w:r>
              <w:rPr>
                <w:sz w:val="17"/>
              </w:rPr>
              <w:t>Month 39</w:t>
            </w:r>
          </w:p>
        </w:tc>
        <w:tc>
          <w:tcPr>
            <w:tcW w:type="dxa" w:w="1701"/>
          </w:tcPr>
          <w:p>
            <w:pPr>
              <w:spacing w:after="0" w:line="240" w:lineRule="auto"/>
              <w:jc w:val="right"/>
            </w:pPr>
            <w:r/>
            <w:r>
              <w:rPr>
                <w:sz w:val="17"/>
              </w:rPr>
              <w:t>80.5</w:t>
            </w:r>
          </w:p>
        </w:tc>
        <w:tc>
          <w:tcPr>
            <w:tcW w:type="dxa" w:w="1814"/>
          </w:tcPr>
          <w:p>
            <w:pPr>
              <w:spacing w:after="0" w:line="240" w:lineRule="auto"/>
              <w:jc w:val="right"/>
            </w:pPr>
            <w:r/>
            <w:r>
              <w:rPr>
                <w:sz w:val="17"/>
              </w:rPr>
              <w:t>125.2</w:t>
            </w:r>
          </w:p>
        </w:tc>
        <w:tc>
          <w:tcPr>
            <w:tcW w:type="dxa" w:w="1928"/>
          </w:tcPr>
          <w:p>
            <w:pPr>
              <w:spacing w:after="0" w:line="240" w:lineRule="auto"/>
              <w:jc w:val="right"/>
            </w:pPr>
            <w:r/>
            <w:r>
              <w:rPr>
                <w:sz w:val="17"/>
              </w:rPr>
              <w:t>360</w:t>
            </w:r>
          </w:p>
        </w:tc>
        <w:tc>
          <w:tcPr>
            <w:tcW w:type="dxa" w:w="1871"/>
          </w:tcPr>
          <w:p>
            <w:pPr>
              <w:spacing w:after="0" w:line="240" w:lineRule="auto"/>
              <w:jc w:val="right"/>
            </w:pPr>
            <w:r/>
            <w:r>
              <w:rPr>
                <w:sz w:val="17"/>
              </w:rPr>
              <w:t>240</w:t>
            </w:r>
          </w:p>
        </w:tc>
      </w:tr>
      <w:tr>
        <w:trPr>
          <w:cantSplit/>
        </w:trPr>
        <w:tc>
          <w:tcPr>
            <w:tcW w:type="dxa" w:w="1928"/>
            <w:shd w:val="clear" w:color="auto" w:fill="F2F4F7"/>
          </w:tcPr>
          <w:p>
            <w:pPr>
              <w:spacing w:after="0" w:line="240" w:lineRule="auto"/>
            </w:pPr>
            <w:r/>
            <w:r>
              <w:rPr>
                <w:sz w:val="17"/>
              </w:rPr>
              <w:t>Month 42</w:t>
            </w:r>
          </w:p>
        </w:tc>
        <w:tc>
          <w:tcPr>
            <w:tcW w:type="dxa" w:w="1701"/>
            <w:shd w:val="clear" w:color="auto" w:fill="F2F4F7"/>
          </w:tcPr>
          <w:p>
            <w:pPr>
              <w:spacing w:after="0" w:line="240" w:lineRule="auto"/>
              <w:jc w:val="right"/>
            </w:pPr>
            <w:r/>
            <w:r>
              <w:rPr>
                <w:sz w:val="17"/>
              </w:rPr>
              <w:t>80.5</w:t>
            </w:r>
          </w:p>
        </w:tc>
        <w:tc>
          <w:tcPr>
            <w:tcW w:type="dxa" w:w="1814"/>
            <w:shd w:val="clear" w:color="auto" w:fill="F2F4F7"/>
          </w:tcPr>
          <w:p>
            <w:pPr>
              <w:spacing w:after="0" w:line="240" w:lineRule="auto"/>
              <w:jc w:val="right"/>
            </w:pPr>
            <w:r/>
            <w:r>
              <w:rPr>
                <w:sz w:val="17"/>
              </w:rPr>
              <w:t>125.2</w:t>
            </w:r>
          </w:p>
        </w:tc>
        <w:tc>
          <w:tcPr>
            <w:tcW w:type="dxa" w:w="1928"/>
            <w:shd w:val="clear" w:color="auto" w:fill="F2F4F7"/>
          </w:tcPr>
          <w:p>
            <w:pPr>
              <w:spacing w:after="0" w:line="240" w:lineRule="auto"/>
              <w:jc w:val="right"/>
            </w:pPr>
            <w:r/>
            <w:r>
              <w:rPr>
                <w:sz w:val="17"/>
              </w:rPr>
              <w:t>360</w:t>
            </w:r>
          </w:p>
        </w:tc>
        <w:tc>
          <w:tcPr>
            <w:tcW w:type="dxa" w:w="1871"/>
            <w:shd w:val="clear" w:color="auto" w:fill="F2F4F7"/>
          </w:tcPr>
          <w:p>
            <w:pPr>
              <w:spacing w:after="0" w:line="240" w:lineRule="auto"/>
              <w:jc w:val="right"/>
            </w:pPr>
            <w:r/>
            <w:r>
              <w:rPr>
                <w:sz w:val="17"/>
              </w:rPr>
              <w:t>240</w:t>
            </w:r>
          </w:p>
        </w:tc>
      </w:tr>
      <w:tr>
        <w:trPr>
          <w:cantSplit/>
        </w:trPr>
        <w:tc>
          <w:tcPr>
            <w:tcW w:type="dxa" w:w="1928"/>
          </w:tcPr>
          <w:p>
            <w:pPr>
              <w:spacing w:after="0" w:line="240" w:lineRule="auto"/>
            </w:pPr>
            <w:r/>
            <w:r>
              <w:rPr>
                <w:sz w:val="17"/>
              </w:rPr>
              <w:t>Month 45</w:t>
            </w:r>
          </w:p>
        </w:tc>
        <w:tc>
          <w:tcPr>
            <w:tcW w:type="dxa" w:w="1701"/>
          </w:tcPr>
          <w:p>
            <w:pPr>
              <w:spacing w:after="0" w:line="240" w:lineRule="auto"/>
              <w:jc w:val="right"/>
            </w:pPr>
            <w:r/>
            <w:r>
              <w:rPr>
                <w:sz w:val="17"/>
              </w:rPr>
              <w:t>80.5</w:t>
            </w:r>
          </w:p>
        </w:tc>
        <w:tc>
          <w:tcPr>
            <w:tcW w:type="dxa" w:w="1814"/>
          </w:tcPr>
          <w:p>
            <w:pPr>
              <w:spacing w:after="0" w:line="240" w:lineRule="auto"/>
              <w:jc w:val="right"/>
            </w:pPr>
            <w:r/>
            <w:r>
              <w:rPr>
                <w:sz w:val="17"/>
              </w:rPr>
              <w:t>62.6</w:t>
            </w:r>
          </w:p>
        </w:tc>
        <w:tc>
          <w:tcPr>
            <w:tcW w:type="dxa" w:w="1928"/>
          </w:tcPr>
          <w:p>
            <w:pPr>
              <w:spacing w:after="0" w:line="240" w:lineRule="auto"/>
              <w:jc w:val="right"/>
            </w:pPr>
            <w:r/>
            <w:r>
              <w:rPr>
                <w:sz w:val="17"/>
              </w:rPr>
              <w:t>360</w:t>
            </w:r>
          </w:p>
        </w:tc>
        <w:tc>
          <w:tcPr>
            <w:tcW w:type="dxa" w:w="1871"/>
          </w:tcPr>
          <w:p>
            <w:pPr>
              <w:spacing w:after="0" w:line="240" w:lineRule="auto"/>
              <w:jc w:val="right"/>
            </w:pPr>
            <w:r/>
            <w:r>
              <w:rPr>
                <w:sz w:val="17"/>
              </w:rPr>
              <w:t>240</w:t>
            </w:r>
          </w:p>
        </w:tc>
      </w:tr>
      <w:tr>
        <w:trPr>
          <w:cantSplit/>
        </w:trPr>
        <w:tc>
          <w:tcPr>
            <w:tcW w:type="dxa" w:w="1928"/>
            <w:shd w:val="clear" w:color="auto" w:fill="F2F4F7"/>
          </w:tcPr>
          <w:p>
            <w:pPr>
              <w:spacing w:after="0" w:line="240" w:lineRule="auto"/>
            </w:pPr>
            <w:r/>
            <w:r>
              <w:rPr>
                <w:sz w:val="17"/>
              </w:rPr>
              <w:t>Month 48</w:t>
            </w:r>
          </w:p>
        </w:tc>
        <w:tc>
          <w:tcPr>
            <w:tcW w:type="dxa" w:w="1701"/>
            <w:shd w:val="clear" w:color="auto" w:fill="F2F4F7"/>
          </w:tcPr>
          <w:p>
            <w:pPr>
              <w:spacing w:after="0" w:line="240" w:lineRule="auto"/>
              <w:jc w:val="right"/>
            </w:pPr>
            <w:r/>
            <w:r>
              <w:rPr>
                <w:sz w:val="17"/>
              </w:rPr>
              <w:t>80.5</w:t>
            </w:r>
          </w:p>
        </w:tc>
        <w:tc>
          <w:tcPr>
            <w:tcW w:type="dxa" w:w="1814"/>
            <w:shd w:val="clear" w:color="auto" w:fill="F2F4F7"/>
          </w:tcPr>
          <w:p>
            <w:pPr>
              <w:spacing w:after="0" w:line="240" w:lineRule="auto"/>
              <w:jc w:val="right"/>
            </w:pPr>
            <w:r/>
            <w:r>
              <w:rPr>
                <w:sz w:val="17"/>
              </w:rPr>
              <w:t>62.6</w:t>
            </w:r>
          </w:p>
        </w:tc>
        <w:tc>
          <w:tcPr>
            <w:tcW w:type="dxa" w:w="1928"/>
            <w:shd w:val="clear" w:color="auto" w:fill="F2F4F7"/>
          </w:tcPr>
          <w:p>
            <w:pPr>
              <w:spacing w:after="0" w:line="240" w:lineRule="auto"/>
              <w:jc w:val="right"/>
            </w:pPr>
            <w:r/>
            <w:r>
              <w:rPr>
                <w:sz w:val="17"/>
              </w:rPr>
              <w:t>360</w:t>
            </w:r>
          </w:p>
        </w:tc>
        <w:tc>
          <w:tcPr>
            <w:tcW w:type="dxa" w:w="1871"/>
            <w:shd w:val="clear" w:color="auto" w:fill="F2F4F7"/>
          </w:tcPr>
          <w:p>
            <w:pPr>
              <w:spacing w:after="0" w:line="240" w:lineRule="auto"/>
              <w:jc w:val="right"/>
            </w:pPr>
            <w:r/>
            <w:r>
              <w:rPr>
                <w:sz w:val="17"/>
              </w:rPr>
              <w:t>240</w:t>
            </w:r>
          </w:p>
        </w:tc>
      </w:tr>
      <w:tr>
        <w:trPr>
          <w:cantSplit/>
        </w:trPr>
        <w:tc>
          <w:tcPr>
            <w:tcW w:type="dxa" w:w="1928"/>
          </w:tcPr>
          <w:p>
            <w:pPr>
              <w:spacing w:after="0" w:line="240" w:lineRule="auto"/>
            </w:pPr>
            <w:r/>
            <w:r>
              <w:rPr>
                <w:b/>
                <w:sz w:val="17"/>
              </w:rPr>
              <w:t>Total</w:t>
            </w:r>
          </w:p>
        </w:tc>
        <w:tc>
          <w:tcPr>
            <w:tcW w:type="dxa" w:w="1701"/>
          </w:tcPr>
          <w:p>
            <w:pPr>
              <w:spacing w:after="0" w:line="240" w:lineRule="auto"/>
              <w:jc w:val="right"/>
            </w:pPr>
            <w:r/>
            <w:r>
              <w:rPr>
                <w:b/>
                <w:sz w:val="17"/>
              </w:rPr>
              <w:t>1,076.9</w:t>
            </w:r>
          </w:p>
        </w:tc>
        <w:tc>
          <w:tcPr>
            <w:tcW w:type="dxa" w:w="1814"/>
          </w:tcPr>
          <w:p>
            <w:pPr>
              <w:spacing w:after="0" w:line="240" w:lineRule="auto"/>
              <w:jc w:val="right"/>
            </w:pPr>
            <w:r/>
            <w:r>
              <w:rPr>
                <w:b/>
                <w:sz w:val="17"/>
              </w:rPr>
              <w:t>1,596.9</w:t>
            </w:r>
          </w:p>
        </w:tc>
        <w:tc>
          <w:tcPr>
            <w:tcW w:type="dxa" w:w="1928"/>
          </w:tcPr>
          <w:p>
            <w:pPr>
              <w:spacing w:after="0" w:line="240" w:lineRule="auto"/>
              <w:jc w:val="right"/>
            </w:pPr>
            <w:r/>
            <w:r>
              <w:rPr>
                <w:b/>
                <w:sz w:val="17"/>
              </w:rPr>
            </w:r>
          </w:p>
        </w:tc>
        <w:tc>
          <w:tcPr>
            <w:tcW w:type="dxa" w:w="1871"/>
          </w:tcPr>
          <w:p>
            <w:pPr>
              <w:spacing w:after="0" w:line="240" w:lineRule="auto"/>
              <w:jc w:val="right"/>
            </w:pPr>
            <w:r/>
            <w:r>
              <w:rPr>
                <w:b/>
                <w:sz w:val="17"/>
              </w:rPr>
            </w:r>
          </w:p>
        </w:tc>
      </w:tr>
    </w:tbl>
    <w:p>
      <w:pPr>
        <w:spacing w:after="80"/>
      </w:pPr>
    </w:p>
    <w:p>
      <w:r>
        <w:rPr>
          <w:b w:val="0"/>
          <w:i w:val="0"/>
        </w:rPr>
        <w:t>Total sales at 100% of units are EGP 3,342 million at modelled prices; the plan sells 80%, EGP 2,674 million. The first two tranches (months 15 and 18) carry the launch list and total EGP 725 million; Option A units come from these.</w:t>
      </w:r>
    </w:p>
    <w:p>
      <w:pPr>
        <w:keepNext/>
        <w:spacing w:after="60"/>
      </w:pPr>
      <w:r>
        <w:rPr>
          <w:b/>
          <w:color w:val="17324D"/>
          <w:sz w:val="19"/>
        </w:rPr>
        <w:t>Table 15: L'avenir: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7"/>
              </w:rPr>
              <w:t>Project year</w:t>
            </w:r>
          </w:p>
        </w:tc>
        <w:tc>
          <w:tcPr>
            <w:tcW w:type="dxa" w:w="1417"/>
            <w:shd w:val="clear" w:color="auto" w:fill="17324D"/>
          </w:tcPr>
          <w:p>
            <w:pPr>
              <w:spacing w:after="0" w:line="240" w:lineRule="auto"/>
              <w:jc w:val="right"/>
            </w:pPr>
            <w:r/>
            <w:r>
              <w:rPr>
                <w:b/>
                <w:color w:val="FFFFFF"/>
                <w:sz w:val="17"/>
              </w:rPr>
              <w:t>Collections</w:t>
            </w:r>
          </w:p>
        </w:tc>
        <w:tc>
          <w:tcPr>
            <w:tcW w:type="dxa" w:w="1644"/>
            <w:shd w:val="clear" w:color="auto" w:fill="17324D"/>
          </w:tcPr>
          <w:p>
            <w:pPr>
              <w:spacing w:after="0" w:line="240" w:lineRule="auto"/>
              <w:jc w:val="right"/>
            </w:pPr>
            <w:r/>
            <w:r>
              <w:rPr>
                <w:b/>
                <w:color w:val="FFFFFF"/>
                <w:sz w:val="17"/>
              </w:rPr>
              <w:t>Landlord payments</w:t>
            </w:r>
          </w:p>
        </w:tc>
        <w:tc>
          <w:tcPr>
            <w:tcW w:type="dxa" w:w="2041"/>
            <w:shd w:val="clear" w:color="auto" w:fill="17324D"/>
          </w:tcPr>
          <w:p>
            <w:pPr>
              <w:spacing w:after="0" w:line="240" w:lineRule="auto"/>
              <w:jc w:val="right"/>
            </w:pPr>
            <w:r/>
            <w:r>
              <w:rPr>
                <w:b/>
                <w:color w:val="FFFFFF"/>
                <w:sz w:val="17"/>
              </w:rPr>
              <w:t>Construction, commission, SG&amp;A</w:t>
            </w:r>
          </w:p>
        </w:tc>
        <w:tc>
          <w:tcPr>
            <w:tcW w:type="dxa" w:w="1417"/>
            <w:shd w:val="clear" w:color="auto" w:fill="17324D"/>
          </w:tcPr>
          <w:p>
            <w:pPr>
              <w:spacing w:after="0" w:line="240" w:lineRule="auto"/>
              <w:jc w:val="right"/>
            </w:pPr>
            <w:r/>
            <w:r>
              <w:rPr>
                <w:b/>
                <w:color w:val="FFFFFF"/>
                <w:sz w:val="17"/>
              </w:rPr>
              <w:t>Net cash flow</w:t>
            </w:r>
          </w:p>
        </w:tc>
        <w:tc>
          <w:tcPr>
            <w:tcW w:type="dxa" w:w="1361"/>
            <w:shd w:val="clear" w:color="auto" w:fill="17324D"/>
          </w:tcPr>
          <w:p>
            <w:pPr>
              <w:spacing w:after="0" w:line="240" w:lineRule="auto"/>
              <w:jc w:val="right"/>
            </w:pPr>
            <w:r/>
            <w:r>
              <w:rPr>
                <w:b/>
                <w:color w:val="FFFFFF"/>
                <w:sz w:val="17"/>
              </w:rPr>
              <w:t>Cumulative</w:t>
            </w:r>
          </w:p>
        </w:tc>
      </w:tr>
      <w:tr>
        <w:trPr>
          <w:cantSplit/>
        </w:trPr>
        <w:tc>
          <w:tcPr>
            <w:tcW w:type="dxa" w:w="1361"/>
          </w:tcPr>
          <w:p>
            <w:pPr>
              <w:spacing w:after="0" w:line="240" w:lineRule="auto"/>
            </w:pPr>
            <w:r/>
            <w:r>
              <w:rPr>
                <w:sz w:val="17"/>
              </w:rPr>
              <w:t>Year 1</w:t>
            </w:r>
          </w:p>
        </w:tc>
        <w:tc>
          <w:tcPr>
            <w:tcW w:type="dxa" w:w="1417"/>
          </w:tcPr>
          <w:p>
            <w:pPr>
              <w:spacing w:after="0" w:line="240" w:lineRule="auto"/>
              <w:jc w:val="right"/>
            </w:pPr>
            <w:r/>
            <w:r>
              <w:rPr>
                <w:sz w:val="17"/>
              </w:rPr>
              <w:t>0.0</w:t>
            </w:r>
          </w:p>
        </w:tc>
        <w:tc>
          <w:tcPr>
            <w:tcW w:type="dxa" w:w="1644"/>
          </w:tcPr>
          <w:p>
            <w:pPr>
              <w:spacing w:after="0" w:line="240" w:lineRule="auto"/>
              <w:jc w:val="right"/>
            </w:pPr>
            <w:r/>
            <w:r>
              <w:rPr>
                <w:sz w:val="17"/>
              </w:rPr>
              <w:t>-85.0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-85.0</w:t>
            </w:r>
          </w:p>
        </w:tc>
        <w:tc>
          <w:tcPr>
            <w:tcW w:type="dxa" w:w="1361"/>
          </w:tcPr>
          <w:p>
            <w:pPr>
              <w:spacing w:after="0" w:line="240" w:lineRule="auto"/>
              <w:jc w:val="right"/>
            </w:pPr>
            <w:r/>
            <w:r>
              <w:rPr>
                <w:sz w:val="17"/>
              </w:rPr>
              <w:t>-85.0</w:t>
            </w:r>
          </w:p>
        </w:tc>
      </w:tr>
      <w:tr>
        <w:trPr>
          <w:cantSplit/>
        </w:trPr>
        <w:tc>
          <w:tcPr>
            <w:tcW w:type="dxa" w:w="1361"/>
            <w:shd w:val="clear" w:color="auto" w:fill="F2F4F7"/>
          </w:tcPr>
          <w:p>
            <w:pPr>
              <w:spacing w:after="0" w:line="240" w:lineRule="auto"/>
            </w:pPr>
            <w:r/>
            <w:r>
              <w:rPr>
                <w:sz w:val="17"/>
              </w:rPr>
              <w:t>Year 2</w:t>
            </w:r>
          </w:p>
        </w:tc>
        <w:tc>
          <w:tcPr>
            <w:tcW w:type="dxa" w:w="1417"/>
            <w:shd w:val="clear" w:color="auto" w:fill="F2F4F7"/>
          </w:tcPr>
          <w:p>
            <w:pPr>
              <w:spacing w:after="0" w:line="240" w:lineRule="auto"/>
              <w:jc w:val="right"/>
            </w:pPr>
            <w:r/>
            <w:r>
              <w:rPr>
                <w:sz w:val="17"/>
              </w:rPr>
              <w:t>181.6</w:t>
            </w:r>
          </w:p>
        </w:tc>
        <w:tc>
          <w:tcPr>
            <w:tcW w:type="dxa" w:w="1644"/>
            <w:shd w:val="clear" w:color="auto" w:fill="F2F4F7"/>
          </w:tcPr>
          <w:p>
            <w:pPr>
              <w:spacing w:after="0" w:line="240" w:lineRule="auto"/>
              <w:jc w:val="right"/>
            </w:pPr>
            <w:r/>
            <w:r>
              <w:rPr>
                <w:sz w:val="17"/>
              </w:rPr>
              <w:t>-90.0</w:t>
            </w:r>
          </w:p>
        </w:tc>
        <w:tc>
          <w:tcPr>
            <w:tcW w:type="dxa" w:w="2041"/>
            <w:shd w:val="clear" w:color="auto" w:fill="F2F4F7"/>
          </w:tcPr>
          <w:p>
            <w:pPr>
              <w:spacing w:after="0" w:line="240" w:lineRule="auto"/>
              <w:jc w:val="right"/>
            </w:pPr>
            <w:r/>
            <w:r>
              <w:rPr>
                <w:sz w:val="17"/>
              </w:rPr>
              <w:t>-53.4</w:t>
            </w:r>
          </w:p>
        </w:tc>
        <w:tc>
          <w:tcPr>
            <w:tcW w:type="dxa" w:w="1417"/>
            <w:shd w:val="clear" w:color="auto" w:fill="F2F4F7"/>
          </w:tcPr>
          <w:p>
            <w:pPr>
              <w:spacing w:after="0" w:line="240" w:lineRule="auto"/>
              <w:jc w:val="right"/>
            </w:pPr>
            <w:r/>
            <w:r>
              <w:rPr>
                <w:sz w:val="17"/>
              </w:rPr>
              <w:t>38.3</w:t>
            </w:r>
          </w:p>
        </w:tc>
        <w:tc>
          <w:tcPr>
            <w:tcW w:type="dxa" w:w="1361"/>
            <w:shd w:val="clear" w:color="auto" w:fill="F2F4F7"/>
          </w:tcPr>
          <w:p>
            <w:pPr>
              <w:spacing w:after="0" w:line="240" w:lineRule="auto"/>
              <w:jc w:val="right"/>
            </w:pPr>
            <w:r/>
            <w:r>
              <w:rPr>
                <w:sz w:val="17"/>
              </w:rPr>
              <w:t>-46.7</w:t>
            </w:r>
          </w:p>
        </w:tc>
      </w:tr>
      <w:tr>
        <w:trPr>
          <w:cantSplit/>
        </w:trPr>
        <w:tc>
          <w:tcPr>
            <w:tcW w:type="dxa" w:w="1361"/>
          </w:tcPr>
          <w:p>
            <w:pPr>
              <w:spacing w:after="0" w:line="240" w:lineRule="auto"/>
            </w:pPr>
            <w:r/>
            <w:r>
              <w:rPr>
                <w:sz w:val="17"/>
              </w:rPr>
              <w:t>Year 3</w:t>
            </w:r>
          </w:p>
        </w:tc>
        <w:tc>
          <w:tcPr>
            <w:tcW w:type="dxa" w:w="1417"/>
          </w:tcPr>
          <w:p>
            <w:pPr>
              <w:spacing w:after="0" w:line="240" w:lineRule="auto"/>
              <w:jc w:val="right"/>
            </w:pPr>
            <w:r/>
            <w:r>
              <w:rPr>
                <w:sz w:val="17"/>
              </w:rPr>
              <w:t>334.5</w:t>
            </w:r>
          </w:p>
        </w:tc>
        <w:tc>
          <w:tcPr>
            <w:tcW w:type="dxa" w:w="1644"/>
          </w:tcPr>
          <w:p>
            <w:pPr>
              <w:spacing w:after="0" w:line="240" w:lineRule="auto"/>
              <w:jc w:val="right"/>
            </w:pPr>
            <w:r/>
            <w:r>
              <w:rPr>
                <w:sz w:val="17"/>
              </w:rPr>
              <w:t>-180.0</w:t>
            </w:r>
          </w:p>
        </w:tc>
        <w:tc>
          <w:tcPr>
            <w:tcW w:type="dxa" w:w="2041"/>
          </w:tcPr>
          <w:p>
            <w:pPr>
              <w:spacing w:after="0" w:line="240" w:lineRule="auto"/>
              <w:jc w:val="right"/>
            </w:pPr>
            <w:r/>
            <w:r>
              <w:rPr>
                <w:sz w:val="17"/>
              </w:rPr>
              <w:t>-185.7</w:t>
            </w:r>
          </w:p>
        </w:tc>
        <w:tc>
          <w:tcPr>
            <w:tcW w:type="dxa" w:w="1417"/>
          </w:tcPr>
          <w:p>
            <w:pPr>
              <w:spacing w:after="0" w:line="240" w:lineRule="auto"/>
              <w:jc w:val="right"/>
            </w:pPr>
            <w:r/>
            <w:r>
              <w:rPr>
                <w:sz w:val="17"/>
              </w:rPr>
              <w:t>-31.2</w:t>
            </w:r>
          </w:p>
        </w:tc>
        <w:tc>
          <w:tcPr>
            <w:tcW w:type="dxa" w:w="1361"/>
          </w:tcPr>
          <w:p>
            <w:pPr>
              <w:spacing w:after="0" w:line="240" w:lineRule="auto"/>
              <w:jc w:val="right"/>
            </w:pPr>
            <w:r/>
            <w:r>
              <w:rPr>
                <w:sz w:val="17"/>
              </w:rPr>
              <w:t>-77.9</w:t>
            </w:r>
          </w:p>
        </w:tc>
      </w:tr>
      <w:tr>
        <w:trPr>
          <w:cantSplit/>
        </w:trPr>
        <w:tc>
          <w:tcPr>
            <w:tcW w:type="dxa" w:w="1361"/>
            <w:shd w:val="clear" w:color="auto" w:fill="F2F4F7"/>
          </w:tcPr>
          <w:p>
            <w:pPr>
              <w:spacing w:after="0" w:line="240" w:lineRule="auto"/>
            </w:pPr>
            <w:r/>
            <w:r>
              <w:rPr>
                <w:sz w:val="17"/>
              </w:rPr>
              <w:t>Year 4</w:t>
            </w:r>
          </w:p>
        </w:tc>
        <w:tc>
          <w:tcPr>
            <w:tcW w:type="dxa" w:w="1417"/>
            <w:shd w:val="clear" w:color="auto" w:fill="F2F4F7"/>
          </w:tcPr>
          <w:p>
            <w:pPr>
              <w:spacing w:after="0" w:line="240" w:lineRule="auto"/>
              <w:jc w:val="right"/>
            </w:pPr>
            <w:r/>
            <w:r>
              <w:rPr>
                <w:sz w:val="17"/>
              </w:rPr>
              <w:t>1,094.9</w:t>
            </w:r>
          </w:p>
        </w:tc>
        <w:tc>
          <w:tcPr>
            <w:tcW w:type="dxa" w:w="1644"/>
            <w:shd w:val="clear" w:color="auto" w:fill="F2F4F7"/>
          </w:tcPr>
          <w:p>
            <w:pPr>
              <w:spacing w:after="0" w:line="240" w:lineRule="auto"/>
              <w:jc w:val="right"/>
            </w:pPr>
            <w:r/>
            <w:r>
              <w:rPr>
                <w:sz w:val="17"/>
              </w:rPr>
              <w:t>-225.0</w:t>
            </w:r>
          </w:p>
        </w:tc>
        <w:tc>
          <w:tcPr>
            <w:tcW w:type="dxa" w:w="2041"/>
            <w:shd w:val="clear" w:color="auto" w:fill="F2F4F7"/>
          </w:tcPr>
          <w:p>
            <w:pPr>
              <w:spacing w:after="0" w:line="240" w:lineRule="auto"/>
              <w:jc w:val="right"/>
            </w:pPr>
            <w:r/>
            <w:r>
              <w:rPr>
                <w:sz w:val="17"/>
              </w:rPr>
              <w:t>-318.6</w:t>
            </w:r>
          </w:p>
        </w:tc>
        <w:tc>
          <w:tcPr>
            <w:tcW w:type="dxa" w:w="1417"/>
            <w:shd w:val="clear" w:color="auto" w:fill="F2F4F7"/>
          </w:tcPr>
          <w:p>
            <w:pPr>
              <w:spacing w:after="0" w:line="240" w:lineRule="auto"/>
              <w:jc w:val="right"/>
            </w:pPr>
            <w:r/>
            <w:r>
              <w:rPr>
                <w:sz w:val="17"/>
              </w:rPr>
              <w:t>551.3</w:t>
            </w:r>
          </w:p>
        </w:tc>
        <w:tc>
          <w:tcPr>
            <w:tcW w:type="dxa" w:w="1361"/>
            <w:shd w:val="clear" w:color="auto" w:fill="F2F4F7"/>
          </w:tcPr>
          <w:p>
            <w:pPr>
              <w:spacing w:after="0" w:line="240" w:lineRule="auto"/>
              <w:jc w:val="right"/>
            </w:pPr>
            <w:r/>
            <w:r>
              <w:rPr>
                <w:sz w:val="17"/>
              </w:rPr>
              <w:t>473.4</w:t>
            </w:r>
          </w:p>
        </w:tc>
      </w:tr>
      <w:tr>
        <w:trPr>
          <w:cantSplit/>
        </w:trPr>
        <w:tc>
          <w:tcPr>
            <w:tcW w:type="dxa" w:w="1361"/>
          </w:tcPr>
          <w:p>
            <w:pPr>
              <w:spacing w:after="0" w:line="240" w:lineRule="auto"/>
            </w:pPr>
            <w:r/>
            <w:r>
              <w:rPr>
                <w:sz w:val="17"/>
              </w:rPr>
              <w:t>Year 5</w:t>
            </w:r>
          </w:p>
        </w:tc>
        <w:tc>
          <w:tcPr>
            <w:tcW w:type="dxa" w:w="1417"/>
          </w:tcPr>
          <w:p>
            <w:pPr>
              <w:spacing w:after="0" w:line="240" w:lineRule="auto"/>
              <w:jc w:val="right"/>
            </w:pPr>
            <w:r/>
            <w:r>
              <w:rPr>
                <w:sz w:val="17"/>
              </w:rPr>
              <w:t>375.2</w:t>
            </w:r>
          </w:p>
        </w:tc>
        <w:tc>
          <w:tcPr>
            <w:tcW w:type="dxa" w:w="1644"/>
          </w:tcPr>
          <w:p>
            <w:pPr>
              <w:spacing w:after="0" w:line="240" w:lineRule="auto"/>
              <w:jc w:val="right"/>
            </w:pPr>
            <w:r/>
            <w:r>
              <w:rPr>
                <w:sz w:val="17"/>
              </w:rPr>
              <w:t>-180.0</w:t>
            </w:r>
          </w:p>
        </w:tc>
        <w:tc>
          <w:tcPr>
            <w:tcW w:type="dxa" w:w="2041"/>
          </w:tcPr>
          <w:p>
            <w:pPr>
              <w:spacing w:after="0" w:line="240" w:lineRule="auto"/>
              <w:jc w:val="right"/>
            </w:pPr>
            <w:r/>
            <w:r>
              <w:rPr>
                <w:sz w:val="17"/>
              </w:rPr>
              <w:t>-351.1</w:t>
            </w:r>
          </w:p>
        </w:tc>
        <w:tc>
          <w:tcPr>
            <w:tcW w:type="dxa" w:w="1417"/>
          </w:tcPr>
          <w:p>
            <w:pPr>
              <w:spacing w:after="0" w:line="240" w:lineRule="auto"/>
              <w:jc w:val="right"/>
            </w:pPr>
            <w:r/>
            <w:r>
              <w:rPr>
                <w:sz w:val="17"/>
              </w:rPr>
              <w:t>-155.9</w:t>
            </w:r>
          </w:p>
        </w:tc>
        <w:tc>
          <w:tcPr>
            <w:tcW w:type="dxa" w:w="1361"/>
          </w:tcPr>
          <w:p>
            <w:pPr>
              <w:spacing w:after="0" w:line="240" w:lineRule="auto"/>
              <w:jc w:val="right"/>
            </w:pPr>
            <w:r/>
            <w:r>
              <w:rPr>
                <w:sz w:val="17"/>
              </w:rPr>
              <w:t>317.5</w:t>
            </w:r>
          </w:p>
        </w:tc>
      </w:tr>
      <w:tr>
        <w:trPr>
          <w:cantSplit/>
        </w:trPr>
        <w:tc>
          <w:tcPr>
            <w:tcW w:type="dxa" w:w="1361"/>
            <w:shd w:val="clear" w:color="auto" w:fill="F2F4F7"/>
          </w:tcPr>
          <w:p>
            <w:pPr>
              <w:spacing w:after="0" w:line="240" w:lineRule="auto"/>
            </w:pPr>
            <w:r/>
            <w:r>
              <w:rPr>
                <w:sz w:val="17"/>
              </w:rPr>
              <w:t>Year 6</w:t>
            </w:r>
          </w:p>
        </w:tc>
        <w:tc>
          <w:tcPr>
            <w:tcW w:type="dxa" w:w="1417"/>
            <w:shd w:val="clear" w:color="auto" w:fill="F2F4F7"/>
          </w:tcPr>
          <w:p>
            <w:pPr>
              <w:spacing w:after="0" w:line="240" w:lineRule="auto"/>
              <w:jc w:val="right"/>
            </w:pPr>
            <w:r/>
            <w:r>
              <w:rPr>
                <w:sz w:val="17"/>
              </w:rPr>
              <w:t>259.8</w:t>
            </w:r>
          </w:p>
        </w:tc>
        <w:tc>
          <w:tcPr>
            <w:tcW w:type="dxa" w:w="1644"/>
            <w:shd w:val="clear" w:color="auto" w:fill="F2F4F7"/>
          </w:tcPr>
          <w:p>
            <w:pPr>
              <w:spacing w:after="0" w:line="240" w:lineRule="auto"/>
              <w:jc w:val="right"/>
            </w:pPr>
            <w:r/>
            <w:r>
              <w:rPr>
                <w:sz w:val="17"/>
              </w:rPr>
              <w:t>-90.0</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169.8</w:t>
            </w:r>
          </w:p>
        </w:tc>
        <w:tc>
          <w:tcPr>
            <w:tcW w:type="dxa" w:w="1361"/>
            <w:shd w:val="clear" w:color="auto" w:fill="F2F4F7"/>
          </w:tcPr>
          <w:p>
            <w:pPr>
              <w:spacing w:after="0" w:line="240" w:lineRule="auto"/>
              <w:jc w:val="right"/>
            </w:pPr>
            <w:r/>
            <w:r>
              <w:rPr>
                <w:sz w:val="17"/>
              </w:rPr>
              <w:t>487.4</w:t>
            </w:r>
          </w:p>
        </w:tc>
      </w:tr>
      <w:tr>
        <w:trPr>
          <w:cantSplit/>
        </w:trPr>
        <w:tc>
          <w:tcPr>
            <w:tcW w:type="dxa" w:w="1361"/>
          </w:tcPr>
          <w:p>
            <w:pPr>
              <w:spacing w:after="0" w:line="240" w:lineRule="auto"/>
            </w:pPr>
            <w:r/>
            <w:r>
              <w:rPr>
                <w:sz w:val="17"/>
              </w:rPr>
              <w:t>Year 7</w:t>
            </w:r>
          </w:p>
        </w:tc>
        <w:tc>
          <w:tcPr>
            <w:tcW w:type="dxa" w:w="1417"/>
          </w:tcPr>
          <w:p>
            <w:pPr>
              <w:spacing w:after="0" w:line="240" w:lineRule="auto"/>
              <w:jc w:val="right"/>
            </w:pPr>
            <w:r/>
            <w:r>
              <w:rPr>
                <w:sz w:val="17"/>
              </w:rPr>
              <w:t>204.2</w:t>
            </w:r>
          </w:p>
        </w:tc>
        <w:tc>
          <w:tcPr>
            <w:tcW w:type="dxa" w:w="1644"/>
          </w:tcPr>
          <w:p>
            <w:pPr>
              <w:spacing w:after="0" w:line="240" w:lineRule="auto"/>
              <w:jc w:val="right"/>
            </w:pPr>
            <w:r/>
            <w:r>
              <w:rPr>
                <w:sz w:val="17"/>
              </w:rPr>
              <w:t>-0.0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204.2</w:t>
            </w:r>
          </w:p>
        </w:tc>
        <w:tc>
          <w:tcPr>
            <w:tcW w:type="dxa" w:w="1361"/>
          </w:tcPr>
          <w:p>
            <w:pPr>
              <w:spacing w:after="0" w:line="240" w:lineRule="auto"/>
              <w:jc w:val="right"/>
            </w:pPr>
            <w:r/>
            <w:r>
              <w:rPr>
                <w:sz w:val="17"/>
              </w:rPr>
              <w:t>691.5</w:t>
            </w:r>
          </w:p>
        </w:tc>
      </w:tr>
      <w:tr>
        <w:trPr>
          <w:cantSplit/>
        </w:trPr>
        <w:tc>
          <w:tcPr>
            <w:tcW w:type="dxa" w:w="1361"/>
            <w:shd w:val="clear" w:color="auto" w:fill="F2F4F7"/>
          </w:tcPr>
          <w:p>
            <w:pPr>
              <w:spacing w:after="0" w:line="240" w:lineRule="auto"/>
            </w:pPr>
            <w:r/>
            <w:r>
              <w:rPr>
                <w:sz w:val="17"/>
              </w:rPr>
              <w:t>Year 8</w:t>
            </w:r>
          </w:p>
        </w:tc>
        <w:tc>
          <w:tcPr>
            <w:tcW w:type="dxa" w:w="1417"/>
            <w:shd w:val="clear" w:color="auto" w:fill="F2F4F7"/>
          </w:tcPr>
          <w:p>
            <w:pPr>
              <w:spacing w:after="0" w:line="240" w:lineRule="auto"/>
              <w:jc w:val="right"/>
            </w:pPr>
            <w:r/>
            <w:r>
              <w:rPr>
                <w:sz w:val="17"/>
              </w:rPr>
              <w:t>142.8</w:t>
            </w:r>
          </w:p>
        </w:tc>
        <w:tc>
          <w:tcPr>
            <w:tcW w:type="dxa" w:w="1644"/>
            <w:shd w:val="clear" w:color="auto" w:fill="F2F4F7"/>
          </w:tcPr>
          <w:p>
            <w:pPr>
              <w:spacing w:after="0" w:line="240" w:lineRule="auto"/>
              <w:jc w:val="right"/>
            </w:pPr>
            <w:r/>
            <w:r>
              <w:rPr>
                <w:sz w:val="17"/>
              </w:rPr>
              <w:t>-284.4</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-141.6</w:t>
            </w:r>
          </w:p>
        </w:tc>
        <w:tc>
          <w:tcPr>
            <w:tcW w:type="dxa" w:w="1361"/>
            <w:shd w:val="clear" w:color="auto" w:fill="F2F4F7"/>
          </w:tcPr>
          <w:p>
            <w:pPr>
              <w:spacing w:after="0" w:line="240" w:lineRule="auto"/>
              <w:jc w:val="right"/>
            </w:pPr>
            <w:r/>
            <w:r>
              <w:rPr>
                <w:sz w:val="17"/>
              </w:rPr>
              <w:t>549.9</w:t>
            </w:r>
          </w:p>
        </w:tc>
      </w:tr>
      <w:tr>
        <w:trPr>
          <w:cantSplit/>
        </w:trPr>
        <w:tc>
          <w:tcPr>
            <w:tcW w:type="dxa" w:w="1361"/>
          </w:tcPr>
          <w:p>
            <w:pPr>
              <w:spacing w:after="0" w:line="240" w:lineRule="auto"/>
            </w:pPr>
            <w:r/>
            <w:r>
              <w:rPr>
                <w:sz w:val="17"/>
              </w:rPr>
              <w:t>Year 9</w:t>
            </w:r>
          </w:p>
        </w:tc>
        <w:tc>
          <w:tcPr>
            <w:tcW w:type="dxa" w:w="1417"/>
          </w:tcPr>
          <w:p>
            <w:pPr>
              <w:spacing w:after="0" w:line="240" w:lineRule="auto"/>
              <w:jc w:val="right"/>
            </w:pPr>
            <w:r/>
            <w:r>
              <w:rPr>
                <w:sz w:val="17"/>
              </w:rPr>
              <w:t>66.2</w:t>
            </w:r>
          </w:p>
        </w:tc>
        <w:tc>
          <w:tcPr>
            <w:tcW w:type="dxa" w:w="1644"/>
          </w:tcPr>
          <w:p>
            <w:pPr>
              <w:spacing w:after="0" w:line="240" w:lineRule="auto"/>
              <w:jc w:val="right"/>
            </w:pPr>
            <w:r/>
            <w:r>
              <w:rPr>
                <w:sz w:val="17"/>
              </w:rPr>
              <w:t>-29.0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37.2</w:t>
            </w:r>
          </w:p>
        </w:tc>
        <w:tc>
          <w:tcPr>
            <w:tcW w:type="dxa" w:w="1361"/>
          </w:tcPr>
          <w:p>
            <w:pPr>
              <w:spacing w:after="0" w:line="240" w:lineRule="auto"/>
              <w:jc w:val="right"/>
            </w:pPr>
            <w:r/>
            <w:r>
              <w:rPr>
                <w:sz w:val="17"/>
              </w:rPr>
              <w:t>587.1</w:t>
            </w:r>
          </w:p>
        </w:tc>
      </w:tr>
      <w:tr>
        <w:trPr>
          <w:cantSplit/>
        </w:trPr>
        <w:tc>
          <w:tcPr>
            <w:tcW w:type="dxa" w:w="1361"/>
            <w:shd w:val="clear" w:color="auto" w:fill="F2F4F7"/>
          </w:tcPr>
          <w:p>
            <w:pPr>
              <w:spacing w:after="0" w:line="240" w:lineRule="auto"/>
            </w:pPr>
            <w:r/>
            <w:r>
              <w:rPr>
                <w:sz w:val="17"/>
              </w:rPr>
              <w:t>Year 10</w:t>
            </w:r>
          </w:p>
        </w:tc>
        <w:tc>
          <w:tcPr>
            <w:tcW w:type="dxa" w:w="1417"/>
            <w:shd w:val="clear" w:color="auto" w:fill="F2F4F7"/>
          </w:tcPr>
          <w:p>
            <w:pPr>
              <w:spacing w:after="0" w:line="240" w:lineRule="auto"/>
              <w:jc w:val="right"/>
            </w:pPr>
            <w:r/>
            <w:r>
              <w:rPr>
                <w:sz w:val="17"/>
              </w:rPr>
              <w:t>14.5</w:t>
            </w:r>
          </w:p>
        </w:tc>
        <w:tc>
          <w:tcPr>
            <w:tcW w:type="dxa" w:w="1644"/>
            <w:shd w:val="clear" w:color="auto" w:fill="F2F4F7"/>
          </w:tcPr>
          <w:p>
            <w:pPr>
              <w:spacing w:after="0" w:line="240" w:lineRule="auto"/>
              <w:jc w:val="right"/>
            </w:pPr>
            <w:r/>
            <w:r>
              <w:rPr>
                <w:sz w:val="17"/>
              </w:rPr>
              <w:t>-6.3</w:t>
            </w:r>
          </w:p>
        </w:tc>
        <w:tc>
          <w:tcPr>
            <w:tcW w:type="dxa" w:w="2041"/>
            <w:shd w:val="clear" w:color="auto" w:fill="F2F4F7"/>
          </w:tcPr>
          <w:p>
            <w:pPr>
              <w:spacing w:after="0" w:line="240" w:lineRule="auto"/>
              <w:jc w:val="right"/>
            </w:pPr>
            <w:r/>
            <w:r>
              <w:rPr>
                <w:sz w:val="17"/>
              </w:rPr>
              <w:t>-0.0</w:t>
            </w:r>
          </w:p>
        </w:tc>
        <w:tc>
          <w:tcPr>
            <w:tcW w:type="dxa" w:w="1417"/>
            <w:shd w:val="clear" w:color="auto" w:fill="F2F4F7"/>
          </w:tcPr>
          <w:p>
            <w:pPr>
              <w:spacing w:after="0" w:line="240" w:lineRule="auto"/>
              <w:jc w:val="right"/>
            </w:pPr>
            <w:r/>
            <w:r>
              <w:rPr>
                <w:sz w:val="17"/>
              </w:rPr>
              <w:t>8.2</w:t>
            </w:r>
          </w:p>
        </w:tc>
        <w:tc>
          <w:tcPr>
            <w:tcW w:type="dxa" w:w="1361"/>
            <w:shd w:val="clear" w:color="auto" w:fill="F2F4F7"/>
          </w:tcPr>
          <w:p>
            <w:pPr>
              <w:spacing w:after="0" w:line="240" w:lineRule="auto"/>
              <w:jc w:val="right"/>
            </w:pPr>
            <w:r/>
            <w:r>
              <w:rPr>
                <w:sz w:val="17"/>
              </w:rPr>
              <w:t>595.3</w:t>
            </w:r>
          </w:p>
        </w:tc>
      </w:tr>
      <w:tr>
        <w:trPr>
          <w:cantSplit/>
        </w:trPr>
        <w:tc>
          <w:tcPr>
            <w:tcW w:type="dxa" w:w="1361"/>
          </w:tcPr>
          <w:p>
            <w:pPr>
              <w:spacing w:after="0" w:line="240" w:lineRule="auto"/>
            </w:pPr>
            <w:r/>
            <w:r>
              <w:rPr>
                <w:sz w:val="17"/>
              </w:rPr>
              <w:t>Year 11</w:t>
            </w:r>
          </w:p>
        </w:tc>
        <w:tc>
          <w:tcPr>
            <w:tcW w:type="dxa" w:w="1417"/>
          </w:tcPr>
          <w:p>
            <w:pPr>
              <w:spacing w:after="0" w:line="240" w:lineRule="auto"/>
              <w:jc w:val="right"/>
            </w:pPr>
            <w:r/>
            <w:r>
              <w:rPr>
                <w:sz w:val="17"/>
              </w:rPr>
              <w:t>0.0</w:t>
            </w:r>
          </w:p>
        </w:tc>
        <w:tc>
          <w:tcPr>
            <w:tcW w:type="dxa" w:w="1644"/>
          </w:tcPr>
          <w:p>
            <w:pPr>
              <w:spacing w:after="0" w:line="240" w:lineRule="auto"/>
              <w:jc w:val="right"/>
            </w:pPr>
            <w:r/>
            <w:r>
              <w:rPr>
                <w:sz w:val="17"/>
              </w:rPr>
              <w:t>-0.0</w:t>
            </w:r>
          </w:p>
        </w:tc>
        <w:tc>
          <w:tcPr>
            <w:tcW w:type="dxa" w:w="2041"/>
          </w:tcPr>
          <w:p>
            <w:pPr>
              <w:spacing w:after="0" w:line="240" w:lineRule="auto"/>
              <w:jc w:val="right"/>
            </w:pPr>
            <w:r/>
            <w:r>
              <w:rPr>
                <w:sz w:val="17"/>
              </w:rPr>
              <w:t>-0.0</w:t>
            </w:r>
          </w:p>
        </w:tc>
        <w:tc>
          <w:tcPr>
            <w:tcW w:type="dxa" w:w="1417"/>
          </w:tcPr>
          <w:p>
            <w:pPr>
              <w:spacing w:after="0" w:line="240" w:lineRule="auto"/>
              <w:jc w:val="right"/>
            </w:pPr>
            <w:r/>
            <w:r>
              <w:rPr>
                <w:sz w:val="17"/>
              </w:rPr>
              <w:t>0.0</w:t>
            </w:r>
          </w:p>
        </w:tc>
        <w:tc>
          <w:tcPr>
            <w:tcW w:type="dxa" w:w="1361"/>
          </w:tcPr>
          <w:p>
            <w:pPr>
              <w:spacing w:after="0" w:line="240" w:lineRule="auto"/>
              <w:jc w:val="right"/>
            </w:pPr>
            <w:r/>
            <w:r>
              <w:rPr>
                <w:sz w:val="17"/>
              </w:rPr>
              <w:t>595.3</w:t>
            </w:r>
          </w:p>
        </w:tc>
      </w:tr>
      <w:tr>
        <w:trPr>
          <w:cantSplit/>
        </w:trPr>
        <w:tc>
          <w:tcPr>
            <w:tcW w:type="dxa" w:w="1361"/>
            <w:shd w:val="clear" w:color="auto" w:fill="F2F4F7"/>
          </w:tcPr>
          <w:p>
            <w:pPr>
              <w:spacing w:after="0" w:line="240" w:lineRule="auto"/>
            </w:pPr>
            <w:r/>
            <w:r>
              <w:rPr>
                <w:b/>
                <w:sz w:val="17"/>
              </w:rPr>
              <w:t>Total</w:t>
            </w:r>
          </w:p>
        </w:tc>
        <w:tc>
          <w:tcPr>
            <w:tcW w:type="dxa" w:w="1417"/>
            <w:shd w:val="clear" w:color="auto" w:fill="F2F4F7"/>
          </w:tcPr>
          <w:p>
            <w:pPr>
              <w:spacing w:after="0" w:line="240" w:lineRule="auto"/>
              <w:jc w:val="right"/>
            </w:pPr>
            <w:r/>
            <w:r>
              <w:rPr>
                <w:b/>
                <w:sz w:val="17"/>
              </w:rPr>
              <w:t>2,673.7</w:t>
            </w:r>
          </w:p>
        </w:tc>
        <w:tc>
          <w:tcPr>
            <w:tcW w:type="dxa" w:w="1644"/>
            <w:shd w:val="clear" w:color="auto" w:fill="F2F4F7"/>
          </w:tcPr>
          <w:p>
            <w:pPr>
              <w:spacing w:after="0" w:line="240" w:lineRule="auto"/>
              <w:jc w:val="right"/>
            </w:pPr>
            <w:r/>
            <w:r>
              <w:rPr>
                <w:b/>
                <w:sz w:val="17"/>
              </w:rPr>
              <w:t>-1,169.8</w:t>
            </w:r>
          </w:p>
        </w:tc>
        <w:tc>
          <w:tcPr>
            <w:tcW w:type="dxa" w:w="2041"/>
            <w:shd w:val="clear" w:color="auto" w:fill="F2F4F7"/>
          </w:tcPr>
          <w:p>
            <w:pPr>
              <w:spacing w:after="0" w:line="240" w:lineRule="auto"/>
              <w:jc w:val="right"/>
            </w:pPr>
            <w:r/>
            <w:r>
              <w:rPr>
                <w:b/>
                <w:sz w:val="17"/>
              </w:rPr>
              <w:t>-908.7</w:t>
            </w:r>
          </w:p>
        </w:tc>
        <w:tc>
          <w:tcPr>
            <w:tcW w:type="dxa" w:w="1417"/>
            <w:shd w:val="clear" w:color="auto" w:fill="F2F4F7"/>
          </w:tcPr>
          <w:p>
            <w:pPr>
              <w:spacing w:after="0" w:line="240" w:lineRule="auto"/>
              <w:jc w:val="right"/>
            </w:pPr>
            <w:r/>
            <w:r>
              <w:rPr>
                <w:b/>
                <w:sz w:val="17"/>
              </w:rPr>
              <w:t>595.3</w:t>
            </w:r>
          </w:p>
        </w:tc>
        <w:tc>
          <w:tcPr>
            <w:tcW w:type="dxa" w:w="1361"/>
            <w:shd w:val="clear" w:color="auto" w:fill="F2F4F7"/>
          </w:tcPr>
          <w:p>
            <w:pPr>
              <w:spacing w:after="0" w:line="240" w:lineRule="auto"/>
              <w:jc w:val="right"/>
            </w:pPr>
            <w:r/>
            <w:r>
              <w:rPr>
                <w:b/>
                <w:sz w:val="17"/>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L'avenir: project cash flow by year. </w:t>
      </w:r>
      <w:r>
        <w:rPr>
          <w:i/>
          <w:color w:val="6B7280"/>
          <w:sz w:val="18"/>
        </w:rPr>
        <w:t>Source: Jalour financial model; Financial Annex, project cash flow sheets</w:t>
      </w:r>
    </w:p>
    <w:p>
      <w:r>
        <w:rPr>
          <w:b w:val="0"/>
          <w:i w:val="0"/>
        </w:rPr>
        <w:t>Each model collects the delivery payment on a contractual milestone ahead of handover (project month 30 in Green Square and month 45 in L'avenir), which produces a large collection in that month.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16: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608"/>
            <w:shd w:val="clear" w:color="auto" w:fill="17324D"/>
          </w:tcPr>
          <w:p>
            <w:pPr>
              <w:spacing w:after="0" w:line="240" w:lineRule="auto"/>
            </w:pPr>
            <w:r/>
            <w:r>
              <w:rPr>
                <w:b/>
                <w:color w:val="FFFFFF"/>
                <w:sz w:val="18"/>
              </w:rPr>
              <w:t>Cost line (EGP million)</w:t>
            </w:r>
          </w:p>
        </w:tc>
        <w:tc>
          <w:tcPr>
            <w:tcW w:type="dxa" w:w="1474"/>
            <w:shd w:val="clear" w:color="auto" w:fill="17324D"/>
          </w:tcPr>
          <w:p>
            <w:pPr>
              <w:spacing w:after="0" w:line="240" w:lineRule="auto"/>
              <w:jc w:val="right"/>
            </w:pPr>
            <w:r/>
            <w:r>
              <w:rPr>
                <w:b/>
                <w:color w:val="FFFFFF"/>
                <w:sz w:val="18"/>
              </w:rPr>
              <w:t>Green Square</w:t>
            </w:r>
          </w:p>
        </w:tc>
        <w:tc>
          <w:tcPr>
            <w:tcW w:type="dxa" w:w="1474"/>
            <w:shd w:val="clear" w:color="auto" w:fill="17324D"/>
          </w:tcPr>
          <w:p>
            <w:pPr>
              <w:spacing w:after="0" w:line="240" w:lineRule="auto"/>
              <w:jc w:val="right"/>
            </w:pPr>
            <w:r/>
            <w:r>
              <w:rPr>
                <w:b/>
                <w:color w:val="FFFFFF"/>
                <w:sz w:val="18"/>
              </w:rPr>
              <w:t>L'avenir</w:t>
            </w:r>
          </w:p>
        </w:tc>
        <w:tc>
          <w:tcPr>
            <w:tcW w:type="dxa" w:w="3685"/>
            <w:shd w:val="clear" w:color="auto" w:fill="17324D"/>
          </w:tcPr>
          <w:p>
            <w:pPr>
              <w:spacing w:after="0" w:line="240" w:lineRule="auto"/>
              <w:jc w:val="right"/>
            </w:pPr>
            <w:r/>
            <w:r>
              <w:rPr>
                <w:b/>
                <w:color w:val="FFFFFF"/>
                <w:sz w:val="18"/>
              </w:rPr>
              <w:t>Basis</w:t>
            </w:r>
          </w:p>
        </w:tc>
      </w:tr>
      <w:tr>
        <w:trPr>
          <w:cantSplit/>
        </w:trPr>
        <w:tc>
          <w:tcPr>
            <w:tcW w:type="dxa" w:w="2608"/>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1474"/>
          </w:tcPr>
          <w:p>
            <w:pPr>
              <w:spacing w:after="0" w:line="240" w:lineRule="auto"/>
              <w:jc w:val="right"/>
            </w:pPr>
            <w:r/>
            <w:r>
              <w:rPr>
                <w:sz w:val="18"/>
              </w:rPr>
              <w:t>697.2</w:t>
            </w:r>
          </w:p>
        </w:tc>
        <w:tc>
          <w:tcPr>
            <w:tcW w:type="dxa" w:w="3685"/>
          </w:tcPr>
          <w:p>
            <w:pPr>
              <w:spacing w:after="0" w:line="240" w:lineRule="auto"/>
              <w:jc w:val="right"/>
            </w:pPr>
            <w:r/>
            <w:r>
              <w:rPr>
                <w:sz w:val="18"/>
              </w:rPr>
              <w:t>Stage schedule over 36 months; flat nominal</w:t>
            </w:r>
          </w:p>
        </w:tc>
      </w:tr>
      <w:tr>
        <w:trPr>
          <w:cantSplit/>
        </w:trPr>
        <w:tc>
          <w:tcPr>
            <w:tcW w:type="dxa" w:w="2608"/>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1474"/>
            <w:shd w:val="clear" w:color="auto" w:fill="F2F4F7"/>
          </w:tcPr>
          <w:p>
            <w:pPr>
              <w:spacing w:after="0" w:line="240" w:lineRule="auto"/>
              <w:jc w:val="right"/>
            </w:pPr>
            <w:r/>
            <w:r>
              <w:rPr>
                <w:sz w:val="18"/>
              </w:rPr>
              <w:t>106.9</w:t>
            </w:r>
          </w:p>
        </w:tc>
        <w:tc>
          <w:tcPr>
            <w:tcW w:type="dxa" w:w="3685"/>
            <w:shd w:val="clear" w:color="auto" w:fill="F2F4F7"/>
          </w:tcPr>
          <w:p>
            <w:pPr>
              <w:spacing w:after="0" w:line="240" w:lineRule="auto"/>
              <w:jc w:val="right"/>
            </w:pPr>
            <w:r/>
            <w:r>
              <w:rPr>
                <w:sz w:val="18"/>
              </w:rPr>
              <w:t>4% of sales value, paid 12 months after each sale quarter</w:t>
            </w:r>
          </w:p>
        </w:tc>
      </w:tr>
      <w:tr>
        <w:trPr>
          <w:cantSplit/>
        </w:trPr>
        <w:tc>
          <w:tcPr>
            <w:tcW w:type="dxa" w:w="2608"/>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1474"/>
          </w:tcPr>
          <w:p>
            <w:pPr>
              <w:spacing w:after="0" w:line="240" w:lineRule="auto"/>
              <w:jc w:val="right"/>
            </w:pPr>
            <w:r/>
            <w:r>
              <w:rPr>
                <w:sz w:val="18"/>
              </w:rPr>
              <w:t>104.6</w:t>
            </w:r>
          </w:p>
        </w:tc>
        <w:tc>
          <w:tcPr>
            <w:tcW w:type="dxa" w:w="3685"/>
          </w:tcPr>
          <w:p>
            <w:pPr>
              <w:spacing w:after="0" w:line="240" w:lineRule="auto"/>
              <w:jc w:val="right"/>
            </w:pPr>
            <w:r/>
            <w:r>
              <w:rPr>
                <w:sz w:val="18"/>
              </w:rPr>
              <w:t>15% of construction: contingency, professional fees, overhead (5% each)</w:t>
            </w:r>
          </w:p>
        </w:tc>
      </w:tr>
      <w:tr>
        <w:trPr>
          <w:cantSplit/>
        </w:trPr>
        <w:tc>
          <w:tcPr>
            <w:tcW w:type="dxa" w:w="2608"/>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1474"/>
            <w:shd w:val="clear" w:color="auto" w:fill="F2F4F7"/>
          </w:tcPr>
          <w:p>
            <w:pPr>
              <w:spacing w:after="0" w:line="240" w:lineRule="auto"/>
              <w:jc w:val="right"/>
            </w:pPr>
            <w:r/>
            <w:r>
              <w:rPr>
                <w:b/>
                <w:sz w:val="18"/>
              </w:rPr>
              <w:t>908.7</w:t>
            </w:r>
          </w:p>
        </w:tc>
        <w:tc>
          <w:tcPr>
            <w:tcW w:type="dxa" w:w="3685"/>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models use a flat nominal cost with no inflation over the build period.</w:t>
      </w:r>
    </w:p>
    <w:p>
      <w:pPr>
        <w:pStyle w:val="ListBullet"/>
        <w:spacing w:after="60"/>
      </w:pPr>
      <w:r>
        <w:rPr>
          <w:b w:val="0"/>
          <w:i w:val="0"/>
        </w:rPr>
        <w:t>A 10% overrun lowers project NPV from EGP 215 to 162 million (Green Square) and from EGP 308 to 258 million (L'avenir); a 20% overrun to EGP 109 and 208 million.</w:t>
      </w:r>
    </w:p>
    <w:p>
      <w:pPr>
        <w:pStyle w:val="ListBullet"/>
        <w:spacing w:after="60"/>
      </w:pPr>
      <w:r>
        <w:rPr>
          <w:b w:val="0"/>
          <w:i w:val="0"/>
        </w:rPr>
        <w:t>Pre-construction costs (design, permits) are not separately modelled; section 11 adds an allowance of EGP 10.5 million per project as an assumption.</w:t>
      </w:r>
    </w:p>
    <w:p>
      <w:pPr>
        <w:pStyle w:val="Heading1"/>
        <w:pageBreakBefore/>
      </w:pPr>
      <w:r>
        <w:t>11. Funding plan, use of funds and combined cash position</w:t>
      </w:r>
    </w:p>
    <w:p>
      <w:pPr>
        <w:pStyle w:val="Heading2"/>
      </w:pPr>
      <w:r>
        <w:t>11.1 Green Square: uses and sources</w:t>
      </w:r>
    </w:p>
    <w:p>
      <w:pPr>
        <w:keepNext/>
        <w:spacing w:after="60"/>
      </w:pPr>
      <w:r>
        <w:rPr>
          <w:b/>
          <w:color w:val="17324D"/>
          <w:sz w:val="19"/>
        </w:rPr>
        <w:t>Table 17: Green Square: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8"/>
              </w:rPr>
              <w:t>Uses at the funding peak</w:t>
            </w:r>
          </w:p>
        </w:tc>
        <w:tc>
          <w:tcPr>
            <w:tcW w:type="dxa" w:w="2438"/>
            <w:shd w:val="clear" w:color="auto" w:fill="17324D"/>
          </w:tcPr>
          <w:p>
            <w:pPr>
              <w:spacing w:after="0" w:line="240" w:lineRule="auto"/>
              <w:jc w:val="right"/>
            </w:pPr>
            <w:r/>
            <w:r>
              <w:rPr>
                <w:b/>
                <w:color w:val="FFFFFF"/>
                <w:sz w:val="18"/>
              </w:rPr>
              <w:t>EGP million</w:t>
            </w:r>
          </w:p>
        </w:tc>
      </w:tr>
      <w:tr>
        <w:trPr>
          <w:cantSplit/>
        </w:trPr>
        <w:tc>
          <w:tcPr>
            <w:tcW w:type="dxa" w:w="6803"/>
          </w:tcPr>
          <w:p>
            <w:pPr>
              <w:spacing w:after="0" w:line="240" w:lineRule="auto"/>
            </w:pPr>
            <w:r/>
            <w:r>
              <w:rPr>
                <w:sz w:val="18"/>
              </w:rPr>
              <w:t>Down payment to the landowner</w:t>
            </w:r>
          </w:p>
        </w:tc>
        <w:tc>
          <w:tcPr>
            <w:tcW w:type="dxa" w:w="2438"/>
          </w:tcPr>
          <w:p>
            <w:pPr>
              <w:spacing w:after="0" w:line="240" w:lineRule="auto"/>
              <w:jc w:val="right"/>
            </w:pPr>
            <w:r/>
            <w:r>
              <w:rPr>
                <w:sz w:val="18"/>
              </w:rPr>
              <w:t>80.0</w:t>
            </w:r>
          </w:p>
        </w:tc>
      </w:tr>
      <w:tr>
        <w:trPr>
          <w:cantSplit/>
        </w:trPr>
        <w:tc>
          <w:tcPr>
            <w:tcW w:type="dxa" w:w="6803"/>
            <w:shd w:val="clear" w:color="auto" w:fill="F2F4F7"/>
          </w:tcPr>
          <w:p>
            <w:pPr>
              <w:spacing w:after="0" w:line="240" w:lineRule="auto"/>
            </w:pPr>
            <w:r/>
            <w:r>
              <w:rPr>
                <w:sz w:val="18"/>
              </w:rPr>
              <w:t>Guarantee instalments and working capital to the peak, net of collections</w:t>
            </w:r>
          </w:p>
        </w:tc>
        <w:tc>
          <w:tcPr>
            <w:tcW w:type="dxa" w:w="2438"/>
            <w:shd w:val="clear" w:color="auto" w:fill="F2F4F7"/>
          </w:tcPr>
          <w:p>
            <w:pPr>
              <w:spacing w:after="0" w:line="240" w:lineRule="auto"/>
              <w:jc w:val="right"/>
            </w:pPr>
            <w:r/>
            <w:r>
              <w:rPr>
                <w:sz w:val="18"/>
              </w:rPr>
              <w:t>22.5</w:t>
            </w:r>
          </w:p>
        </w:tc>
      </w:tr>
      <w:tr>
        <w:trPr>
          <w:cantSplit/>
        </w:trPr>
        <w:tc>
          <w:tcPr>
            <w:tcW w:type="dxa" w:w="6803"/>
          </w:tcPr>
          <w:p>
            <w:pPr>
              <w:spacing w:after="0" w:line="240" w:lineRule="auto"/>
            </w:pPr>
            <w:r/>
            <w:r>
              <w:rPr>
                <w:sz w:val="18"/>
              </w:rPr>
              <w:t>Design, permits and pre-construction (assumption)</w:t>
            </w:r>
          </w:p>
        </w:tc>
        <w:tc>
          <w:tcPr>
            <w:tcW w:type="dxa" w:w="2438"/>
          </w:tcPr>
          <w:p>
            <w:pPr>
              <w:spacing w:after="0" w:line="240" w:lineRule="auto"/>
              <w:jc w:val="right"/>
            </w:pPr>
            <w:r/>
            <w:r>
              <w:rPr>
                <w:sz w:val="18"/>
              </w:rPr>
              <w:t>10.5</w:t>
            </w:r>
          </w:p>
        </w:tc>
      </w:tr>
      <w:tr>
        <w:trPr>
          <w:cantSplit/>
        </w:trPr>
        <w:tc>
          <w:tcPr>
            <w:tcW w:type="dxa" w:w="6803"/>
            <w:shd w:val="clear" w:color="auto" w:fill="F2F4F7"/>
          </w:tcPr>
          <w:p>
            <w:pPr>
              <w:spacing w:after="0" w:line="240" w:lineRule="auto"/>
            </w:pPr>
            <w:r/>
            <w:r>
              <w:rPr>
                <w:b/>
                <w:sz w:val="18"/>
              </w:rPr>
              <w:t>Total uses</w:t>
            </w:r>
          </w:p>
        </w:tc>
        <w:tc>
          <w:tcPr>
            <w:tcW w:type="dxa" w:w="2438"/>
            <w:shd w:val="clear" w:color="auto" w:fill="F2F4F7"/>
          </w:tcPr>
          <w:p>
            <w:pPr>
              <w:spacing w:after="0" w:line="240" w:lineRule="auto"/>
              <w:jc w:val="right"/>
            </w:pPr>
            <w:r/>
            <w:r>
              <w:rPr>
                <w:b/>
                <w:sz w:val="18"/>
              </w:rPr>
              <w:t>113.0</w:t>
            </w:r>
          </w:p>
        </w:tc>
      </w:tr>
    </w:tbl>
    <w:p>
      <w:pPr>
        <w:spacing w:after="80"/>
      </w:pPr>
    </w:p>
    <w:p>
      <w:pPr>
        <w:keepNext/>
        <w:spacing w:after="60"/>
      </w:pPr>
      <w:r>
        <w:rPr>
          <w:b/>
          <w:color w:val="17324D"/>
          <w:sz w:val="19"/>
        </w:rPr>
        <w:t>Table 18: Green Square: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8"/>
              </w:rPr>
              <w:t>Sources</w:t>
            </w:r>
          </w:p>
        </w:tc>
        <w:tc>
          <w:tcPr>
            <w:tcW w:type="dxa" w:w="2041"/>
            <w:shd w:val="clear" w:color="auto" w:fill="17324D"/>
          </w:tcPr>
          <w:p>
            <w:pPr>
              <w:spacing w:after="0" w:line="240" w:lineRule="auto"/>
              <w:jc w:val="right"/>
            </w:pPr>
            <w:r/>
            <w:r>
              <w:rPr>
                <w:b/>
                <w:color w:val="FFFFFF"/>
                <w:sz w:val="18"/>
              </w:rPr>
              <w:t>EGP million</w:t>
            </w:r>
          </w:p>
        </w:tc>
        <w:tc>
          <w:tcPr>
            <w:tcW w:type="dxa" w:w="2098"/>
            <w:shd w:val="clear" w:color="auto" w:fill="17324D"/>
          </w:tcPr>
          <w:p>
            <w:pPr>
              <w:spacing w:after="0" w:line="240" w:lineRule="auto"/>
              <w:jc w:val="right"/>
            </w:pPr>
            <w:r/>
            <w:r>
              <w:rPr>
                <w:b/>
                <w:color w:val="FFFFFF"/>
                <w:sz w:val="18"/>
              </w:rPr>
              <w:t>% of uses</w:t>
            </w:r>
          </w:p>
        </w:tc>
      </w:tr>
      <w:tr>
        <w:trPr>
          <w:cantSplit/>
        </w:trPr>
        <w:tc>
          <w:tcPr>
            <w:tcW w:type="dxa" w:w="5102"/>
          </w:tcPr>
          <w:p>
            <w:pPr>
              <w:spacing w:after="0" w:line="240" w:lineRule="auto"/>
            </w:pPr>
            <w:r/>
            <w:r>
              <w:rPr>
                <w:sz w:val="18"/>
              </w:rPr>
              <w:t>Investor ticket</w:t>
            </w:r>
          </w:p>
        </w:tc>
        <w:tc>
          <w:tcPr>
            <w:tcW w:type="dxa" w:w="2041"/>
          </w:tcPr>
          <w:p>
            <w:pPr>
              <w:spacing w:after="0" w:line="240" w:lineRule="auto"/>
              <w:jc w:val="right"/>
            </w:pPr>
            <w:r/>
            <w:r>
              <w:rPr>
                <w:sz w:val="18"/>
              </w:rPr>
              <w:t>62.5</w:t>
            </w:r>
          </w:p>
        </w:tc>
        <w:tc>
          <w:tcPr>
            <w:tcW w:type="dxa" w:w="2098"/>
          </w:tcPr>
          <w:p>
            <w:pPr>
              <w:spacing w:after="0" w:line="240" w:lineRule="auto"/>
              <w:jc w:val="right"/>
            </w:pPr>
            <w:r/>
            <w:r>
              <w:rPr>
                <w:sz w:val="18"/>
              </w:rPr>
              <w:t>55%</w:t>
            </w:r>
          </w:p>
        </w:tc>
      </w:tr>
      <w:tr>
        <w:trPr>
          <w:cantSplit/>
        </w:trPr>
        <w:tc>
          <w:tcPr>
            <w:tcW w:type="dxa" w:w="5102"/>
            <w:shd w:val="clear" w:color="auto" w:fill="F2F4F7"/>
          </w:tcPr>
          <w:p>
            <w:pPr>
              <w:spacing w:after="0" w:line="240" w:lineRule="auto"/>
            </w:pPr>
            <w:r/>
            <w:r>
              <w:rPr>
                <w:sz w:val="18"/>
              </w:rPr>
              <w:t>Balance of project funding</w:t>
            </w:r>
          </w:p>
        </w:tc>
        <w:tc>
          <w:tcPr>
            <w:tcW w:type="dxa" w:w="2041"/>
            <w:shd w:val="clear" w:color="auto" w:fill="F2F4F7"/>
          </w:tcPr>
          <w:p>
            <w:pPr>
              <w:spacing w:after="0" w:line="240" w:lineRule="auto"/>
              <w:jc w:val="right"/>
            </w:pPr>
            <w:r/>
            <w:r>
              <w:rPr>
                <w:sz w:val="18"/>
              </w:rPr>
              <w:t>50.5</w:t>
            </w:r>
          </w:p>
        </w:tc>
        <w:tc>
          <w:tcPr>
            <w:tcW w:type="dxa" w:w="2098"/>
            <w:shd w:val="clear" w:color="auto" w:fill="F2F4F7"/>
          </w:tcPr>
          <w:p>
            <w:pPr>
              <w:spacing w:after="0" w:line="240" w:lineRule="auto"/>
              <w:jc w:val="right"/>
            </w:pPr>
            <w:r/>
            <w:r>
              <w:rPr>
                <w:sz w:val="18"/>
              </w:rPr>
              <w:t>45%</w:t>
            </w:r>
          </w:p>
        </w:tc>
      </w:tr>
      <w:tr>
        <w:trPr>
          <w:cantSplit/>
        </w:trPr>
        <w:tc>
          <w:tcPr>
            <w:tcW w:type="dxa" w:w="5102"/>
          </w:tcPr>
          <w:p>
            <w:pPr>
              <w:spacing w:after="0" w:line="240" w:lineRule="auto"/>
            </w:pPr>
            <w:r/>
            <w:r>
              <w:rPr>
                <w:b/>
                <w:sz w:val="18"/>
              </w:rPr>
              <w:t>Total</w:t>
            </w:r>
          </w:p>
        </w:tc>
        <w:tc>
          <w:tcPr>
            <w:tcW w:type="dxa" w:w="2041"/>
          </w:tcPr>
          <w:p>
            <w:pPr>
              <w:spacing w:after="0" w:line="240" w:lineRule="auto"/>
              <w:jc w:val="right"/>
            </w:pPr>
            <w:r/>
            <w:r>
              <w:rPr>
                <w:b/>
                <w:sz w:val="18"/>
              </w:rPr>
              <w:t>113.0</w:t>
            </w:r>
          </w:p>
        </w:tc>
        <w:tc>
          <w:tcPr>
            <w:tcW w:type="dxa" w:w="2098"/>
          </w:tcPr>
          <w:p>
            <w:pPr>
              <w:spacing w:after="0" w:line="240" w:lineRule="auto"/>
              <w:jc w:val="right"/>
            </w:pPr>
            <w:r/>
            <w:r>
              <w:rPr>
                <w:b/>
                <w:sz w:val="18"/>
              </w:rPr>
            </w:r>
          </w:p>
        </w:tc>
      </w:tr>
    </w:tbl>
    <w:p>
      <w:pPr>
        <w:spacing w:after="80"/>
      </w:pPr>
    </w:p>
    <w:p>
      <w:r>
        <w:rPr>
          <w:b w:val="0"/>
          <w:i/>
        </w:rPr>
        <w:t>The balance of project funding is provided by Jalour sponsor equity, project collections and other capital sources.</w:t>
      </w:r>
    </w:p>
    <w:p>
      <w:r>
        <w:rPr>
          <w:b w:val="0"/>
          <w:i w:val="0"/>
        </w:rPr>
        <w:t>The ticket equals 61% of the modelled peak cumulative shortage of EGP 102.5 million (month 6). If delivery payments arrive at handover the peak is EGP 269 million; in the downside case EGP 441 million.</w:t>
      </w:r>
    </w:p>
    <w:p>
      <w:pPr>
        <w:pStyle w:val="Heading2"/>
      </w:pPr>
      <w:r>
        <w:t>11.2 L'avenir: uses and sources</w:t>
      </w:r>
    </w:p>
    <w:p>
      <w:pPr>
        <w:keepNext/>
        <w:spacing w:after="60"/>
      </w:pPr>
      <w:r>
        <w:rPr>
          <w:b/>
          <w:color w:val="17324D"/>
          <w:sz w:val="19"/>
        </w:rPr>
        <w:t>Table 19: L'avenir: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8"/>
              </w:rPr>
              <w:t>Uses at the funding peak</w:t>
            </w:r>
          </w:p>
        </w:tc>
        <w:tc>
          <w:tcPr>
            <w:tcW w:type="dxa" w:w="2438"/>
            <w:shd w:val="clear" w:color="auto" w:fill="17324D"/>
          </w:tcPr>
          <w:p>
            <w:pPr>
              <w:spacing w:after="0" w:line="240" w:lineRule="auto"/>
              <w:jc w:val="right"/>
            </w:pPr>
            <w:r/>
            <w:r>
              <w:rPr>
                <w:b/>
                <w:color w:val="FFFFFF"/>
                <w:sz w:val="18"/>
              </w:rPr>
              <w:t>EGP million</w:t>
            </w:r>
          </w:p>
        </w:tc>
      </w:tr>
      <w:tr>
        <w:trPr>
          <w:cantSplit/>
        </w:trPr>
        <w:tc>
          <w:tcPr>
            <w:tcW w:type="dxa" w:w="6803"/>
          </w:tcPr>
          <w:p>
            <w:pPr>
              <w:spacing w:after="0" w:line="240" w:lineRule="auto"/>
            </w:pPr>
            <w:r/>
            <w:r>
              <w:rPr>
                <w:sz w:val="18"/>
              </w:rPr>
              <w:t>Down payment to the landowner</w:t>
            </w:r>
          </w:p>
        </w:tc>
        <w:tc>
          <w:tcPr>
            <w:tcW w:type="dxa" w:w="2438"/>
          </w:tcPr>
          <w:p>
            <w:pPr>
              <w:spacing w:after="0" w:line="240" w:lineRule="auto"/>
              <w:jc w:val="right"/>
            </w:pPr>
            <w:r/>
            <w:r>
              <w:rPr>
                <w:sz w:val="18"/>
              </w:rPr>
              <w:t>85.0</w:t>
            </w:r>
          </w:p>
        </w:tc>
      </w:tr>
      <w:tr>
        <w:trPr>
          <w:cantSplit/>
        </w:trPr>
        <w:tc>
          <w:tcPr>
            <w:tcW w:type="dxa" w:w="6803"/>
            <w:shd w:val="clear" w:color="auto" w:fill="F2F4F7"/>
          </w:tcPr>
          <w:p>
            <w:pPr>
              <w:spacing w:after="0" w:line="240" w:lineRule="auto"/>
            </w:pPr>
            <w:r/>
            <w:r>
              <w:rPr>
                <w:sz w:val="18"/>
              </w:rPr>
              <w:t>Guarantee instalments and working capital to the peak, net of collections</w:t>
            </w:r>
          </w:p>
        </w:tc>
        <w:tc>
          <w:tcPr>
            <w:tcW w:type="dxa" w:w="2438"/>
            <w:shd w:val="clear" w:color="auto" w:fill="F2F4F7"/>
          </w:tcPr>
          <w:p>
            <w:pPr>
              <w:spacing w:after="0" w:line="240" w:lineRule="auto"/>
              <w:jc w:val="right"/>
            </w:pPr>
            <w:r/>
            <w:r>
              <w:rPr>
                <w:sz w:val="18"/>
              </w:rPr>
              <w:t>17.0</w:t>
            </w:r>
          </w:p>
        </w:tc>
      </w:tr>
      <w:tr>
        <w:trPr>
          <w:cantSplit/>
        </w:trPr>
        <w:tc>
          <w:tcPr>
            <w:tcW w:type="dxa" w:w="6803"/>
          </w:tcPr>
          <w:p>
            <w:pPr>
              <w:spacing w:after="0" w:line="240" w:lineRule="auto"/>
            </w:pPr>
            <w:r/>
            <w:r>
              <w:rPr>
                <w:sz w:val="18"/>
              </w:rPr>
              <w:t>Design, permits and pre-construction (assumption)</w:t>
            </w:r>
          </w:p>
        </w:tc>
        <w:tc>
          <w:tcPr>
            <w:tcW w:type="dxa" w:w="2438"/>
          </w:tcPr>
          <w:p>
            <w:pPr>
              <w:spacing w:after="0" w:line="240" w:lineRule="auto"/>
              <w:jc w:val="right"/>
            </w:pPr>
            <w:r/>
            <w:r>
              <w:rPr>
                <w:sz w:val="18"/>
              </w:rPr>
              <w:t>10.5</w:t>
            </w:r>
          </w:p>
        </w:tc>
      </w:tr>
      <w:tr>
        <w:trPr>
          <w:cantSplit/>
        </w:trPr>
        <w:tc>
          <w:tcPr>
            <w:tcW w:type="dxa" w:w="6803"/>
            <w:shd w:val="clear" w:color="auto" w:fill="F2F4F7"/>
          </w:tcPr>
          <w:p>
            <w:pPr>
              <w:spacing w:after="0" w:line="240" w:lineRule="auto"/>
            </w:pPr>
            <w:r/>
            <w:r>
              <w:rPr>
                <w:b/>
                <w:sz w:val="18"/>
              </w:rPr>
              <w:t>Total uses</w:t>
            </w:r>
          </w:p>
        </w:tc>
        <w:tc>
          <w:tcPr>
            <w:tcW w:type="dxa" w:w="2438"/>
            <w:shd w:val="clear" w:color="auto" w:fill="F2F4F7"/>
          </w:tcPr>
          <w:p>
            <w:pPr>
              <w:spacing w:after="0" w:line="240" w:lineRule="auto"/>
              <w:jc w:val="right"/>
            </w:pPr>
            <w:r/>
            <w:r>
              <w:rPr>
                <w:b/>
                <w:sz w:val="18"/>
              </w:rPr>
              <w:t>112.5</w:t>
            </w:r>
          </w:p>
        </w:tc>
      </w:tr>
    </w:tbl>
    <w:p>
      <w:pPr>
        <w:spacing w:after="80"/>
      </w:pPr>
    </w:p>
    <w:p>
      <w:pPr>
        <w:keepNext/>
        <w:spacing w:after="60"/>
      </w:pPr>
      <w:r>
        <w:rPr>
          <w:b/>
          <w:color w:val="17324D"/>
          <w:sz w:val="19"/>
        </w:rPr>
        <w:t>Table 20: L'avenir: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8"/>
              </w:rPr>
              <w:t>Sources</w:t>
            </w:r>
          </w:p>
        </w:tc>
        <w:tc>
          <w:tcPr>
            <w:tcW w:type="dxa" w:w="2041"/>
            <w:shd w:val="clear" w:color="auto" w:fill="17324D"/>
          </w:tcPr>
          <w:p>
            <w:pPr>
              <w:spacing w:after="0" w:line="240" w:lineRule="auto"/>
              <w:jc w:val="right"/>
            </w:pPr>
            <w:r/>
            <w:r>
              <w:rPr>
                <w:b/>
                <w:color w:val="FFFFFF"/>
                <w:sz w:val="18"/>
              </w:rPr>
              <w:t>EGP million</w:t>
            </w:r>
          </w:p>
        </w:tc>
        <w:tc>
          <w:tcPr>
            <w:tcW w:type="dxa" w:w="2098"/>
            <w:shd w:val="clear" w:color="auto" w:fill="17324D"/>
          </w:tcPr>
          <w:p>
            <w:pPr>
              <w:spacing w:after="0" w:line="240" w:lineRule="auto"/>
              <w:jc w:val="right"/>
            </w:pPr>
            <w:r/>
            <w:r>
              <w:rPr>
                <w:b/>
                <w:color w:val="FFFFFF"/>
                <w:sz w:val="18"/>
              </w:rPr>
              <w:t>% of uses</w:t>
            </w:r>
          </w:p>
        </w:tc>
      </w:tr>
      <w:tr>
        <w:trPr>
          <w:cantSplit/>
        </w:trPr>
        <w:tc>
          <w:tcPr>
            <w:tcW w:type="dxa" w:w="5102"/>
          </w:tcPr>
          <w:p>
            <w:pPr>
              <w:spacing w:after="0" w:line="240" w:lineRule="auto"/>
            </w:pPr>
            <w:r/>
            <w:r>
              <w:rPr>
                <w:sz w:val="18"/>
              </w:rPr>
              <w:t>Investor ticket</w:t>
            </w:r>
          </w:p>
        </w:tc>
        <w:tc>
          <w:tcPr>
            <w:tcW w:type="dxa" w:w="2041"/>
          </w:tcPr>
          <w:p>
            <w:pPr>
              <w:spacing w:after="0" w:line="240" w:lineRule="auto"/>
              <w:jc w:val="right"/>
            </w:pPr>
            <w:r/>
            <w:r>
              <w:rPr>
                <w:sz w:val="18"/>
              </w:rPr>
              <w:t>62.5</w:t>
            </w:r>
          </w:p>
        </w:tc>
        <w:tc>
          <w:tcPr>
            <w:tcW w:type="dxa" w:w="2098"/>
          </w:tcPr>
          <w:p>
            <w:pPr>
              <w:spacing w:after="0" w:line="240" w:lineRule="auto"/>
              <w:jc w:val="right"/>
            </w:pPr>
            <w:r/>
            <w:r>
              <w:rPr>
                <w:sz w:val="18"/>
              </w:rPr>
              <w:t>56%</w:t>
            </w:r>
          </w:p>
        </w:tc>
      </w:tr>
      <w:tr>
        <w:trPr>
          <w:cantSplit/>
        </w:trPr>
        <w:tc>
          <w:tcPr>
            <w:tcW w:type="dxa" w:w="5102"/>
            <w:shd w:val="clear" w:color="auto" w:fill="F2F4F7"/>
          </w:tcPr>
          <w:p>
            <w:pPr>
              <w:spacing w:after="0" w:line="240" w:lineRule="auto"/>
            </w:pPr>
            <w:r/>
            <w:r>
              <w:rPr>
                <w:sz w:val="18"/>
              </w:rPr>
              <w:t>Balance of project funding</w:t>
            </w:r>
          </w:p>
        </w:tc>
        <w:tc>
          <w:tcPr>
            <w:tcW w:type="dxa" w:w="2041"/>
            <w:shd w:val="clear" w:color="auto" w:fill="F2F4F7"/>
          </w:tcPr>
          <w:p>
            <w:pPr>
              <w:spacing w:after="0" w:line="240" w:lineRule="auto"/>
              <w:jc w:val="right"/>
            </w:pPr>
            <w:r/>
            <w:r>
              <w:rPr>
                <w:sz w:val="18"/>
              </w:rPr>
              <w:t>50.0</w:t>
            </w:r>
          </w:p>
        </w:tc>
        <w:tc>
          <w:tcPr>
            <w:tcW w:type="dxa" w:w="2098"/>
            <w:shd w:val="clear" w:color="auto" w:fill="F2F4F7"/>
          </w:tcPr>
          <w:p>
            <w:pPr>
              <w:spacing w:after="0" w:line="240" w:lineRule="auto"/>
              <w:jc w:val="right"/>
            </w:pPr>
            <w:r/>
            <w:r>
              <w:rPr>
                <w:sz w:val="18"/>
              </w:rPr>
              <w:t>44%</w:t>
            </w:r>
          </w:p>
        </w:tc>
      </w:tr>
      <w:tr>
        <w:trPr>
          <w:cantSplit/>
        </w:trPr>
        <w:tc>
          <w:tcPr>
            <w:tcW w:type="dxa" w:w="5102"/>
          </w:tcPr>
          <w:p>
            <w:pPr>
              <w:spacing w:after="0" w:line="240" w:lineRule="auto"/>
            </w:pPr>
            <w:r/>
            <w:r>
              <w:rPr>
                <w:b/>
                <w:sz w:val="18"/>
              </w:rPr>
              <w:t>Total</w:t>
            </w:r>
          </w:p>
        </w:tc>
        <w:tc>
          <w:tcPr>
            <w:tcW w:type="dxa" w:w="2041"/>
          </w:tcPr>
          <w:p>
            <w:pPr>
              <w:spacing w:after="0" w:line="240" w:lineRule="auto"/>
              <w:jc w:val="right"/>
            </w:pPr>
            <w:r/>
            <w:r>
              <w:rPr>
                <w:b/>
                <w:sz w:val="18"/>
              </w:rPr>
              <w:t>112.5</w:t>
            </w:r>
          </w:p>
        </w:tc>
        <w:tc>
          <w:tcPr>
            <w:tcW w:type="dxa" w:w="2098"/>
          </w:tcPr>
          <w:p>
            <w:pPr>
              <w:spacing w:after="0" w:line="240" w:lineRule="auto"/>
              <w:jc w:val="right"/>
            </w:pPr>
            <w:r/>
            <w:r>
              <w:rPr>
                <w:b/>
                <w:sz w:val="18"/>
              </w:rPr>
            </w:r>
          </w:p>
        </w:tc>
      </w:tr>
    </w:tbl>
    <w:p>
      <w:pPr>
        <w:spacing w:after="80"/>
      </w:pPr>
    </w:p>
    <w:p>
      <w:r>
        <w:rPr>
          <w:b w:val="0"/>
          <w:i/>
        </w:rPr>
        <w:t>The balance of project funding is provided by Jalour sponsor equity, project collections and other capital sources.</w:t>
      </w:r>
    </w:p>
    <w:p>
      <w:r>
        <w:rPr>
          <w:b w:val="0"/>
          <w:i w:val="0"/>
        </w:rPr>
        <w:t>The ticket equals 61% of the modelled peak cumulative shortage of EGP 102.0 million (month 30). If delivery payments arrive at handover the peak is EGP 244 million; in the downside case EGP 849 million.</w:t>
      </w:r>
    </w:p>
    <w:p>
      <w:pPr>
        <w:pStyle w:val="Heading2"/>
      </w:pPr>
      <w:r>
        <w:t>11.3 Funding gaps in stress cases</w:t>
      </w:r>
    </w:p>
    <w:p>
      <w:pPr>
        <w:keepNext/>
        <w:spacing w:after="60"/>
      </w:pPr>
      <w:r>
        <w:rPr>
          <w:b/>
          <w:color w:val="17324D"/>
          <w:sz w:val="19"/>
        </w:rPr>
        <w:t>Table 21: Project cash position by case, before any investor instrument (EGP million; GS = Green Square, LA = L'avenir)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72"/>
            <w:shd w:val="clear" w:color="auto" w:fill="17324D"/>
          </w:tcPr>
          <w:p>
            <w:pPr>
              <w:spacing w:after="0" w:line="240" w:lineRule="auto"/>
            </w:pPr>
            <w:r/>
            <w:r>
              <w:rPr>
                <w:b/>
                <w:color w:val="FFFFFF"/>
                <w:sz w:val="18"/>
              </w:rPr>
              <w:t>Case</w:t>
            </w:r>
          </w:p>
        </w:tc>
        <w:tc>
          <w:tcPr>
            <w:tcW w:type="dxa" w:w="1247"/>
            <w:shd w:val="clear" w:color="auto" w:fill="17324D"/>
          </w:tcPr>
          <w:p>
            <w:pPr>
              <w:spacing w:after="0" w:line="240" w:lineRule="auto"/>
              <w:jc w:val="right"/>
            </w:pPr>
            <w:r/>
            <w:r>
              <w:rPr>
                <w:b/>
                <w:color w:val="FFFFFF"/>
                <w:sz w:val="18"/>
              </w:rPr>
              <w:t>GS NPV</w:t>
            </w:r>
          </w:p>
        </w:tc>
        <w:tc>
          <w:tcPr>
            <w:tcW w:type="dxa" w:w="1531"/>
            <w:shd w:val="clear" w:color="auto" w:fill="17324D"/>
          </w:tcPr>
          <w:p>
            <w:pPr>
              <w:spacing w:after="0" w:line="240" w:lineRule="auto"/>
              <w:jc w:val="right"/>
            </w:pPr>
            <w:r/>
            <w:r>
              <w:rPr>
                <w:b/>
                <w:color w:val="FFFFFF"/>
                <w:sz w:val="18"/>
              </w:rPr>
              <w:t>GS peak shortage</w:t>
            </w:r>
          </w:p>
        </w:tc>
        <w:tc>
          <w:tcPr>
            <w:tcW w:type="dxa" w:w="1247"/>
            <w:shd w:val="clear" w:color="auto" w:fill="17324D"/>
          </w:tcPr>
          <w:p>
            <w:pPr>
              <w:spacing w:after="0" w:line="240" w:lineRule="auto"/>
              <w:jc w:val="right"/>
            </w:pPr>
            <w:r/>
            <w:r>
              <w:rPr>
                <w:b/>
                <w:color w:val="FFFFFF"/>
                <w:sz w:val="18"/>
              </w:rPr>
              <w:t>LA NPV</w:t>
            </w:r>
          </w:p>
        </w:tc>
        <w:tc>
          <w:tcPr>
            <w:tcW w:type="dxa" w:w="1644"/>
            <w:shd w:val="clear" w:color="auto" w:fill="17324D"/>
          </w:tcPr>
          <w:p>
            <w:pPr>
              <w:spacing w:after="0" w:line="240" w:lineRule="auto"/>
              <w:jc w:val="right"/>
            </w:pPr>
            <w:r/>
            <w:r>
              <w:rPr>
                <w:b/>
                <w:color w:val="FFFFFF"/>
                <w:sz w:val="18"/>
              </w:rPr>
              <w:t>LA peak shortage</w:t>
            </w:r>
          </w:p>
        </w:tc>
      </w:tr>
      <w:tr>
        <w:trPr>
          <w:cantSplit/>
        </w:trPr>
        <w:tc>
          <w:tcPr>
            <w:tcW w:type="dxa" w:w="3572"/>
          </w:tcPr>
          <w:p>
            <w:pPr>
              <w:spacing w:after="0" w:line="240" w:lineRule="auto"/>
            </w:pPr>
            <w:r/>
            <w:r>
              <w:rPr>
                <w:sz w:val="18"/>
              </w:rPr>
              <w:t>Base case</w:t>
            </w:r>
          </w:p>
        </w:tc>
        <w:tc>
          <w:tcPr>
            <w:tcW w:type="dxa" w:w="1247"/>
          </w:tcPr>
          <w:p>
            <w:pPr>
              <w:spacing w:after="0" w:line="240" w:lineRule="auto"/>
              <w:jc w:val="right"/>
            </w:pPr>
            <w:r/>
            <w:r>
              <w:rPr>
                <w:sz w:val="18"/>
              </w:rPr>
              <w:t>215</w:t>
            </w:r>
          </w:p>
        </w:tc>
        <w:tc>
          <w:tcPr>
            <w:tcW w:type="dxa" w:w="1531"/>
          </w:tcPr>
          <w:p>
            <w:pPr>
              <w:spacing w:after="0" w:line="240" w:lineRule="auto"/>
              <w:jc w:val="right"/>
            </w:pPr>
            <w:r/>
            <w:r>
              <w:rPr>
                <w:sz w:val="18"/>
              </w:rPr>
              <w:t>102</w:t>
            </w:r>
          </w:p>
        </w:tc>
        <w:tc>
          <w:tcPr>
            <w:tcW w:type="dxa" w:w="1247"/>
          </w:tcPr>
          <w:p>
            <w:pPr>
              <w:spacing w:after="0" w:line="240" w:lineRule="auto"/>
              <w:jc w:val="right"/>
            </w:pPr>
            <w:r/>
            <w:r>
              <w:rPr>
                <w:sz w:val="18"/>
              </w:rPr>
              <w:t>308</w:t>
            </w:r>
          </w:p>
        </w:tc>
        <w:tc>
          <w:tcPr>
            <w:tcW w:type="dxa" w:w="1644"/>
          </w:tcPr>
          <w:p>
            <w:pPr>
              <w:spacing w:after="0" w:line="240" w:lineRule="auto"/>
              <w:jc w:val="right"/>
            </w:pPr>
            <w:r/>
            <w:r>
              <w:rPr>
                <w:sz w:val="18"/>
              </w:rPr>
              <w:t>102</w:t>
            </w:r>
          </w:p>
        </w:tc>
      </w:tr>
      <w:tr>
        <w:trPr>
          <w:cantSplit/>
        </w:trPr>
        <w:tc>
          <w:tcPr>
            <w:tcW w:type="dxa" w:w="3572"/>
            <w:shd w:val="clear" w:color="auto" w:fill="F2F4F7"/>
          </w:tcPr>
          <w:p>
            <w:pPr>
              <w:spacing w:after="0" w:line="240" w:lineRule="auto"/>
            </w:pPr>
            <w:r/>
            <w:r>
              <w:rPr>
                <w:sz w:val="18"/>
              </w:rPr>
              <w:t>Downside: sales +12 months, prices -10%</w:t>
            </w:r>
          </w:p>
        </w:tc>
        <w:tc>
          <w:tcPr>
            <w:tcW w:type="dxa" w:w="1247"/>
            <w:shd w:val="clear" w:color="auto" w:fill="F2F4F7"/>
          </w:tcPr>
          <w:p>
            <w:pPr>
              <w:spacing w:after="0" w:line="240" w:lineRule="auto"/>
              <w:jc w:val="right"/>
            </w:pPr>
            <w:r/>
            <w:r>
              <w:rPr>
                <w:sz w:val="18"/>
              </w:rPr>
              <w:t>-34</w:t>
            </w:r>
          </w:p>
        </w:tc>
        <w:tc>
          <w:tcPr>
            <w:tcW w:type="dxa" w:w="1531"/>
            <w:shd w:val="clear" w:color="auto" w:fill="F2F4F7"/>
          </w:tcPr>
          <w:p>
            <w:pPr>
              <w:spacing w:after="0" w:line="240" w:lineRule="auto"/>
              <w:jc w:val="right"/>
            </w:pPr>
            <w:r/>
            <w:r>
              <w:rPr>
                <w:sz w:val="18"/>
              </w:rPr>
              <w:t>441</w:t>
            </w:r>
          </w:p>
        </w:tc>
        <w:tc>
          <w:tcPr>
            <w:tcW w:type="dxa" w:w="1247"/>
            <w:shd w:val="clear" w:color="auto" w:fill="F2F4F7"/>
          </w:tcPr>
          <w:p>
            <w:pPr>
              <w:spacing w:after="0" w:line="240" w:lineRule="auto"/>
              <w:jc w:val="right"/>
            </w:pPr>
            <w:r/>
            <w:r>
              <w:rPr>
                <w:sz w:val="18"/>
              </w:rPr>
              <w:t>40</w:t>
            </w:r>
          </w:p>
        </w:tc>
        <w:tc>
          <w:tcPr>
            <w:tcW w:type="dxa" w:w="1644"/>
            <w:shd w:val="clear" w:color="auto" w:fill="F2F4F7"/>
          </w:tcPr>
          <w:p>
            <w:pPr>
              <w:spacing w:after="0" w:line="240" w:lineRule="auto"/>
              <w:jc w:val="right"/>
            </w:pPr>
            <w:r/>
            <w:r>
              <w:rPr>
                <w:sz w:val="18"/>
              </w:rPr>
              <w:t>849</w:t>
            </w:r>
          </w:p>
        </w:tc>
      </w:tr>
      <w:tr>
        <w:trPr>
          <w:cantSplit/>
        </w:trPr>
        <w:tc>
          <w:tcPr>
            <w:tcW w:type="dxa" w:w="3572"/>
          </w:tcPr>
          <w:p>
            <w:pPr>
              <w:spacing w:after="0" w:line="240" w:lineRule="auto"/>
            </w:pPr>
            <w:r/>
            <w:r>
              <w:rPr>
                <w:sz w:val="18"/>
              </w:rPr>
              <w:t>Upside: prices +10%</w:t>
            </w:r>
          </w:p>
        </w:tc>
        <w:tc>
          <w:tcPr>
            <w:tcW w:type="dxa" w:w="1247"/>
          </w:tcPr>
          <w:p>
            <w:pPr>
              <w:spacing w:after="0" w:line="240" w:lineRule="auto"/>
              <w:jc w:val="right"/>
            </w:pPr>
            <w:r/>
            <w:r>
              <w:rPr>
                <w:sz w:val="18"/>
              </w:rPr>
              <w:t>315</w:t>
            </w:r>
          </w:p>
        </w:tc>
        <w:tc>
          <w:tcPr>
            <w:tcW w:type="dxa" w:w="1531"/>
          </w:tcPr>
          <w:p>
            <w:pPr>
              <w:spacing w:after="0" w:line="240" w:lineRule="auto"/>
              <w:jc w:val="right"/>
            </w:pPr>
            <w:r/>
            <w:r>
              <w:rPr>
                <w:sz w:val="18"/>
              </w:rPr>
              <w:t>102</w:t>
            </w:r>
          </w:p>
        </w:tc>
        <w:tc>
          <w:tcPr>
            <w:tcW w:type="dxa" w:w="1247"/>
          </w:tcPr>
          <w:p>
            <w:pPr>
              <w:spacing w:after="0" w:line="240" w:lineRule="auto"/>
              <w:jc w:val="right"/>
            </w:pPr>
            <w:r/>
            <w:r>
              <w:rPr>
                <w:sz w:val="18"/>
              </w:rPr>
              <w:t>412</w:t>
            </w:r>
          </w:p>
        </w:tc>
        <w:tc>
          <w:tcPr>
            <w:tcW w:type="dxa" w:w="1644"/>
          </w:tcPr>
          <w:p>
            <w:pPr>
              <w:spacing w:after="0" w:line="240" w:lineRule="auto"/>
              <w:jc w:val="right"/>
            </w:pPr>
            <w:r/>
            <w:r>
              <w:rPr>
                <w:sz w:val="18"/>
              </w:rPr>
              <w:t>88</w:t>
            </w:r>
          </w:p>
        </w:tc>
      </w:tr>
      <w:tr>
        <w:trPr>
          <w:cantSplit/>
        </w:trPr>
        <w:tc>
          <w:tcPr>
            <w:tcW w:type="dxa" w:w="3572"/>
            <w:shd w:val="clear" w:color="auto" w:fill="F2F4F7"/>
          </w:tcPr>
          <w:p>
            <w:pPr>
              <w:spacing w:after="0" w:line="240" w:lineRule="auto"/>
            </w:pPr>
            <w:r/>
            <w:r>
              <w:rPr>
                <w:sz w:val="18"/>
              </w:rPr>
              <w:t>Construction cost +10%</w:t>
            </w:r>
          </w:p>
        </w:tc>
        <w:tc>
          <w:tcPr>
            <w:tcW w:type="dxa" w:w="1247"/>
            <w:shd w:val="clear" w:color="auto" w:fill="F2F4F7"/>
          </w:tcPr>
          <w:p>
            <w:pPr>
              <w:spacing w:after="0" w:line="240" w:lineRule="auto"/>
              <w:jc w:val="right"/>
            </w:pPr>
            <w:r/>
            <w:r>
              <w:rPr>
                <w:sz w:val="18"/>
              </w:rPr>
              <w:t>162</w:t>
            </w:r>
          </w:p>
        </w:tc>
        <w:tc>
          <w:tcPr>
            <w:tcW w:type="dxa" w:w="1531"/>
            <w:shd w:val="clear" w:color="auto" w:fill="F2F4F7"/>
          </w:tcPr>
          <w:p>
            <w:pPr>
              <w:spacing w:after="0" w:line="240" w:lineRule="auto"/>
              <w:jc w:val="right"/>
            </w:pPr>
            <w:r/>
            <w:r>
              <w:rPr>
                <w:sz w:val="18"/>
              </w:rPr>
              <w:t>102</w:t>
            </w:r>
          </w:p>
        </w:tc>
        <w:tc>
          <w:tcPr>
            <w:tcW w:type="dxa" w:w="1247"/>
            <w:shd w:val="clear" w:color="auto" w:fill="F2F4F7"/>
          </w:tcPr>
          <w:p>
            <w:pPr>
              <w:spacing w:after="0" w:line="240" w:lineRule="auto"/>
              <w:jc w:val="right"/>
            </w:pPr>
            <w:r/>
            <w:r>
              <w:rPr>
                <w:sz w:val="18"/>
              </w:rPr>
              <w:t>258</w:t>
            </w:r>
          </w:p>
        </w:tc>
        <w:tc>
          <w:tcPr>
            <w:tcW w:type="dxa" w:w="1644"/>
            <w:shd w:val="clear" w:color="auto" w:fill="F2F4F7"/>
          </w:tcPr>
          <w:p>
            <w:pPr>
              <w:spacing w:after="0" w:line="240" w:lineRule="auto"/>
              <w:jc w:val="right"/>
            </w:pPr>
            <w:r/>
            <w:r>
              <w:rPr>
                <w:sz w:val="18"/>
              </w:rPr>
              <w:t>117</w:t>
            </w:r>
          </w:p>
        </w:tc>
      </w:tr>
      <w:tr>
        <w:trPr>
          <w:cantSplit/>
        </w:trPr>
        <w:tc>
          <w:tcPr>
            <w:tcW w:type="dxa" w:w="3572"/>
          </w:tcPr>
          <w:p>
            <w:pPr>
              <w:spacing w:after="0" w:line="240" w:lineRule="auto"/>
            </w:pPr>
            <w:r/>
            <w:r>
              <w:rPr>
                <w:sz w:val="18"/>
              </w:rPr>
              <w:t>Collections slip 2 quarters</w:t>
            </w:r>
          </w:p>
        </w:tc>
        <w:tc>
          <w:tcPr>
            <w:tcW w:type="dxa" w:w="1247"/>
          </w:tcPr>
          <w:p>
            <w:pPr>
              <w:spacing w:after="0" w:line="240" w:lineRule="auto"/>
              <w:jc w:val="right"/>
            </w:pPr>
            <w:r/>
            <w:r>
              <w:rPr>
                <w:sz w:val="18"/>
              </w:rPr>
              <w:t>125</w:t>
            </w:r>
          </w:p>
        </w:tc>
        <w:tc>
          <w:tcPr>
            <w:tcW w:type="dxa" w:w="1531"/>
          </w:tcPr>
          <w:p>
            <w:pPr>
              <w:spacing w:after="0" w:line="240" w:lineRule="auto"/>
              <w:jc w:val="right"/>
            </w:pPr>
            <w:r/>
            <w:r>
              <w:rPr>
                <w:sz w:val="18"/>
              </w:rPr>
              <w:t>236</w:t>
            </w:r>
          </w:p>
        </w:tc>
        <w:tc>
          <w:tcPr>
            <w:tcW w:type="dxa" w:w="1247"/>
          </w:tcPr>
          <w:p>
            <w:pPr>
              <w:spacing w:after="0" w:line="240" w:lineRule="auto"/>
              <w:jc w:val="right"/>
            </w:pPr>
            <w:r/>
            <w:r>
              <w:rPr>
                <w:sz w:val="18"/>
              </w:rPr>
              <w:t>209</w:t>
            </w:r>
          </w:p>
        </w:tc>
        <w:tc>
          <w:tcPr>
            <w:tcW w:type="dxa" w:w="1644"/>
          </w:tcPr>
          <w:p>
            <w:pPr>
              <w:spacing w:after="0" w:line="240" w:lineRule="auto"/>
              <w:jc w:val="right"/>
            </w:pPr>
            <w:r/>
            <w:r>
              <w:rPr>
                <w:sz w:val="18"/>
              </w:rPr>
              <w:t>381</w:t>
            </w:r>
          </w:p>
        </w:tc>
      </w:tr>
      <w:tr>
        <w:trPr>
          <w:cantSplit/>
        </w:trPr>
        <w:tc>
          <w:tcPr>
            <w:tcW w:type="dxa" w:w="3572"/>
            <w:shd w:val="clear" w:color="auto" w:fill="F2F4F7"/>
          </w:tcPr>
          <w:p>
            <w:pPr>
              <w:spacing w:after="0" w:line="240" w:lineRule="auto"/>
            </w:pPr>
            <w:r/>
            <w:r>
              <w:rPr>
                <w:sz w:val="18"/>
              </w:rPr>
              <w:t>Delivery payments at handover</w:t>
            </w:r>
          </w:p>
        </w:tc>
        <w:tc>
          <w:tcPr>
            <w:tcW w:type="dxa" w:w="1247"/>
            <w:shd w:val="clear" w:color="auto" w:fill="F2F4F7"/>
          </w:tcPr>
          <w:p>
            <w:pPr>
              <w:spacing w:after="0" w:line="240" w:lineRule="auto"/>
              <w:jc w:val="right"/>
            </w:pPr>
            <w:r/>
            <w:r>
              <w:rPr>
                <w:sz w:val="18"/>
              </w:rPr>
              <w:t>155</w:t>
            </w:r>
          </w:p>
        </w:tc>
        <w:tc>
          <w:tcPr>
            <w:tcW w:type="dxa" w:w="1531"/>
            <w:shd w:val="clear" w:color="auto" w:fill="F2F4F7"/>
          </w:tcPr>
          <w:p>
            <w:pPr>
              <w:spacing w:after="0" w:line="240" w:lineRule="auto"/>
              <w:jc w:val="right"/>
            </w:pPr>
            <w:r/>
            <w:r>
              <w:rPr>
                <w:sz w:val="18"/>
              </w:rPr>
              <w:t>269</w:t>
            </w:r>
          </w:p>
        </w:tc>
        <w:tc>
          <w:tcPr>
            <w:tcW w:type="dxa" w:w="1247"/>
            <w:shd w:val="clear" w:color="auto" w:fill="F2F4F7"/>
          </w:tcPr>
          <w:p>
            <w:pPr>
              <w:spacing w:after="0" w:line="240" w:lineRule="auto"/>
              <w:jc w:val="right"/>
            </w:pPr>
            <w:r/>
            <w:r>
              <w:rPr>
                <w:sz w:val="18"/>
              </w:rPr>
              <w:t>275</w:t>
            </w:r>
          </w:p>
        </w:tc>
        <w:tc>
          <w:tcPr>
            <w:tcW w:type="dxa" w:w="1644"/>
            <w:shd w:val="clear" w:color="auto" w:fill="F2F4F7"/>
          </w:tcPr>
          <w:p>
            <w:pPr>
              <w:spacing w:after="0" w:line="240" w:lineRule="auto"/>
              <w:jc w:val="right"/>
            </w:pPr>
            <w:r/>
            <w:r>
              <w:rPr>
                <w:sz w:val="18"/>
              </w:rPr>
              <w:t>244</w:t>
            </w:r>
          </w:p>
        </w:tc>
      </w:tr>
      <w:tr>
        <w:trPr>
          <w:cantSplit/>
        </w:trPr>
        <w:tc>
          <w:tcPr>
            <w:tcW w:type="dxa" w:w="3572"/>
          </w:tcPr>
          <w:p>
            <w:pPr>
              <w:spacing w:after="0" w:line="240" w:lineRule="auto"/>
            </w:pPr>
            <w:r/>
            <w:r>
              <w:rPr>
                <w:sz w:val="18"/>
              </w:rPr>
              <w:t>Handover payments and downside combined</w:t>
            </w:r>
          </w:p>
        </w:tc>
        <w:tc>
          <w:tcPr>
            <w:tcW w:type="dxa" w:w="1247"/>
          </w:tcPr>
          <w:p>
            <w:pPr>
              <w:spacing w:after="0" w:line="240" w:lineRule="auto"/>
              <w:jc w:val="right"/>
            </w:pPr>
            <w:r/>
            <w:r>
              <w:rPr>
                <w:sz w:val="18"/>
              </w:rPr>
              <w:t>-81</w:t>
            </w:r>
          </w:p>
        </w:tc>
        <w:tc>
          <w:tcPr>
            <w:tcW w:type="dxa" w:w="1531"/>
          </w:tcPr>
          <w:p>
            <w:pPr>
              <w:spacing w:after="0" w:line="240" w:lineRule="auto"/>
              <w:jc w:val="right"/>
            </w:pPr>
            <w:r/>
            <w:r>
              <w:rPr>
                <w:sz w:val="18"/>
              </w:rPr>
              <w:t>729</w:t>
            </w:r>
          </w:p>
        </w:tc>
        <w:tc>
          <w:tcPr>
            <w:tcW w:type="dxa" w:w="1247"/>
          </w:tcPr>
          <w:p>
            <w:pPr>
              <w:spacing w:after="0" w:line="240" w:lineRule="auto"/>
              <w:jc w:val="right"/>
            </w:pPr>
            <w:r/>
            <w:r>
              <w:rPr>
                <w:sz w:val="18"/>
              </w:rPr>
              <w:t>14</w:t>
            </w:r>
          </w:p>
        </w:tc>
        <w:tc>
          <w:tcPr>
            <w:tcW w:type="dxa" w:w="1644"/>
          </w:tcPr>
          <w:p>
            <w:pPr>
              <w:spacing w:after="0" w:line="240" w:lineRule="auto"/>
              <w:jc w:val="right"/>
            </w:pPr>
            <w:r/>
            <w:r>
              <w:rPr>
                <w:sz w:val="18"/>
              </w:rPr>
              <w:t>849</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tickets and depends on Jalour's capacity to provide it.</w:t>
      </w:r>
    </w:p>
    <w:p>
      <w:pPr>
        <w:pStyle w:val="Heading2"/>
      </w:pPr>
      <w:r>
        <w:t>11.4 Combined cash position of the two projects</w:t>
      </w:r>
    </w:p>
    <w:p>
      <w:r>
        <w:rPr>
          <w:b w:val="0"/>
          <w:i w:val="0"/>
        </w:rPr>
        <w:t>Jalour has said it will cover project funding gaps from its cash reserves and from cash generated by other projects it is constructing. To show what that means in numbers, this section adds the two projects together, before any investor instrument. The figures are projections from the same Jalour model. They cover these two projects only; Jalour's cash reserves and other projects are not included.</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comb.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net cash flow of the two projects and combined. </w:t>
      </w:r>
      <w:r>
        <w:rPr>
          <w:i/>
          <w:color w:val="6B7280"/>
          <w:sz w:val="18"/>
        </w:rPr>
        <w:t>Source: Jalour financial model; Financial Annex, Combined_Position sheet</w:t>
      </w:r>
    </w:p>
    <w:p>
      <w:pPr>
        <w:keepNext/>
        <w:spacing w:after="60"/>
      </w:pPr>
      <w:r>
        <w:rPr>
          <w:b/>
          <w:color w:val="17324D"/>
          <w:sz w:val="19"/>
        </w:rPr>
        <w:t>Table 22: Peak shortage by case, each project and combined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4082"/>
            <w:shd w:val="clear" w:color="auto" w:fill="17324D"/>
          </w:tcPr>
          <w:p>
            <w:pPr>
              <w:spacing w:after="0" w:line="240" w:lineRule="auto"/>
            </w:pPr>
            <w:r/>
            <w:r>
              <w:rPr>
                <w:b/>
                <w:color w:val="FFFFFF"/>
                <w:sz w:val="18"/>
              </w:rPr>
              <w:t>Peak cumulative shortage (EGP million)</w:t>
            </w:r>
          </w:p>
        </w:tc>
        <w:tc>
          <w:tcPr>
            <w:tcW w:type="dxa" w:w="1361"/>
            <w:shd w:val="clear" w:color="auto" w:fill="17324D"/>
          </w:tcPr>
          <w:p>
            <w:pPr>
              <w:spacing w:after="0" w:line="240" w:lineRule="auto"/>
              <w:jc w:val="right"/>
            </w:pPr>
            <w:r/>
            <w:r>
              <w:rPr>
                <w:b/>
                <w:color w:val="FFFFFF"/>
                <w:sz w:val="18"/>
              </w:rPr>
              <w:t>Green Square</w:t>
            </w:r>
          </w:p>
        </w:tc>
        <w:tc>
          <w:tcPr>
            <w:tcW w:type="dxa" w:w="1361"/>
            <w:shd w:val="clear" w:color="auto" w:fill="17324D"/>
          </w:tcPr>
          <w:p>
            <w:pPr>
              <w:spacing w:after="0" w:line="240" w:lineRule="auto"/>
              <w:jc w:val="right"/>
            </w:pPr>
            <w:r/>
            <w:r>
              <w:rPr>
                <w:b/>
                <w:color w:val="FFFFFF"/>
                <w:sz w:val="18"/>
              </w:rPr>
              <w:t>L'avenir</w:t>
            </w:r>
          </w:p>
        </w:tc>
        <w:tc>
          <w:tcPr>
            <w:tcW w:type="dxa" w:w="1247"/>
            <w:shd w:val="clear" w:color="auto" w:fill="17324D"/>
          </w:tcPr>
          <w:p>
            <w:pPr>
              <w:spacing w:after="0" w:line="240" w:lineRule="auto"/>
              <w:jc w:val="right"/>
            </w:pPr>
            <w:r/>
            <w:r>
              <w:rPr>
                <w:b/>
                <w:color w:val="FFFFFF"/>
                <w:sz w:val="18"/>
              </w:rPr>
              <w:t>Combined</w:t>
            </w:r>
          </w:p>
        </w:tc>
        <w:tc>
          <w:tcPr>
            <w:tcW w:type="dxa" w:w="1191"/>
            <w:shd w:val="clear" w:color="auto" w:fill="17324D"/>
          </w:tcPr>
          <w:p>
            <w:pPr>
              <w:spacing w:after="0" w:line="240" w:lineRule="auto"/>
              <w:jc w:val="right"/>
            </w:pPr>
            <w:r/>
            <w:r>
              <w:rPr>
                <w:b/>
                <w:color w:val="FFFFFF"/>
                <w:sz w:val="18"/>
              </w:rPr>
              <w:t>Month of combined peak</w:t>
            </w:r>
          </w:p>
        </w:tc>
      </w:tr>
      <w:tr>
        <w:trPr>
          <w:cantSplit/>
        </w:trPr>
        <w:tc>
          <w:tcPr>
            <w:tcW w:type="dxa" w:w="4082"/>
          </w:tcPr>
          <w:p>
            <w:pPr>
              <w:spacing w:after="0" w:line="240" w:lineRule="auto"/>
            </w:pPr>
            <w:r/>
            <w:r>
              <w:rPr>
                <w:sz w:val="18"/>
              </w:rPr>
              <w:t>Base case</w:t>
            </w:r>
          </w:p>
        </w:tc>
        <w:tc>
          <w:tcPr>
            <w:tcW w:type="dxa" w:w="1361"/>
          </w:tcPr>
          <w:p>
            <w:pPr>
              <w:spacing w:after="0" w:line="240" w:lineRule="auto"/>
              <w:jc w:val="right"/>
            </w:pPr>
            <w:r/>
            <w:r>
              <w:rPr>
                <w:sz w:val="18"/>
              </w:rPr>
              <w:t>102</w:t>
            </w:r>
          </w:p>
        </w:tc>
        <w:tc>
          <w:tcPr>
            <w:tcW w:type="dxa" w:w="1361"/>
          </w:tcPr>
          <w:p>
            <w:pPr>
              <w:spacing w:after="0" w:line="240" w:lineRule="auto"/>
              <w:jc w:val="right"/>
            </w:pPr>
            <w:r/>
            <w:r>
              <w:rPr>
                <w:sz w:val="18"/>
              </w:rPr>
              <w:t>102</w:t>
            </w:r>
          </w:p>
        </w:tc>
        <w:tc>
          <w:tcPr>
            <w:tcW w:type="dxa" w:w="1247"/>
          </w:tcPr>
          <w:p>
            <w:pPr>
              <w:spacing w:after="0" w:line="240" w:lineRule="auto"/>
              <w:jc w:val="right"/>
            </w:pPr>
            <w:r/>
            <w:r>
              <w:rPr>
                <w:sz w:val="18"/>
              </w:rPr>
              <w:t>168</w:t>
            </w:r>
          </w:p>
        </w:tc>
        <w:tc>
          <w:tcPr>
            <w:tcW w:type="dxa" w:w="1191"/>
          </w:tcPr>
          <w:p>
            <w:pPr>
              <w:spacing w:after="0" w:line="240" w:lineRule="auto"/>
              <w:jc w:val="right"/>
            </w:pPr>
            <w:r/>
            <w:r>
              <w:rPr>
                <w:sz w:val="18"/>
              </w:rPr>
              <w:t>15</w:t>
            </w:r>
          </w:p>
        </w:tc>
      </w:tr>
      <w:tr>
        <w:trPr>
          <w:cantSplit/>
        </w:trPr>
        <w:tc>
          <w:tcPr>
            <w:tcW w:type="dxa" w:w="4082"/>
            <w:shd w:val="clear" w:color="auto" w:fill="F2F4F7"/>
          </w:tcPr>
          <w:p>
            <w:pPr>
              <w:spacing w:after="0" w:line="240" w:lineRule="auto"/>
            </w:pPr>
            <w:r/>
            <w:r>
              <w:rPr>
                <w:sz w:val="18"/>
              </w:rPr>
              <w:t>Downside: sales +12 months, prices -10%</w:t>
            </w:r>
          </w:p>
        </w:tc>
        <w:tc>
          <w:tcPr>
            <w:tcW w:type="dxa" w:w="1361"/>
            <w:shd w:val="clear" w:color="auto" w:fill="F2F4F7"/>
          </w:tcPr>
          <w:p>
            <w:pPr>
              <w:spacing w:after="0" w:line="240" w:lineRule="auto"/>
              <w:jc w:val="right"/>
            </w:pPr>
            <w:r/>
            <w:r>
              <w:rPr>
                <w:sz w:val="18"/>
              </w:rPr>
              <w:t>441</w:t>
            </w:r>
          </w:p>
        </w:tc>
        <w:tc>
          <w:tcPr>
            <w:tcW w:type="dxa" w:w="1361"/>
            <w:shd w:val="clear" w:color="auto" w:fill="F2F4F7"/>
          </w:tcPr>
          <w:p>
            <w:pPr>
              <w:spacing w:after="0" w:line="240" w:lineRule="auto"/>
              <w:jc w:val="right"/>
            </w:pPr>
            <w:r/>
            <w:r>
              <w:rPr>
                <w:sz w:val="18"/>
              </w:rPr>
              <w:t>849</w:t>
            </w:r>
          </w:p>
        </w:tc>
        <w:tc>
          <w:tcPr>
            <w:tcW w:type="dxa" w:w="1247"/>
            <w:shd w:val="clear" w:color="auto" w:fill="F2F4F7"/>
          </w:tcPr>
          <w:p>
            <w:pPr>
              <w:spacing w:after="0" w:line="240" w:lineRule="auto"/>
              <w:jc w:val="right"/>
            </w:pPr>
            <w:r/>
            <w:r>
              <w:rPr>
                <w:sz w:val="18"/>
              </w:rPr>
              <w:t>1,089</w:t>
            </w:r>
          </w:p>
        </w:tc>
        <w:tc>
          <w:tcPr>
            <w:tcW w:type="dxa" w:w="1191"/>
            <w:shd w:val="clear" w:color="auto" w:fill="F2F4F7"/>
          </w:tcPr>
          <w:p>
            <w:pPr>
              <w:spacing w:after="0" w:line="240" w:lineRule="auto"/>
              <w:jc w:val="right"/>
            </w:pPr>
            <w:r/>
            <w:r>
              <w:rPr>
                <w:sz w:val="18"/>
              </w:rPr>
              <w:t>54</w:t>
            </w:r>
          </w:p>
        </w:tc>
      </w:tr>
      <w:tr>
        <w:trPr>
          <w:cantSplit/>
        </w:trPr>
        <w:tc>
          <w:tcPr>
            <w:tcW w:type="dxa" w:w="4082"/>
          </w:tcPr>
          <w:p>
            <w:pPr>
              <w:spacing w:after="0" w:line="240" w:lineRule="auto"/>
            </w:pPr>
            <w:r/>
            <w:r>
              <w:rPr>
                <w:sz w:val="18"/>
              </w:rPr>
              <w:t>Upside: prices +10%</w:t>
            </w:r>
          </w:p>
        </w:tc>
        <w:tc>
          <w:tcPr>
            <w:tcW w:type="dxa" w:w="1361"/>
          </w:tcPr>
          <w:p>
            <w:pPr>
              <w:spacing w:after="0" w:line="240" w:lineRule="auto"/>
              <w:jc w:val="right"/>
            </w:pPr>
            <w:r/>
            <w:r>
              <w:rPr>
                <w:sz w:val="18"/>
              </w:rPr>
              <w:t>102</w:t>
            </w:r>
          </w:p>
        </w:tc>
        <w:tc>
          <w:tcPr>
            <w:tcW w:type="dxa" w:w="1361"/>
          </w:tcPr>
          <w:p>
            <w:pPr>
              <w:spacing w:after="0" w:line="240" w:lineRule="auto"/>
              <w:jc w:val="right"/>
            </w:pPr>
            <w:r/>
            <w:r>
              <w:rPr>
                <w:sz w:val="18"/>
              </w:rPr>
              <w:t>88</w:t>
            </w:r>
          </w:p>
        </w:tc>
        <w:tc>
          <w:tcPr>
            <w:tcW w:type="dxa" w:w="1247"/>
          </w:tcPr>
          <w:p>
            <w:pPr>
              <w:spacing w:after="0" w:line="240" w:lineRule="auto"/>
              <w:jc w:val="right"/>
            </w:pPr>
            <w:r/>
            <w:r>
              <w:rPr>
                <w:sz w:val="18"/>
              </w:rPr>
              <w:t>160</w:t>
            </w:r>
          </w:p>
        </w:tc>
        <w:tc>
          <w:tcPr>
            <w:tcW w:type="dxa" w:w="1191"/>
          </w:tcPr>
          <w:p>
            <w:pPr>
              <w:spacing w:after="0" w:line="240" w:lineRule="auto"/>
              <w:jc w:val="right"/>
            </w:pPr>
            <w:r/>
            <w:r>
              <w:rPr>
                <w:sz w:val="18"/>
              </w:rPr>
              <w:t>12</w:t>
            </w:r>
          </w:p>
        </w:tc>
      </w:tr>
      <w:tr>
        <w:trPr>
          <w:cantSplit/>
        </w:trPr>
        <w:tc>
          <w:tcPr>
            <w:tcW w:type="dxa" w:w="4082"/>
            <w:shd w:val="clear" w:color="auto" w:fill="F2F4F7"/>
          </w:tcPr>
          <w:p>
            <w:pPr>
              <w:spacing w:after="0" w:line="240" w:lineRule="auto"/>
            </w:pPr>
            <w:r/>
            <w:r>
              <w:rPr>
                <w:sz w:val="18"/>
              </w:rPr>
              <w:t>Construction cost +10%</w:t>
            </w:r>
          </w:p>
        </w:tc>
        <w:tc>
          <w:tcPr>
            <w:tcW w:type="dxa" w:w="1361"/>
            <w:shd w:val="clear" w:color="auto" w:fill="F2F4F7"/>
          </w:tcPr>
          <w:p>
            <w:pPr>
              <w:spacing w:after="0" w:line="240" w:lineRule="auto"/>
              <w:jc w:val="right"/>
            </w:pPr>
            <w:r/>
            <w:r>
              <w:rPr>
                <w:sz w:val="18"/>
              </w:rPr>
              <w:t>102</w:t>
            </w:r>
          </w:p>
        </w:tc>
        <w:tc>
          <w:tcPr>
            <w:tcW w:type="dxa" w:w="1361"/>
            <w:shd w:val="clear" w:color="auto" w:fill="F2F4F7"/>
          </w:tcPr>
          <w:p>
            <w:pPr>
              <w:spacing w:after="0" w:line="240" w:lineRule="auto"/>
              <w:jc w:val="right"/>
            </w:pPr>
            <w:r/>
            <w:r>
              <w:rPr>
                <w:sz w:val="18"/>
              </w:rPr>
              <w:t>117</w:t>
            </w:r>
          </w:p>
        </w:tc>
        <w:tc>
          <w:tcPr>
            <w:tcW w:type="dxa" w:w="1247"/>
            <w:shd w:val="clear" w:color="auto" w:fill="F2F4F7"/>
          </w:tcPr>
          <w:p>
            <w:pPr>
              <w:spacing w:after="0" w:line="240" w:lineRule="auto"/>
              <w:jc w:val="right"/>
            </w:pPr>
            <w:r/>
            <w:r>
              <w:rPr>
                <w:sz w:val="18"/>
              </w:rPr>
              <w:t>193</w:t>
            </w:r>
          </w:p>
        </w:tc>
        <w:tc>
          <w:tcPr>
            <w:tcW w:type="dxa" w:w="1191"/>
            <w:shd w:val="clear" w:color="auto" w:fill="F2F4F7"/>
          </w:tcPr>
          <w:p>
            <w:pPr>
              <w:spacing w:after="0" w:line="240" w:lineRule="auto"/>
              <w:jc w:val="right"/>
            </w:pPr>
            <w:r/>
            <w:r>
              <w:rPr>
                <w:sz w:val="18"/>
              </w:rPr>
              <w:t>27</w:t>
            </w:r>
          </w:p>
        </w:tc>
      </w:tr>
      <w:tr>
        <w:trPr>
          <w:cantSplit/>
        </w:trPr>
        <w:tc>
          <w:tcPr>
            <w:tcW w:type="dxa" w:w="4082"/>
          </w:tcPr>
          <w:p>
            <w:pPr>
              <w:spacing w:after="0" w:line="240" w:lineRule="auto"/>
            </w:pPr>
            <w:r/>
            <w:r>
              <w:rPr>
                <w:sz w:val="18"/>
              </w:rPr>
              <w:t>Collections slip 2 quarters</w:t>
            </w:r>
          </w:p>
        </w:tc>
        <w:tc>
          <w:tcPr>
            <w:tcW w:type="dxa" w:w="1361"/>
          </w:tcPr>
          <w:p>
            <w:pPr>
              <w:spacing w:after="0" w:line="240" w:lineRule="auto"/>
              <w:jc w:val="right"/>
            </w:pPr>
            <w:r/>
            <w:r>
              <w:rPr>
                <w:sz w:val="18"/>
              </w:rPr>
              <w:t>236</w:t>
            </w:r>
          </w:p>
        </w:tc>
        <w:tc>
          <w:tcPr>
            <w:tcW w:type="dxa" w:w="1361"/>
          </w:tcPr>
          <w:p>
            <w:pPr>
              <w:spacing w:after="0" w:line="240" w:lineRule="auto"/>
              <w:jc w:val="right"/>
            </w:pPr>
            <w:r/>
            <w:r>
              <w:rPr>
                <w:sz w:val="18"/>
              </w:rPr>
              <w:t>381</w:t>
            </w:r>
          </w:p>
        </w:tc>
        <w:tc>
          <w:tcPr>
            <w:tcW w:type="dxa" w:w="1247"/>
          </w:tcPr>
          <w:p>
            <w:pPr>
              <w:spacing w:after="0" w:line="240" w:lineRule="auto"/>
              <w:jc w:val="right"/>
            </w:pPr>
            <w:r/>
            <w:r>
              <w:rPr>
                <w:sz w:val="18"/>
              </w:rPr>
              <w:t>478</w:t>
            </w:r>
          </w:p>
        </w:tc>
        <w:tc>
          <w:tcPr>
            <w:tcW w:type="dxa" w:w="1191"/>
          </w:tcPr>
          <w:p>
            <w:pPr>
              <w:spacing w:after="0" w:line="240" w:lineRule="auto"/>
              <w:jc w:val="right"/>
            </w:pPr>
            <w:r/>
            <w:r>
              <w:rPr>
                <w:sz w:val="18"/>
              </w:rPr>
              <w:t>30</w:t>
            </w:r>
          </w:p>
        </w:tc>
      </w:tr>
      <w:tr>
        <w:trPr>
          <w:cantSplit/>
        </w:trPr>
        <w:tc>
          <w:tcPr>
            <w:tcW w:type="dxa" w:w="4082"/>
            <w:shd w:val="clear" w:color="auto" w:fill="F2F4F7"/>
          </w:tcPr>
          <w:p>
            <w:pPr>
              <w:spacing w:after="0" w:line="240" w:lineRule="auto"/>
            </w:pPr>
            <w:r/>
            <w:r>
              <w:rPr>
                <w:sz w:val="18"/>
              </w:rPr>
              <w:t>Delivery payments at handover</w:t>
            </w:r>
          </w:p>
        </w:tc>
        <w:tc>
          <w:tcPr>
            <w:tcW w:type="dxa" w:w="1361"/>
            <w:shd w:val="clear" w:color="auto" w:fill="F2F4F7"/>
          </w:tcPr>
          <w:p>
            <w:pPr>
              <w:spacing w:after="0" w:line="240" w:lineRule="auto"/>
              <w:jc w:val="right"/>
            </w:pPr>
            <w:r/>
            <w:r>
              <w:rPr>
                <w:sz w:val="18"/>
              </w:rPr>
              <w:t>269</w:t>
            </w:r>
          </w:p>
        </w:tc>
        <w:tc>
          <w:tcPr>
            <w:tcW w:type="dxa" w:w="1361"/>
            <w:shd w:val="clear" w:color="auto" w:fill="F2F4F7"/>
          </w:tcPr>
          <w:p>
            <w:pPr>
              <w:spacing w:after="0" w:line="240" w:lineRule="auto"/>
              <w:jc w:val="right"/>
            </w:pPr>
            <w:r/>
            <w:r>
              <w:rPr>
                <w:sz w:val="18"/>
              </w:rPr>
              <w:t>244</w:t>
            </w:r>
          </w:p>
        </w:tc>
        <w:tc>
          <w:tcPr>
            <w:tcW w:type="dxa" w:w="1247"/>
            <w:shd w:val="clear" w:color="auto" w:fill="F2F4F7"/>
          </w:tcPr>
          <w:p>
            <w:pPr>
              <w:spacing w:after="0" w:line="240" w:lineRule="auto"/>
              <w:jc w:val="right"/>
            </w:pPr>
            <w:r/>
            <w:r>
              <w:rPr>
                <w:sz w:val="18"/>
              </w:rPr>
              <w:t>318</w:t>
            </w:r>
          </w:p>
        </w:tc>
        <w:tc>
          <w:tcPr>
            <w:tcW w:type="dxa" w:w="1191"/>
            <w:shd w:val="clear" w:color="auto" w:fill="F2F4F7"/>
          </w:tcPr>
          <w:p>
            <w:pPr>
              <w:spacing w:after="0" w:line="240" w:lineRule="auto"/>
              <w:jc w:val="right"/>
            </w:pPr>
            <w:r/>
            <w:r>
              <w:rPr>
                <w:sz w:val="18"/>
              </w:rPr>
              <w:t>45</w:t>
            </w:r>
          </w:p>
        </w:tc>
      </w:tr>
      <w:tr>
        <w:trPr>
          <w:cantSplit/>
        </w:trPr>
        <w:tc>
          <w:tcPr>
            <w:tcW w:type="dxa" w:w="4082"/>
          </w:tcPr>
          <w:p>
            <w:pPr>
              <w:spacing w:after="0" w:line="240" w:lineRule="auto"/>
            </w:pPr>
            <w:r/>
            <w:r>
              <w:rPr>
                <w:sz w:val="18"/>
              </w:rPr>
              <w:t>Handover payments and downside combined</w:t>
            </w:r>
          </w:p>
        </w:tc>
        <w:tc>
          <w:tcPr>
            <w:tcW w:type="dxa" w:w="1361"/>
          </w:tcPr>
          <w:p>
            <w:pPr>
              <w:spacing w:after="0" w:line="240" w:lineRule="auto"/>
              <w:jc w:val="right"/>
            </w:pPr>
            <w:r/>
            <w:r>
              <w:rPr>
                <w:sz w:val="18"/>
              </w:rPr>
              <w:t>729</w:t>
            </w:r>
          </w:p>
        </w:tc>
        <w:tc>
          <w:tcPr>
            <w:tcW w:type="dxa" w:w="1361"/>
          </w:tcPr>
          <w:p>
            <w:pPr>
              <w:spacing w:after="0" w:line="240" w:lineRule="auto"/>
              <w:jc w:val="right"/>
            </w:pPr>
            <w:r/>
            <w:r>
              <w:rPr>
                <w:sz w:val="18"/>
              </w:rPr>
              <w:t>849</w:t>
            </w:r>
          </w:p>
        </w:tc>
        <w:tc>
          <w:tcPr>
            <w:tcW w:type="dxa" w:w="1247"/>
          </w:tcPr>
          <w:p>
            <w:pPr>
              <w:spacing w:after="0" w:line="240" w:lineRule="auto"/>
              <w:jc w:val="right"/>
            </w:pPr>
            <w:r/>
            <w:r>
              <w:rPr>
                <w:sz w:val="18"/>
              </w:rPr>
              <w:t>1,531</w:t>
            </w:r>
          </w:p>
        </w:tc>
        <w:tc>
          <w:tcPr>
            <w:tcW w:type="dxa" w:w="1191"/>
          </w:tcPr>
          <w:p>
            <w:pPr>
              <w:spacing w:after="0" w:line="240" w:lineRule="auto"/>
              <w:jc w:val="right"/>
            </w:pPr>
            <w:r/>
            <w:r>
              <w:rPr>
                <w:sz w:val="18"/>
              </w:rPr>
              <w:t>54</w:t>
            </w:r>
          </w:p>
        </w:tc>
      </w:tr>
    </w:tbl>
    <w:p>
      <w:pPr>
        <w:spacing w:after="80"/>
      </w:pPr>
    </w:p>
    <w:p>
      <w:r>
        <w:rPr>
          <w:b w:val="0"/>
          <w:i w:val="0"/>
        </w:rPr>
        <w:t>In the base case the combined position is lowest at EGP 168.0 million in month 15 and is positive from month 30. The stress cases matter more than the base case. When sales slip or delivery payments arrive late, both projects are short at the same time and the combined need is the sum of the two, not the offset of one against the other. Jalour's ability to cover gaps therefore rests mainly on its cash reserves and on other projects' cash outside these two, which are not shown here. Presenting the projects together creates no cross-collateral or cross-default; the investor's claim in each project is on that project's company only.</w:t>
      </w:r>
    </w:p>
    <w:p>
      <w:pPr>
        <w:pStyle w:val="Heading1"/>
        <w:pageBreakBefore/>
      </w:pPr>
      <w:r>
        <w:t>12. Investment terms</w:t>
      </w:r>
    </w:p>
    <w:p>
      <w:pPr>
        <w:pStyle w:val="Heading2"/>
      </w:pPr>
      <w:r>
        <w:t>12.1 Option A: units</w:t>
      </w:r>
    </w:p>
    <w:p>
      <w:pPr>
        <w:keepNext/>
        <w:spacing w:after="60"/>
      </w:pPr>
      <w:r>
        <w:rPr>
          <w:b/>
          <w:color w:val="17324D"/>
          <w:sz w:val="19"/>
        </w:rPr>
        <w:t>Table 23: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125 million in each project (EGP 250 million in total):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of each project (Green Square months 9 and 12, EGP 606 million at list; L'avenir months 15 and 18, EGP 725 million). The investor receives 20.6% and 17.3% of them. The 20% of units retained by Jalour are not used</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Green Square retail EGP 40.3 million and offices EGP 84.7 million; L'avenir retail EGP 38.6 million and offices EGP 86.4 million</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179 million (Green Square) and EGP 185 million (L'avenir),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in each project,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88 million at face in total);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48 (Green Square) and 54 (L'avenir); resale over four quarters from three months later; 3% cost</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Jalour cannot promise liquidity that the structure does not provide.</w:t>
      </w:r>
    </w:p>
    <w:p>
      <w:pPr>
        <w:pStyle w:val="Heading2"/>
      </w:pPr>
      <w:r>
        <w:t>12.2 Option B: cash</w:t>
      </w:r>
    </w:p>
    <w:p>
      <w:pPr>
        <w:keepNext/>
        <w:spacing w:after="60"/>
      </w:pPr>
      <w:r>
        <w:rPr>
          <w:b/>
          <w:color w:val="17324D"/>
          <w:sz w:val="19"/>
        </w:rPr>
        <w:t>Table 24: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288 million (2.3x the ticket), including return of capital: EGP 143.75 million from each project</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in each project,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11.98 million per project: Green Square months 30 to 63; L'avenir months 39 to 72</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Each project company for its own instalments; no guarantee of return by Jalour or Al Jalal Holding; no cross-guarantee between the project companies</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in that project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projects and is not a guarantee of the return</w:t>
            </w:r>
          </w:p>
        </w:tc>
      </w:tr>
    </w:tbl>
    <w:p>
      <w:pPr>
        <w:spacing w:after="80"/>
      </w:pPr>
    </w:p>
    <w:p>
      <w:pPr>
        <w:keepNext/>
        <w:spacing w:after="60"/>
      </w:pPr>
      <w:r>
        <w:rPr>
          <w:b/>
          <w:color w:val="17324D"/>
          <w:sz w:val="19"/>
        </w:rPr>
        <w:t>Table 25: Option B payment schedule (GS = Green Square, LA = L'avenir)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7324D"/>
          </w:tcPr>
          <w:p>
            <w:pPr>
              <w:spacing w:after="0" w:line="240" w:lineRule="auto"/>
              <w:jc w:val="right"/>
            </w:pPr>
            <w:r/>
            <w:r>
              <w:rPr>
                <w:b/>
                <w:color w:val="FFFFFF"/>
                <w:sz w:val="18"/>
              </w:rPr>
              <w:t>Instalment</w:t>
            </w:r>
          </w:p>
        </w:tc>
        <w:tc>
          <w:tcPr>
            <w:tcW w:type="dxa" w:w="1247"/>
            <w:shd w:val="clear" w:color="auto" w:fill="17324D"/>
          </w:tcPr>
          <w:p>
            <w:pPr>
              <w:spacing w:after="0" w:line="240" w:lineRule="auto"/>
              <w:jc w:val="right"/>
            </w:pPr>
            <w:r/>
            <w:r>
              <w:rPr>
                <w:b/>
                <w:color w:val="FFFFFF"/>
                <w:sz w:val="18"/>
              </w:rPr>
              <w:t>GS month</w:t>
            </w:r>
          </w:p>
        </w:tc>
        <w:tc>
          <w:tcPr>
            <w:tcW w:type="dxa" w:w="1247"/>
            <w:shd w:val="clear" w:color="auto" w:fill="17324D"/>
          </w:tcPr>
          <w:p>
            <w:pPr>
              <w:spacing w:after="0" w:line="240" w:lineRule="auto"/>
              <w:jc w:val="right"/>
            </w:pPr>
            <w:r/>
            <w:r>
              <w:rPr>
                <w:b/>
                <w:color w:val="FFFFFF"/>
                <w:sz w:val="18"/>
              </w:rPr>
              <w:t>LA month</w:t>
            </w:r>
          </w:p>
        </w:tc>
        <w:tc>
          <w:tcPr>
            <w:tcW w:type="dxa" w:w="1814"/>
            <w:shd w:val="clear" w:color="auto" w:fill="17324D"/>
          </w:tcPr>
          <w:p>
            <w:pPr>
              <w:spacing w:after="0" w:line="240" w:lineRule="auto"/>
              <w:jc w:val="right"/>
            </w:pPr>
            <w:r/>
            <w:r>
              <w:rPr>
                <w:b/>
                <w:color w:val="FFFFFF"/>
                <w:sz w:val="18"/>
              </w:rPr>
              <w:t>Per project (EGP m)</w:t>
            </w:r>
          </w:p>
        </w:tc>
        <w:tc>
          <w:tcPr>
            <w:tcW w:type="dxa" w:w="1814"/>
            <w:shd w:val="clear" w:color="auto" w:fill="17324D"/>
          </w:tcPr>
          <w:p>
            <w:pPr>
              <w:spacing w:after="0" w:line="240" w:lineRule="auto"/>
              <w:jc w:val="right"/>
            </w:pPr>
            <w:r/>
            <w:r>
              <w:rPr>
                <w:b/>
                <w:color w:val="FFFFFF"/>
                <w:sz w:val="18"/>
              </w:rPr>
              <w:t>Combined (EGP m)</w:t>
            </w:r>
          </w:p>
        </w:tc>
        <w:tc>
          <w:tcPr>
            <w:tcW w:type="dxa" w:w="1871"/>
            <w:shd w:val="clear" w:color="auto" w:fill="17324D"/>
          </w:tcPr>
          <w:p>
            <w:pPr>
              <w:spacing w:after="0" w:line="240" w:lineRule="auto"/>
              <w:jc w:val="right"/>
            </w:pPr>
            <w:r/>
            <w:r>
              <w:rPr>
                <w:b/>
                <w:color w:val="FFFFFF"/>
                <w:sz w:val="18"/>
              </w:rPr>
              <w:t>Cumulative combined (EGP m)</w:t>
            </w:r>
          </w:p>
        </w:tc>
      </w:tr>
      <w:tr>
        <w:trPr>
          <w:cantSplit/>
        </w:trPr>
        <w:tc>
          <w:tcPr>
            <w:tcW w:type="dxa" w:w="1247"/>
          </w:tcPr>
          <w:p>
            <w:pPr>
              <w:spacing w:after="0" w:line="240" w:lineRule="auto"/>
              <w:jc w:val="right"/>
            </w:pPr>
            <w:r/>
            <w:r>
              <w:rPr>
                <w:sz w:val="18"/>
              </w:rPr>
              <w:t>1</w:t>
            </w:r>
          </w:p>
        </w:tc>
        <w:tc>
          <w:tcPr>
            <w:tcW w:type="dxa" w:w="1247"/>
          </w:tcPr>
          <w:p>
            <w:pPr>
              <w:spacing w:after="0" w:line="240" w:lineRule="auto"/>
              <w:jc w:val="right"/>
            </w:pPr>
            <w:r/>
            <w:r>
              <w:rPr>
                <w:sz w:val="18"/>
              </w:rPr>
              <w:t>30</w:t>
            </w:r>
          </w:p>
        </w:tc>
        <w:tc>
          <w:tcPr>
            <w:tcW w:type="dxa" w:w="1247"/>
          </w:tcPr>
          <w:p>
            <w:pPr>
              <w:spacing w:after="0" w:line="240" w:lineRule="auto"/>
              <w:jc w:val="right"/>
            </w:pPr>
            <w:r/>
            <w:r>
              <w:rPr>
                <w:sz w:val="18"/>
              </w:rPr>
              <w:t>39</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23.96</w:t>
            </w:r>
          </w:p>
        </w:tc>
      </w:tr>
      <w:tr>
        <w:trPr>
          <w:cantSplit/>
        </w:trPr>
        <w:tc>
          <w:tcPr>
            <w:tcW w:type="dxa" w:w="1247"/>
            <w:shd w:val="clear" w:color="auto" w:fill="F2F4F7"/>
          </w:tcPr>
          <w:p>
            <w:pPr>
              <w:spacing w:after="0" w:line="240" w:lineRule="auto"/>
              <w:jc w:val="right"/>
            </w:pPr>
            <w:r/>
            <w:r>
              <w:rPr>
                <w:sz w:val="18"/>
              </w:rPr>
              <w:t>2</w:t>
            </w:r>
          </w:p>
        </w:tc>
        <w:tc>
          <w:tcPr>
            <w:tcW w:type="dxa" w:w="1247"/>
            <w:shd w:val="clear" w:color="auto" w:fill="F2F4F7"/>
          </w:tcPr>
          <w:p>
            <w:pPr>
              <w:spacing w:after="0" w:line="240" w:lineRule="auto"/>
              <w:jc w:val="right"/>
            </w:pPr>
            <w:r/>
            <w:r>
              <w:rPr>
                <w:sz w:val="18"/>
              </w:rPr>
              <w:t>33</w:t>
            </w:r>
          </w:p>
        </w:tc>
        <w:tc>
          <w:tcPr>
            <w:tcW w:type="dxa" w:w="1247"/>
            <w:shd w:val="clear" w:color="auto" w:fill="F2F4F7"/>
          </w:tcPr>
          <w:p>
            <w:pPr>
              <w:spacing w:after="0" w:line="240" w:lineRule="auto"/>
              <w:jc w:val="right"/>
            </w:pPr>
            <w:r/>
            <w:r>
              <w:rPr>
                <w:sz w:val="18"/>
              </w:rPr>
              <w:t>42</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47.92</w:t>
            </w:r>
          </w:p>
        </w:tc>
      </w:tr>
      <w:tr>
        <w:trPr>
          <w:cantSplit/>
        </w:trPr>
        <w:tc>
          <w:tcPr>
            <w:tcW w:type="dxa" w:w="1247"/>
          </w:tcPr>
          <w:p>
            <w:pPr>
              <w:spacing w:after="0" w:line="240" w:lineRule="auto"/>
              <w:jc w:val="right"/>
            </w:pPr>
            <w:r/>
            <w:r>
              <w:rPr>
                <w:sz w:val="18"/>
              </w:rPr>
              <w:t>3</w:t>
            </w:r>
          </w:p>
        </w:tc>
        <w:tc>
          <w:tcPr>
            <w:tcW w:type="dxa" w:w="1247"/>
          </w:tcPr>
          <w:p>
            <w:pPr>
              <w:spacing w:after="0" w:line="240" w:lineRule="auto"/>
              <w:jc w:val="right"/>
            </w:pPr>
            <w:r/>
            <w:r>
              <w:rPr>
                <w:sz w:val="18"/>
              </w:rPr>
              <w:t>36</w:t>
            </w:r>
          </w:p>
        </w:tc>
        <w:tc>
          <w:tcPr>
            <w:tcW w:type="dxa" w:w="1247"/>
          </w:tcPr>
          <w:p>
            <w:pPr>
              <w:spacing w:after="0" w:line="240" w:lineRule="auto"/>
              <w:jc w:val="right"/>
            </w:pPr>
            <w:r/>
            <w:r>
              <w:rPr>
                <w:sz w:val="18"/>
              </w:rPr>
              <w:t>45</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71.88</w:t>
            </w:r>
          </w:p>
        </w:tc>
      </w:tr>
      <w:tr>
        <w:trPr>
          <w:cantSplit/>
        </w:trPr>
        <w:tc>
          <w:tcPr>
            <w:tcW w:type="dxa" w:w="1247"/>
            <w:shd w:val="clear" w:color="auto" w:fill="F2F4F7"/>
          </w:tcPr>
          <w:p>
            <w:pPr>
              <w:spacing w:after="0" w:line="240" w:lineRule="auto"/>
              <w:jc w:val="right"/>
            </w:pPr>
            <w:r/>
            <w:r>
              <w:rPr>
                <w:sz w:val="18"/>
              </w:rPr>
              <w:t>4</w:t>
            </w:r>
          </w:p>
        </w:tc>
        <w:tc>
          <w:tcPr>
            <w:tcW w:type="dxa" w:w="1247"/>
            <w:shd w:val="clear" w:color="auto" w:fill="F2F4F7"/>
          </w:tcPr>
          <w:p>
            <w:pPr>
              <w:spacing w:after="0" w:line="240" w:lineRule="auto"/>
              <w:jc w:val="right"/>
            </w:pPr>
            <w:r/>
            <w:r>
              <w:rPr>
                <w:sz w:val="18"/>
              </w:rPr>
              <w:t>39</w:t>
            </w:r>
          </w:p>
        </w:tc>
        <w:tc>
          <w:tcPr>
            <w:tcW w:type="dxa" w:w="1247"/>
            <w:shd w:val="clear" w:color="auto" w:fill="F2F4F7"/>
          </w:tcPr>
          <w:p>
            <w:pPr>
              <w:spacing w:after="0" w:line="240" w:lineRule="auto"/>
              <w:jc w:val="right"/>
            </w:pPr>
            <w:r/>
            <w:r>
              <w:rPr>
                <w:sz w:val="18"/>
              </w:rPr>
              <w:t>48</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95.83</w:t>
            </w:r>
          </w:p>
        </w:tc>
      </w:tr>
      <w:tr>
        <w:trPr>
          <w:cantSplit/>
        </w:trPr>
        <w:tc>
          <w:tcPr>
            <w:tcW w:type="dxa" w:w="1247"/>
          </w:tcPr>
          <w:p>
            <w:pPr>
              <w:spacing w:after="0" w:line="240" w:lineRule="auto"/>
              <w:jc w:val="right"/>
            </w:pPr>
            <w:r/>
            <w:r>
              <w:rPr>
                <w:sz w:val="18"/>
              </w:rPr>
              <w:t>5</w:t>
            </w:r>
          </w:p>
        </w:tc>
        <w:tc>
          <w:tcPr>
            <w:tcW w:type="dxa" w:w="1247"/>
          </w:tcPr>
          <w:p>
            <w:pPr>
              <w:spacing w:after="0" w:line="240" w:lineRule="auto"/>
              <w:jc w:val="right"/>
            </w:pPr>
            <w:r/>
            <w:r>
              <w:rPr>
                <w:sz w:val="18"/>
              </w:rPr>
              <w:t>42</w:t>
            </w:r>
          </w:p>
        </w:tc>
        <w:tc>
          <w:tcPr>
            <w:tcW w:type="dxa" w:w="1247"/>
          </w:tcPr>
          <w:p>
            <w:pPr>
              <w:spacing w:after="0" w:line="240" w:lineRule="auto"/>
              <w:jc w:val="right"/>
            </w:pPr>
            <w:r/>
            <w:r>
              <w:rPr>
                <w:sz w:val="18"/>
              </w:rPr>
              <w:t>51</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119.79</w:t>
            </w:r>
          </w:p>
        </w:tc>
      </w:tr>
      <w:tr>
        <w:trPr>
          <w:cantSplit/>
        </w:trPr>
        <w:tc>
          <w:tcPr>
            <w:tcW w:type="dxa" w:w="1247"/>
            <w:shd w:val="clear" w:color="auto" w:fill="F2F4F7"/>
          </w:tcPr>
          <w:p>
            <w:pPr>
              <w:spacing w:after="0" w:line="240" w:lineRule="auto"/>
              <w:jc w:val="right"/>
            </w:pPr>
            <w:r/>
            <w:r>
              <w:rPr>
                <w:sz w:val="18"/>
              </w:rPr>
              <w:t>6</w:t>
            </w:r>
          </w:p>
        </w:tc>
        <w:tc>
          <w:tcPr>
            <w:tcW w:type="dxa" w:w="1247"/>
            <w:shd w:val="clear" w:color="auto" w:fill="F2F4F7"/>
          </w:tcPr>
          <w:p>
            <w:pPr>
              <w:spacing w:after="0" w:line="240" w:lineRule="auto"/>
              <w:jc w:val="right"/>
            </w:pPr>
            <w:r/>
            <w:r>
              <w:rPr>
                <w:sz w:val="18"/>
              </w:rPr>
              <w:t>45</w:t>
            </w:r>
          </w:p>
        </w:tc>
        <w:tc>
          <w:tcPr>
            <w:tcW w:type="dxa" w:w="1247"/>
            <w:shd w:val="clear" w:color="auto" w:fill="F2F4F7"/>
          </w:tcPr>
          <w:p>
            <w:pPr>
              <w:spacing w:after="0" w:line="240" w:lineRule="auto"/>
              <w:jc w:val="right"/>
            </w:pPr>
            <w:r/>
            <w:r>
              <w:rPr>
                <w:sz w:val="18"/>
              </w:rPr>
              <w:t>54</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143.75</w:t>
            </w:r>
          </w:p>
        </w:tc>
      </w:tr>
      <w:tr>
        <w:trPr>
          <w:cantSplit/>
        </w:trPr>
        <w:tc>
          <w:tcPr>
            <w:tcW w:type="dxa" w:w="1247"/>
          </w:tcPr>
          <w:p>
            <w:pPr>
              <w:spacing w:after="0" w:line="240" w:lineRule="auto"/>
              <w:jc w:val="right"/>
            </w:pPr>
            <w:r/>
            <w:r>
              <w:rPr>
                <w:sz w:val="18"/>
              </w:rPr>
              <w:t>7</w:t>
            </w:r>
          </w:p>
        </w:tc>
        <w:tc>
          <w:tcPr>
            <w:tcW w:type="dxa" w:w="1247"/>
          </w:tcPr>
          <w:p>
            <w:pPr>
              <w:spacing w:after="0" w:line="240" w:lineRule="auto"/>
              <w:jc w:val="right"/>
            </w:pPr>
            <w:r/>
            <w:r>
              <w:rPr>
                <w:sz w:val="18"/>
              </w:rPr>
              <w:t>48</w:t>
            </w:r>
          </w:p>
        </w:tc>
        <w:tc>
          <w:tcPr>
            <w:tcW w:type="dxa" w:w="1247"/>
          </w:tcPr>
          <w:p>
            <w:pPr>
              <w:spacing w:after="0" w:line="240" w:lineRule="auto"/>
              <w:jc w:val="right"/>
            </w:pPr>
            <w:r/>
            <w:r>
              <w:rPr>
                <w:sz w:val="18"/>
              </w:rPr>
              <w:t>57</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167.71</w:t>
            </w:r>
          </w:p>
        </w:tc>
      </w:tr>
      <w:tr>
        <w:trPr>
          <w:cantSplit/>
        </w:trPr>
        <w:tc>
          <w:tcPr>
            <w:tcW w:type="dxa" w:w="1247"/>
            <w:shd w:val="clear" w:color="auto" w:fill="F2F4F7"/>
          </w:tcPr>
          <w:p>
            <w:pPr>
              <w:spacing w:after="0" w:line="240" w:lineRule="auto"/>
              <w:jc w:val="right"/>
            </w:pPr>
            <w:r/>
            <w:r>
              <w:rPr>
                <w:sz w:val="18"/>
              </w:rPr>
              <w:t>8</w:t>
            </w:r>
          </w:p>
        </w:tc>
        <w:tc>
          <w:tcPr>
            <w:tcW w:type="dxa" w:w="1247"/>
            <w:shd w:val="clear" w:color="auto" w:fill="F2F4F7"/>
          </w:tcPr>
          <w:p>
            <w:pPr>
              <w:spacing w:after="0" w:line="240" w:lineRule="auto"/>
              <w:jc w:val="right"/>
            </w:pPr>
            <w:r/>
            <w:r>
              <w:rPr>
                <w:sz w:val="18"/>
              </w:rPr>
              <w:t>51</w:t>
            </w:r>
          </w:p>
        </w:tc>
        <w:tc>
          <w:tcPr>
            <w:tcW w:type="dxa" w:w="1247"/>
            <w:shd w:val="clear" w:color="auto" w:fill="F2F4F7"/>
          </w:tcPr>
          <w:p>
            <w:pPr>
              <w:spacing w:after="0" w:line="240" w:lineRule="auto"/>
              <w:jc w:val="right"/>
            </w:pPr>
            <w:r/>
            <w:r>
              <w:rPr>
                <w:sz w:val="18"/>
              </w:rPr>
              <w:t>60</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191.67</w:t>
            </w:r>
          </w:p>
        </w:tc>
      </w:tr>
      <w:tr>
        <w:trPr>
          <w:cantSplit/>
        </w:trPr>
        <w:tc>
          <w:tcPr>
            <w:tcW w:type="dxa" w:w="1247"/>
          </w:tcPr>
          <w:p>
            <w:pPr>
              <w:spacing w:after="0" w:line="240" w:lineRule="auto"/>
              <w:jc w:val="right"/>
            </w:pPr>
            <w:r/>
            <w:r>
              <w:rPr>
                <w:sz w:val="18"/>
              </w:rPr>
              <w:t>9</w:t>
            </w:r>
          </w:p>
        </w:tc>
        <w:tc>
          <w:tcPr>
            <w:tcW w:type="dxa" w:w="1247"/>
          </w:tcPr>
          <w:p>
            <w:pPr>
              <w:spacing w:after="0" w:line="240" w:lineRule="auto"/>
              <w:jc w:val="right"/>
            </w:pPr>
            <w:r/>
            <w:r>
              <w:rPr>
                <w:sz w:val="18"/>
              </w:rPr>
              <w:t>54</w:t>
            </w:r>
          </w:p>
        </w:tc>
        <w:tc>
          <w:tcPr>
            <w:tcW w:type="dxa" w:w="1247"/>
          </w:tcPr>
          <w:p>
            <w:pPr>
              <w:spacing w:after="0" w:line="240" w:lineRule="auto"/>
              <w:jc w:val="right"/>
            </w:pPr>
            <w:r/>
            <w:r>
              <w:rPr>
                <w:sz w:val="18"/>
              </w:rPr>
              <w:t>63</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215.62</w:t>
            </w:r>
          </w:p>
        </w:tc>
      </w:tr>
      <w:tr>
        <w:trPr>
          <w:cantSplit/>
        </w:trPr>
        <w:tc>
          <w:tcPr>
            <w:tcW w:type="dxa" w:w="1247"/>
            <w:shd w:val="clear" w:color="auto" w:fill="F2F4F7"/>
          </w:tcPr>
          <w:p>
            <w:pPr>
              <w:spacing w:after="0" w:line="240" w:lineRule="auto"/>
              <w:jc w:val="right"/>
            </w:pPr>
            <w:r/>
            <w:r>
              <w:rPr>
                <w:sz w:val="18"/>
              </w:rPr>
              <w:t>10</w:t>
            </w:r>
          </w:p>
        </w:tc>
        <w:tc>
          <w:tcPr>
            <w:tcW w:type="dxa" w:w="1247"/>
            <w:shd w:val="clear" w:color="auto" w:fill="F2F4F7"/>
          </w:tcPr>
          <w:p>
            <w:pPr>
              <w:spacing w:after="0" w:line="240" w:lineRule="auto"/>
              <w:jc w:val="right"/>
            </w:pPr>
            <w:r/>
            <w:r>
              <w:rPr>
                <w:sz w:val="18"/>
              </w:rPr>
              <w:t>57</w:t>
            </w:r>
          </w:p>
        </w:tc>
        <w:tc>
          <w:tcPr>
            <w:tcW w:type="dxa" w:w="1247"/>
            <w:shd w:val="clear" w:color="auto" w:fill="F2F4F7"/>
          </w:tcPr>
          <w:p>
            <w:pPr>
              <w:spacing w:after="0" w:line="240" w:lineRule="auto"/>
              <w:jc w:val="right"/>
            </w:pPr>
            <w:r/>
            <w:r>
              <w:rPr>
                <w:sz w:val="18"/>
              </w:rPr>
              <w:t>66</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239.58</w:t>
            </w:r>
          </w:p>
        </w:tc>
      </w:tr>
      <w:tr>
        <w:trPr>
          <w:cantSplit/>
        </w:trPr>
        <w:tc>
          <w:tcPr>
            <w:tcW w:type="dxa" w:w="1247"/>
          </w:tcPr>
          <w:p>
            <w:pPr>
              <w:spacing w:after="0" w:line="240" w:lineRule="auto"/>
              <w:jc w:val="right"/>
            </w:pPr>
            <w:r/>
            <w:r>
              <w:rPr>
                <w:sz w:val="18"/>
              </w:rPr>
              <w:t>11</w:t>
            </w:r>
          </w:p>
        </w:tc>
        <w:tc>
          <w:tcPr>
            <w:tcW w:type="dxa" w:w="1247"/>
          </w:tcPr>
          <w:p>
            <w:pPr>
              <w:spacing w:after="0" w:line="240" w:lineRule="auto"/>
              <w:jc w:val="right"/>
            </w:pPr>
            <w:r/>
            <w:r>
              <w:rPr>
                <w:sz w:val="18"/>
              </w:rPr>
              <w:t>60</w:t>
            </w:r>
          </w:p>
        </w:tc>
        <w:tc>
          <w:tcPr>
            <w:tcW w:type="dxa" w:w="1247"/>
          </w:tcPr>
          <w:p>
            <w:pPr>
              <w:spacing w:after="0" w:line="240" w:lineRule="auto"/>
              <w:jc w:val="right"/>
            </w:pPr>
            <w:r/>
            <w:r>
              <w:rPr>
                <w:sz w:val="18"/>
              </w:rPr>
              <w:t>69</w:t>
            </w:r>
          </w:p>
        </w:tc>
        <w:tc>
          <w:tcPr>
            <w:tcW w:type="dxa" w:w="1814"/>
          </w:tcPr>
          <w:p>
            <w:pPr>
              <w:spacing w:after="0" w:line="240" w:lineRule="auto"/>
              <w:jc w:val="right"/>
            </w:pPr>
            <w:r/>
            <w:r>
              <w:rPr>
                <w:sz w:val="18"/>
              </w:rPr>
              <w:t>11.98</w:t>
            </w:r>
          </w:p>
        </w:tc>
        <w:tc>
          <w:tcPr>
            <w:tcW w:type="dxa" w:w="1814"/>
          </w:tcPr>
          <w:p>
            <w:pPr>
              <w:spacing w:after="0" w:line="240" w:lineRule="auto"/>
              <w:jc w:val="right"/>
            </w:pPr>
            <w:r/>
            <w:r>
              <w:rPr>
                <w:sz w:val="18"/>
              </w:rPr>
              <w:t>23.96</w:t>
            </w:r>
          </w:p>
        </w:tc>
        <w:tc>
          <w:tcPr>
            <w:tcW w:type="dxa" w:w="1871"/>
          </w:tcPr>
          <w:p>
            <w:pPr>
              <w:spacing w:after="0" w:line="240" w:lineRule="auto"/>
              <w:jc w:val="right"/>
            </w:pPr>
            <w:r/>
            <w:r>
              <w:rPr>
                <w:sz w:val="18"/>
              </w:rPr>
              <w:t>263.54</w:t>
            </w:r>
          </w:p>
        </w:tc>
      </w:tr>
      <w:tr>
        <w:trPr>
          <w:cantSplit/>
        </w:trPr>
        <w:tc>
          <w:tcPr>
            <w:tcW w:type="dxa" w:w="1247"/>
            <w:shd w:val="clear" w:color="auto" w:fill="F2F4F7"/>
          </w:tcPr>
          <w:p>
            <w:pPr>
              <w:spacing w:after="0" w:line="240" w:lineRule="auto"/>
              <w:jc w:val="right"/>
            </w:pPr>
            <w:r/>
            <w:r>
              <w:rPr>
                <w:sz w:val="18"/>
              </w:rPr>
              <w:t>12</w:t>
            </w:r>
          </w:p>
        </w:tc>
        <w:tc>
          <w:tcPr>
            <w:tcW w:type="dxa" w:w="1247"/>
            <w:shd w:val="clear" w:color="auto" w:fill="F2F4F7"/>
          </w:tcPr>
          <w:p>
            <w:pPr>
              <w:spacing w:after="0" w:line="240" w:lineRule="auto"/>
              <w:jc w:val="right"/>
            </w:pPr>
            <w:r/>
            <w:r>
              <w:rPr>
                <w:sz w:val="18"/>
              </w:rPr>
              <w:t>63</w:t>
            </w:r>
          </w:p>
        </w:tc>
        <w:tc>
          <w:tcPr>
            <w:tcW w:type="dxa" w:w="1247"/>
            <w:shd w:val="clear" w:color="auto" w:fill="F2F4F7"/>
          </w:tcPr>
          <w:p>
            <w:pPr>
              <w:spacing w:after="0" w:line="240" w:lineRule="auto"/>
              <w:jc w:val="right"/>
            </w:pPr>
            <w:r/>
            <w:r>
              <w:rPr>
                <w:sz w:val="18"/>
              </w:rPr>
              <w:t>72</w:t>
            </w:r>
          </w:p>
        </w:tc>
        <w:tc>
          <w:tcPr>
            <w:tcW w:type="dxa" w:w="1814"/>
            <w:shd w:val="clear" w:color="auto" w:fill="F2F4F7"/>
          </w:tcPr>
          <w:p>
            <w:pPr>
              <w:spacing w:after="0" w:line="240" w:lineRule="auto"/>
              <w:jc w:val="right"/>
            </w:pPr>
            <w:r/>
            <w:r>
              <w:rPr>
                <w:sz w:val="18"/>
              </w:rPr>
              <w:t>11.98</w:t>
            </w:r>
          </w:p>
        </w:tc>
        <w:tc>
          <w:tcPr>
            <w:tcW w:type="dxa" w:w="1814"/>
            <w:shd w:val="clear" w:color="auto" w:fill="F2F4F7"/>
          </w:tcPr>
          <w:p>
            <w:pPr>
              <w:spacing w:after="0" w:line="240" w:lineRule="auto"/>
              <w:jc w:val="right"/>
            </w:pPr>
            <w:r/>
            <w:r>
              <w:rPr>
                <w:sz w:val="18"/>
              </w:rPr>
              <w:t>23.96</w:t>
            </w:r>
          </w:p>
        </w:tc>
        <w:tc>
          <w:tcPr>
            <w:tcW w:type="dxa" w:w="1871"/>
            <w:shd w:val="clear" w:color="auto" w:fill="F2F4F7"/>
          </w:tcPr>
          <w:p>
            <w:pPr>
              <w:spacing w:after="0" w:line="240" w:lineRule="auto"/>
              <w:jc w:val="right"/>
            </w:pPr>
            <w:r/>
            <w:r>
              <w:rPr>
                <w:sz w:val="18"/>
              </w:rPr>
              <w:t>287.50</w:t>
            </w:r>
          </w:p>
        </w:tc>
      </w:tr>
    </w:tbl>
    <w:p>
      <w:pPr>
        <w:spacing w:after="80"/>
      </w:pPr>
    </w:p>
    <w:p>
      <w:r>
        <w:rPr>
          <w:b w:val="0"/>
          <w:i w:val="0"/>
        </w:rPr>
        <w:t>Alternatives considered and not recommended are in section 13.4.</w:t>
      </w:r>
    </w:p>
    <w:p>
      <w:pPr>
        <w:pStyle w:val="Heading1"/>
        <w:pageBreakBefore/>
      </w:pPr>
      <w:r>
        <w:t>13. Returns analysis and sensitivities</w:t>
      </w:r>
    </w:p>
    <w:p>
      <w:r>
        <w:rPr>
          <w:b w:val="0"/>
          <w:i/>
        </w:rPr>
        <w:t>All returns are projections, labelled by case. IRRs are annual, compounded from quarterly flows, on the combined EGP 125 million; the investor funds in months 3 and 12.</w:t>
      </w:r>
    </w:p>
    <w:p>
      <w:pPr>
        <w:pStyle w:val="Heading2"/>
      </w:pPr>
      <w:r>
        <w:t>13.1 Option A</w:t>
      </w:r>
    </w:p>
    <w:p>
      <w:pPr>
        <w:keepNext/>
        <w:spacing w:after="60"/>
      </w:pPr>
      <w:r>
        <w:rPr>
          <w:b/>
          <w:color w:val="17324D"/>
          <w:sz w:val="19"/>
        </w:rPr>
        <w:t>Table 26: Option A investor returns, combined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27.7%</w:t>
            </w:r>
          </w:p>
        </w:tc>
        <w:tc>
          <w:tcPr>
            <w:tcW w:type="dxa" w:w="1701"/>
          </w:tcPr>
          <w:p>
            <w:pPr>
              <w:spacing w:after="0" w:line="240" w:lineRule="auto"/>
              <w:jc w:val="right"/>
            </w:pPr>
            <w:r/>
            <w:r>
              <w:rPr>
                <w:sz w:val="19"/>
              </w:rPr>
              <w:t>2.83x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19.5%</w:t>
            </w:r>
          </w:p>
        </w:tc>
        <w:tc>
          <w:tcPr>
            <w:tcW w:type="dxa" w:w="1701"/>
            <w:shd w:val="clear" w:color="auto" w:fill="F2F4F7"/>
          </w:tcPr>
          <w:p>
            <w:pPr>
              <w:spacing w:after="0" w:line="240" w:lineRule="auto"/>
              <w:jc w:val="right"/>
            </w:pPr>
            <w:r/>
            <w:r>
              <w:rPr>
                <w:sz w:val="19"/>
              </w:rPr>
              <w:t>2.54x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30.6%</w:t>
            </w:r>
          </w:p>
        </w:tc>
        <w:tc>
          <w:tcPr>
            <w:tcW w:type="dxa" w:w="1701"/>
          </w:tcPr>
          <w:p>
            <w:pPr>
              <w:spacing w:after="0" w:line="240" w:lineRule="auto"/>
              <w:jc w:val="right"/>
            </w:pPr>
            <w:r/>
            <w:r>
              <w:rPr>
                <w:sz w:val="19"/>
              </w:rPr>
              <w:t>3.11x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26.5%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30.5%</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16.9%</w:t>
            </w:r>
          </w:p>
        </w:tc>
        <w:tc>
          <w:tcPr>
            <w:tcW w:type="dxa" w:w="1701"/>
            <w:shd w:val="clear" w:color="auto" w:fill="F2F4F7"/>
          </w:tcPr>
          <w:p>
            <w:pPr>
              <w:spacing w:after="0" w:line="240" w:lineRule="auto"/>
              <w:jc w:val="right"/>
            </w:pPr>
            <w:r/>
            <w:r>
              <w:rPr>
                <w:sz w:val="19"/>
              </w:rPr>
              <w:t>1.94x</w:t>
            </w:r>
          </w:p>
        </w:tc>
      </w:tr>
    </w:tbl>
    <w:p>
      <w:pPr>
        <w:spacing w:after="80"/>
      </w:pPr>
    </w:p>
    <w:p>
      <w:pPr>
        <w:keepNext/>
        <w:spacing w:after="60"/>
      </w:pPr>
      <w:r>
        <w:rPr>
          <w:b/>
          <w:color w:val="17324D"/>
          <w:sz w:val="19"/>
        </w:rPr>
        <w:t>Table 27: Option A returns by project (EGP 62.5 million each)</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7324D"/>
          </w:tcPr>
          <w:p>
            <w:pPr>
              <w:spacing w:after="0" w:line="240" w:lineRule="auto"/>
            </w:pPr>
            <w:r/>
            <w:r>
              <w:rPr>
                <w:b/>
                <w:color w:val="FFFFFF"/>
                <w:sz w:val="18"/>
              </w:rPr>
              <w:t>Project</w:t>
            </w:r>
          </w:p>
        </w:tc>
        <w:tc>
          <w:tcPr>
            <w:tcW w:type="dxa" w:w="1247"/>
            <w:shd w:val="clear" w:color="auto" w:fill="17324D"/>
          </w:tcPr>
          <w:p>
            <w:pPr>
              <w:spacing w:after="0" w:line="240" w:lineRule="auto"/>
              <w:jc w:val="right"/>
            </w:pPr>
            <w:r/>
            <w:r>
              <w:rPr>
                <w:b/>
                <w:color w:val="FFFFFF"/>
                <w:sz w:val="18"/>
              </w:rPr>
              <w:t>Base IRR</w:t>
            </w:r>
          </w:p>
        </w:tc>
        <w:tc>
          <w:tcPr>
            <w:tcW w:type="dxa" w:w="1361"/>
            <w:shd w:val="clear" w:color="auto" w:fill="17324D"/>
          </w:tcPr>
          <w:p>
            <w:pPr>
              <w:spacing w:after="0" w:line="240" w:lineRule="auto"/>
              <w:jc w:val="right"/>
            </w:pPr>
            <w:r/>
            <w:r>
              <w:rPr>
                <w:b/>
                <w:color w:val="FFFFFF"/>
                <w:sz w:val="18"/>
              </w:rPr>
              <w:t>Base MOIC</w:t>
            </w:r>
          </w:p>
        </w:tc>
        <w:tc>
          <w:tcPr>
            <w:tcW w:type="dxa" w:w="1474"/>
            <w:shd w:val="clear" w:color="auto" w:fill="17324D"/>
          </w:tcPr>
          <w:p>
            <w:pPr>
              <w:spacing w:after="0" w:line="240" w:lineRule="auto"/>
              <w:jc w:val="right"/>
            </w:pPr>
            <w:r/>
            <w:r>
              <w:rPr>
                <w:b/>
                <w:color w:val="FFFFFF"/>
                <w:sz w:val="18"/>
              </w:rPr>
              <w:t>Downside IRR</w:t>
            </w:r>
          </w:p>
        </w:tc>
        <w:tc>
          <w:tcPr>
            <w:tcW w:type="dxa" w:w="1361"/>
            <w:shd w:val="clear" w:color="auto" w:fill="17324D"/>
          </w:tcPr>
          <w:p>
            <w:pPr>
              <w:spacing w:after="0" w:line="240" w:lineRule="auto"/>
              <w:jc w:val="right"/>
            </w:pPr>
            <w:r/>
            <w:r>
              <w:rPr>
                <w:b/>
                <w:color w:val="FFFFFF"/>
                <w:sz w:val="18"/>
              </w:rPr>
              <w:t>Upside IRR</w:t>
            </w:r>
          </w:p>
        </w:tc>
        <w:tc>
          <w:tcPr>
            <w:tcW w:type="dxa" w:w="1984"/>
            <w:shd w:val="clear" w:color="auto" w:fill="17324D"/>
          </w:tcPr>
          <w:p>
            <w:pPr>
              <w:spacing w:after="0" w:line="240" w:lineRule="auto"/>
              <w:jc w:val="right"/>
            </w:pPr>
            <w:r/>
            <w:r>
              <w:rPr>
                <w:b/>
                <w:color w:val="FFFFFF"/>
                <w:sz w:val="18"/>
              </w:rPr>
              <w:t>Break-even price (share of delivery list)</w:t>
            </w:r>
          </w:p>
        </w:tc>
      </w:tr>
      <w:tr>
        <w:trPr>
          <w:cantSplit/>
        </w:trPr>
        <w:tc>
          <w:tcPr>
            <w:tcW w:type="dxa" w:w="1814"/>
          </w:tcPr>
          <w:p>
            <w:pPr>
              <w:spacing w:after="0" w:line="240" w:lineRule="auto"/>
            </w:pPr>
            <w:r/>
            <w:r>
              <w:rPr>
                <w:sz w:val="18"/>
              </w:rPr>
              <w:t>Green Square</w:t>
            </w:r>
          </w:p>
        </w:tc>
        <w:tc>
          <w:tcPr>
            <w:tcW w:type="dxa" w:w="1247"/>
          </w:tcPr>
          <w:p>
            <w:pPr>
              <w:spacing w:after="0" w:line="240" w:lineRule="auto"/>
              <w:jc w:val="right"/>
            </w:pPr>
            <w:r/>
            <w:r>
              <w:rPr>
                <w:sz w:val="18"/>
              </w:rPr>
              <w:t>26.4%</w:t>
            </w:r>
          </w:p>
        </w:tc>
        <w:tc>
          <w:tcPr>
            <w:tcW w:type="dxa" w:w="1361"/>
          </w:tcPr>
          <w:p>
            <w:pPr>
              <w:spacing w:after="0" w:line="240" w:lineRule="auto"/>
              <w:jc w:val="right"/>
            </w:pPr>
            <w:r/>
            <w:r>
              <w:rPr>
                <w:sz w:val="18"/>
              </w:rPr>
              <w:t>2.78x</w:t>
            </w:r>
          </w:p>
        </w:tc>
        <w:tc>
          <w:tcPr>
            <w:tcW w:type="dxa" w:w="1474"/>
          </w:tcPr>
          <w:p>
            <w:pPr>
              <w:spacing w:after="0" w:line="240" w:lineRule="auto"/>
              <w:jc w:val="right"/>
            </w:pPr>
            <w:r/>
            <w:r>
              <w:rPr>
                <w:sz w:val="18"/>
              </w:rPr>
              <w:t>18.6%</w:t>
            </w:r>
          </w:p>
        </w:tc>
        <w:tc>
          <w:tcPr>
            <w:tcW w:type="dxa" w:w="1361"/>
          </w:tcPr>
          <w:p>
            <w:pPr>
              <w:spacing w:after="0" w:line="240" w:lineRule="auto"/>
              <w:jc w:val="right"/>
            </w:pPr>
            <w:r/>
            <w:r>
              <w:rPr>
                <w:sz w:val="18"/>
              </w:rPr>
              <w:t>29.2%</w:t>
            </w:r>
          </w:p>
        </w:tc>
        <w:tc>
          <w:tcPr>
            <w:tcW w:type="dxa" w:w="1984"/>
          </w:tcPr>
          <w:p>
            <w:pPr>
              <w:spacing w:after="0" w:line="240" w:lineRule="auto"/>
              <w:jc w:val="right"/>
            </w:pPr>
            <w:r/>
            <w:r>
              <w:rPr>
                <w:sz w:val="18"/>
              </w:rPr>
              <w:t>36%</w:t>
            </w:r>
          </w:p>
        </w:tc>
      </w:tr>
      <w:tr>
        <w:trPr>
          <w:cantSplit/>
        </w:trPr>
        <w:tc>
          <w:tcPr>
            <w:tcW w:type="dxa" w:w="1814"/>
            <w:shd w:val="clear" w:color="auto" w:fill="F2F4F7"/>
          </w:tcPr>
          <w:p>
            <w:pPr>
              <w:spacing w:after="0" w:line="240" w:lineRule="auto"/>
            </w:pPr>
            <w:r/>
            <w:r>
              <w:rPr>
                <w:sz w:val="18"/>
              </w:rPr>
              <w:t>L'avenir</w:t>
            </w:r>
          </w:p>
        </w:tc>
        <w:tc>
          <w:tcPr>
            <w:tcW w:type="dxa" w:w="1247"/>
            <w:shd w:val="clear" w:color="auto" w:fill="F2F4F7"/>
          </w:tcPr>
          <w:p>
            <w:pPr>
              <w:spacing w:after="0" w:line="240" w:lineRule="auto"/>
              <w:jc w:val="right"/>
            </w:pPr>
            <w:r/>
            <w:r>
              <w:rPr>
                <w:sz w:val="18"/>
              </w:rPr>
              <w:t>29.2%</w:t>
            </w:r>
          </w:p>
        </w:tc>
        <w:tc>
          <w:tcPr>
            <w:tcW w:type="dxa" w:w="1361"/>
            <w:shd w:val="clear" w:color="auto" w:fill="F2F4F7"/>
          </w:tcPr>
          <w:p>
            <w:pPr>
              <w:spacing w:after="0" w:line="240" w:lineRule="auto"/>
              <w:jc w:val="right"/>
            </w:pPr>
            <w:r/>
            <w:r>
              <w:rPr>
                <w:sz w:val="18"/>
              </w:rPr>
              <w:t>2.87x</w:t>
            </w:r>
          </w:p>
        </w:tc>
        <w:tc>
          <w:tcPr>
            <w:tcW w:type="dxa" w:w="1474"/>
            <w:shd w:val="clear" w:color="auto" w:fill="F2F4F7"/>
          </w:tcPr>
          <w:p>
            <w:pPr>
              <w:spacing w:after="0" w:line="240" w:lineRule="auto"/>
              <w:jc w:val="right"/>
            </w:pPr>
            <w:r/>
            <w:r>
              <w:rPr>
                <w:sz w:val="18"/>
              </w:rPr>
              <w:t>20.4%</w:t>
            </w:r>
          </w:p>
        </w:tc>
        <w:tc>
          <w:tcPr>
            <w:tcW w:type="dxa" w:w="1361"/>
            <w:shd w:val="clear" w:color="auto" w:fill="F2F4F7"/>
          </w:tcPr>
          <w:p>
            <w:pPr>
              <w:spacing w:after="0" w:line="240" w:lineRule="auto"/>
              <w:jc w:val="right"/>
            </w:pPr>
            <w:r/>
            <w:r>
              <w:rPr>
                <w:sz w:val="18"/>
              </w:rPr>
              <w:t>32.3%</w:t>
            </w:r>
          </w:p>
        </w:tc>
        <w:tc>
          <w:tcPr>
            <w:tcW w:type="dxa" w:w="1984"/>
            <w:shd w:val="clear" w:color="auto" w:fill="F2F4F7"/>
          </w:tcPr>
          <w:p>
            <w:pPr>
              <w:spacing w:after="0" w:line="240" w:lineRule="auto"/>
              <w:jc w:val="right"/>
            </w:pPr>
            <w:r/>
            <w:r>
              <w:rPr>
                <w:sz w:val="18"/>
              </w:rPr>
              <w:t>35%</w:t>
            </w:r>
          </w:p>
        </w:tc>
      </w:tr>
    </w:tbl>
    <w:p>
      <w:pPr>
        <w:spacing w:after="80"/>
      </w:pPr>
    </w:p>
    <w:p>
      <w:r>
        <w:rPr>
          <w:b/>
          <w:i w:val="0"/>
        </w:rPr>
        <w:t>Cost to Jalour.</w:t>
      </w:r>
      <w:r>
        <w:rPr>
          <w:b w:val="0"/>
          <w:i w:val="0"/>
        </w:rPr>
        <w:t xml:space="preserve"> Giving the investor units from the first two sales tranches of each project removes that share of those tranches' collections. Jalour receives the tickets at funding and forgoes those collections (the units' face value of EGP 250 million at list) as they would have been received, partly offset by commission saved. The landlord share is unchanged. On this basis Jalour's combined cost of capital is 21.6% and the NPV effect at 14% is EGP -24.9 million. Peak cumulative shortage before the tickets rises to EGP 106.9 million (Green Square) and EGP 123.8 million (L'avenir).</w:t>
      </w:r>
    </w:p>
    <w:p>
      <w:pPr>
        <w:keepNext/>
        <w:jc w:val="center"/>
      </w:pPr>
      <w:r>
        <w:drawing>
          <wp:inline xmlns:a="http://schemas.openxmlformats.org/drawingml/2006/main" xmlns:pic="http://schemas.openxmlformats.org/drawingml/2006/picture">
            <wp:extent cx="5580000" cy="2480000"/>
            <wp:docPr id="4" name="Picture 4"/>
            <wp:cNvGraphicFramePr>
              <a:graphicFrameLocks noChangeAspect="1"/>
            </wp:cNvGraphicFramePr>
            <a:graphic>
              <a:graphicData uri="http://schemas.openxmlformats.org/drawingml/2006/picture">
                <pic:pic>
                  <pic:nvPicPr>
                    <pic:cNvPr id="0" name="fig_inv.png"/>
                    <pic:cNvPicPr/>
                  </pic:nvPicPr>
                  <pic:blipFill>
                    <a:blip r:embed="rId14"/>
                    <a:stretch>
                      <a:fillRect/>
                    </a:stretch>
                  </pic:blipFill>
                  <pic:spPr>
                    <a:xfrm>
                      <a:off x="0" y="0"/>
                      <a:ext cx="5580000" cy="2480000"/>
                    </a:xfrm>
                    <a:prstGeom prst="rect"/>
                  </pic:spPr>
                </pic:pic>
              </a:graphicData>
            </a:graphic>
          </wp:inline>
        </w:drawing>
      </w:r>
    </w:p>
    <w:p>
      <w:pPr>
        <w:jc w:val="center"/>
      </w:pPr>
      <w:r>
        <w:rPr>
          <w:b/>
          <w:color w:val="17324D"/>
          <w:sz w:val="18"/>
        </w:rPr>
        <w:t xml:space="preserve">Figure 4: Cumulative investor cash flow by option (combined). </w:t>
      </w:r>
      <w:r>
        <w:rPr>
          <w:i/>
          <w:color w:val="6B7280"/>
          <w:sz w:val="18"/>
        </w:rPr>
        <w:t>Source: Financial Annex, Combined_Summary; projections</w:t>
      </w:r>
    </w:p>
    <w:p>
      <w:pPr>
        <w:pStyle w:val="Heading2"/>
      </w:pPr>
      <w:r>
        <w:t>13.2 Option B</w:t>
      </w:r>
    </w:p>
    <w:p>
      <w:pPr>
        <w:keepNext/>
        <w:spacing w:after="60"/>
      </w:pPr>
      <w:r>
        <w:rPr>
          <w:b/>
          <w:color w:val="17324D"/>
          <w:sz w:val="19"/>
        </w:rPr>
        <w:t>Table 28: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 (combined)</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tickets and payouts (EGP m)</w:t>
            </w:r>
          </w:p>
        </w:tc>
        <w:tc>
          <w:tcPr>
            <w:tcW w:type="dxa" w:w="1417"/>
            <w:shd w:val="clear" w:color="auto" w:fill="F2F4F7"/>
          </w:tcPr>
          <w:p>
            <w:pPr>
              <w:spacing w:after="0" w:line="240" w:lineRule="auto"/>
              <w:jc w:val="right"/>
            </w:pPr>
            <w:r/>
            <w:r>
              <w:rPr>
                <w:sz w:val="19"/>
              </w:rPr>
              <w:t>-43</w:t>
            </w:r>
          </w:p>
        </w:tc>
        <w:tc>
          <w:tcPr>
            <w:tcW w:type="dxa" w:w="1474"/>
            <w:shd w:val="clear" w:color="auto" w:fill="F2F4F7"/>
          </w:tcPr>
          <w:p>
            <w:pPr>
              <w:spacing w:after="0" w:line="240" w:lineRule="auto"/>
              <w:jc w:val="right"/>
            </w:pPr>
            <w:r/>
            <w:r>
              <w:rPr>
                <w:sz w:val="19"/>
              </w:rPr>
              <w:t>-1,144</w:t>
            </w:r>
          </w:p>
        </w:tc>
        <w:tc>
          <w:tcPr>
            <w:tcW w:type="dxa" w:w="1474"/>
            <w:shd w:val="clear" w:color="auto" w:fill="F2F4F7"/>
          </w:tcPr>
          <w:p>
            <w:pPr>
              <w:spacing w:after="0" w:line="240" w:lineRule="auto"/>
              <w:jc w:val="right"/>
            </w:pPr>
            <w:r/>
            <w:r>
              <w:rPr>
                <w:sz w:val="19"/>
              </w:rPr>
              <w:t>-40</w:t>
            </w:r>
          </w:p>
        </w:tc>
        <w:tc>
          <w:tcPr>
            <w:tcW w:type="dxa" w:w="1474"/>
            <w:shd w:val="clear" w:color="auto" w:fill="F2F4F7"/>
          </w:tcPr>
          <w:p>
            <w:pPr>
              <w:spacing w:after="0" w:line="240" w:lineRule="auto"/>
              <w:jc w:val="right"/>
            </w:pPr>
            <w:r/>
            <w:r>
              <w:rPr>
                <w:sz w:val="19"/>
              </w:rPr>
              <w:t>-301</w:t>
            </w:r>
          </w:p>
        </w:tc>
      </w:tr>
    </w:tbl>
    <w:p>
      <w:pPr>
        <w:spacing w:after="80"/>
      </w:pPr>
    </w:p>
    <w:p>
      <w:r>
        <w:rPr>
          <w:b w:val="0"/>
          <w:i w:val="0"/>
        </w:rPr>
        <w:t>In the base case the lowest combined pooled cash is EGP -43.0 million in month 15.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29: Payout coverage, base case, Option B</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268"/>
            <w:shd w:val="clear" w:color="auto" w:fill="17324D"/>
          </w:tcPr>
          <w:p>
            <w:pPr>
              <w:spacing w:after="0" w:line="240" w:lineRule="auto"/>
            </w:pPr>
            <w:r/>
            <w:r>
              <w:rPr>
                <w:b/>
                <w:color w:val="FFFFFF"/>
                <w:sz w:val="19"/>
              </w:rPr>
              <w:t>Project</w:t>
            </w:r>
          </w:p>
        </w:tc>
        <w:tc>
          <w:tcPr>
            <w:tcW w:type="dxa" w:w="4139"/>
            <w:shd w:val="clear" w:color="auto" w:fill="17324D"/>
          </w:tcPr>
          <w:p>
            <w:pPr>
              <w:spacing w:after="0" w:line="240" w:lineRule="auto"/>
              <w:jc w:val="right"/>
            </w:pPr>
            <w:r/>
            <w:r>
              <w:rPr>
                <w:b/>
                <w:color w:val="FFFFFF"/>
                <w:sz w:val="19"/>
              </w:rPr>
              <w:t>Quarters with net cash flow below 1.5x the instalment</w:t>
            </w:r>
          </w:p>
        </w:tc>
        <w:tc>
          <w:tcPr>
            <w:tcW w:type="dxa" w:w="2835"/>
            <w:shd w:val="clear" w:color="auto" w:fill="17324D"/>
          </w:tcPr>
          <w:p>
            <w:pPr>
              <w:spacing w:after="0" w:line="240" w:lineRule="auto"/>
              <w:jc w:val="right"/>
            </w:pPr>
            <w:r/>
            <w:r>
              <w:rPr>
                <w:b/>
                <w:color w:val="FFFFFF"/>
                <w:sz w:val="19"/>
              </w:rPr>
              <w:t>Lowest cash-available coverage</w:t>
            </w:r>
          </w:p>
        </w:tc>
      </w:tr>
      <w:tr>
        <w:trPr>
          <w:cantSplit/>
        </w:trPr>
        <w:tc>
          <w:tcPr>
            <w:tcW w:type="dxa" w:w="2268"/>
          </w:tcPr>
          <w:p>
            <w:pPr>
              <w:spacing w:after="0" w:line="240" w:lineRule="auto"/>
            </w:pPr>
            <w:r/>
            <w:r>
              <w:rPr>
                <w:sz w:val="19"/>
              </w:rPr>
              <w:t>Green Square</w:t>
            </w:r>
          </w:p>
        </w:tc>
        <w:tc>
          <w:tcPr>
            <w:tcW w:type="dxa" w:w="4139"/>
          </w:tcPr>
          <w:p>
            <w:pPr>
              <w:spacing w:after="0" w:line="240" w:lineRule="auto"/>
              <w:jc w:val="right"/>
            </w:pPr>
            <w:r/>
            <w:r>
              <w:rPr>
                <w:sz w:val="19"/>
              </w:rPr>
              <w:t>8 of 12</w:t>
            </w:r>
          </w:p>
        </w:tc>
        <w:tc>
          <w:tcPr>
            <w:tcW w:type="dxa" w:w="2835"/>
          </w:tcPr>
          <w:p>
            <w:pPr>
              <w:spacing w:after="0" w:line="240" w:lineRule="auto"/>
              <w:jc w:val="right"/>
            </w:pPr>
            <w:r/>
            <w:r>
              <w:rPr>
                <w:sz w:val="19"/>
              </w:rPr>
              <w:t>7.6x</w:t>
            </w:r>
          </w:p>
        </w:tc>
      </w:tr>
      <w:tr>
        <w:trPr>
          <w:cantSplit/>
        </w:trPr>
        <w:tc>
          <w:tcPr>
            <w:tcW w:type="dxa" w:w="2268"/>
            <w:shd w:val="clear" w:color="auto" w:fill="F2F4F7"/>
          </w:tcPr>
          <w:p>
            <w:pPr>
              <w:spacing w:after="0" w:line="240" w:lineRule="auto"/>
            </w:pPr>
            <w:r/>
            <w:r>
              <w:rPr>
                <w:sz w:val="19"/>
              </w:rPr>
              <w:t>L'avenir</w:t>
            </w:r>
          </w:p>
        </w:tc>
        <w:tc>
          <w:tcPr>
            <w:tcW w:type="dxa" w:w="4139"/>
            <w:shd w:val="clear" w:color="auto" w:fill="F2F4F7"/>
          </w:tcPr>
          <w:p>
            <w:pPr>
              <w:spacing w:after="0" w:line="240" w:lineRule="auto"/>
              <w:jc w:val="right"/>
            </w:pPr>
            <w:r/>
            <w:r>
              <w:rPr>
                <w:sz w:val="19"/>
              </w:rPr>
              <w:t>3 of 12</w:t>
            </w:r>
          </w:p>
        </w:tc>
        <w:tc>
          <w:tcPr>
            <w:tcW w:type="dxa" w:w="2835"/>
            <w:shd w:val="clear" w:color="auto" w:fill="F2F4F7"/>
          </w:tcPr>
          <w:p>
            <w:pPr>
              <w:spacing w:after="0" w:line="240" w:lineRule="auto"/>
              <w:jc w:val="right"/>
            </w:pPr>
            <w:r/>
            <w:r>
              <w:rPr>
                <w:sz w:val="19"/>
              </w:rPr>
              <w:t>2.5x</w:t>
            </w:r>
          </w:p>
        </w:tc>
      </w:tr>
    </w:tbl>
    <w:p>
      <w:pPr>
        <w:spacing w:after="80"/>
      </w:pPr>
    </w:p>
    <w:p>
      <w:pPr>
        <w:keepNext/>
        <w:spacing w:after="60"/>
      </w:pPr>
      <w:r>
        <w:rPr>
          <w:b/>
          <w:color w:val="17324D"/>
          <w:sz w:val="19"/>
        </w:rPr>
        <w:t>Table 30: Green Square: payout coverage by instalment,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7"/>
              </w:rPr>
              <w:t>Month</w:t>
            </w:r>
          </w:p>
        </w:tc>
        <w:tc>
          <w:tcPr>
            <w:tcW w:type="dxa" w:w="2268"/>
            <w:shd w:val="clear" w:color="auto" w:fill="17324D"/>
          </w:tcPr>
          <w:p>
            <w:pPr>
              <w:spacing w:after="0" w:line="240" w:lineRule="auto"/>
              <w:jc w:val="right"/>
            </w:pPr>
            <w:r/>
            <w:r>
              <w:rPr>
                <w:b/>
                <w:color w:val="FFFFFF"/>
                <w:sz w:val="17"/>
              </w:rPr>
              <w:t>Net cash flow before payout (EGP m)</w:t>
            </w:r>
          </w:p>
        </w:tc>
        <w:tc>
          <w:tcPr>
            <w:tcW w:type="dxa" w:w="1701"/>
            <w:shd w:val="clear" w:color="auto" w:fill="17324D"/>
          </w:tcPr>
          <w:p>
            <w:pPr>
              <w:spacing w:after="0" w:line="240" w:lineRule="auto"/>
              <w:jc w:val="right"/>
            </w:pPr>
            <w:r/>
            <w:r>
              <w:rPr>
                <w:b/>
                <w:color w:val="FFFFFF"/>
                <w:sz w:val="17"/>
              </w:rPr>
              <w:t>Instalment (EGP m)</w:t>
            </w:r>
          </w:p>
        </w:tc>
        <w:tc>
          <w:tcPr>
            <w:tcW w:type="dxa" w:w="2098"/>
            <w:shd w:val="clear" w:color="auto" w:fill="17324D"/>
          </w:tcPr>
          <w:p>
            <w:pPr>
              <w:spacing w:after="0" w:line="240" w:lineRule="auto"/>
              <w:jc w:val="right"/>
            </w:pPr>
            <w:r/>
            <w:r>
              <w:rPr>
                <w:b/>
                <w:color w:val="FFFFFF"/>
                <w:sz w:val="17"/>
              </w:rPr>
              <w:t>Coverage: net cash flow / instalment</w:t>
            </w:r>
          </w:p>
        </w:tc>
        <w:tc>
          <w:tcPr>
            <w:tcW w:type="dxa" w:w="2041"/>
            <w:shd w:val="clear" w:color="auto" w:fill="17324D"/>
          </w:tcPr>
          <w:p>
            <w:pPr>
              <w:spacing w:after="0" w:line="240" w:lineRule="auto"/>
              <w:jc w:val="right"/>
            </w:pPr>
            <w:r/>
            <w:r>
              <w:rPr>
                <w:b/>
                <w:color w:val="FFFFFF"/>
                <w:sz w:val="17"/>
              </w:rPr>
              <w:t>Coverage: cash available / instalment</w:t>
            </w:r>
          </w:p>
        </w:tc>
      </w:tr>
      <w:tr>
        <w:trPr>
          <w:cantSplit/>
        </w:trPr>
        <w:tc>
          <w:tcPr>
            <w:tcW w:type="dxa" w:w="1134"/>
          </w:tcPr>
          <w:p>
            <w:pPr>
              <w:spacing w:after="0" w:line="240" w:lineRule="auto"/>
            </w:pPr>
            <w:r/>
            <w:r>
              <w:rPr>
                <w:sz w:val="17"/>
              </w:rPr>
              <w:t>30</w:t>
            </w:r>
          </w:p>
        </w:tc>
        <w:tc>
          <w:tcPr>
            <w:tcW w:type="dxa" w:w="2268"/>
          </w:tcPr>
          <w:p>
            <w:pPr>
              <w:spacing w:after="0" w:line="240" w:lineRule="auto"/>
              <w:jc w:val="right"/>
            </w:pPr>
            <w:r/>
            <w:r>
              <w:rPr>
                <w:sz w:val="17"/>
              </w:rPr>
              <w:t>421.6</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35.2x</w:t>
            </w:r>
          </w:p>
        </w:tc>
        <w:tc>
          <w:tcPr>
            <w:tcW w:type="dxa" w:w="2041"/>
          </w:tcPr>
          <w:p>
            <w:pPr>
              <w:spacing w:after="0" w:line="240" w:lineRule="auto"/>
              <w:jc w:val="right"/>
            </w:pPr>
            <w:r/>
            <w:r>
              <w:rPr>
                <w:sz w:val="17"/>
              </w:rPr>
              <w:t>33.6x</w:t>
            </w:r>
          </w:p>
        </w:tc>
      </w:tr>
      <w:tr>
        <w:trPr>
          <w:cantSplit/>
        </w:trPr>
        <w:tc>
          <w:tcPr>
            <w:tcW w:type="dxa" w:w="1134"/>
            <w:shd w:val="clear" w:color="auto" w:fill="F2F4F7"/>
          </w:tcPr>
          <w:p>
            <w:pPr>
              <w:spacing w:after="0" w:line="240" w:lineRule="auto"/>
            </w:pPr>
            <w:r/>
            <w:r>
              <w:rPr>
                <w:sz w:val="17"/>
              </w:rPr>
              <w:t>33</w:t>
            </w:r>
          </w:p>
        </w:tc>
        <w:tc>
          <w:tcPr>
            <w:tcW w:type="dxa" w:w="2268"/>
            <w:shd w:val="clear" w:color="auto" w:fill="F2F4F7"/>
          </w:tcPr>
          <w:p>
            <w:pPr>
              <w:spacing w:after="0" w:line="240" w:lineRule="auto"/>
              <w:jc w:val="right"/>
            </w:pPr>
            <w:r/>
            <w:r>
              <w:rPr>
                <w:sz w:val="17"/>
              </w:rPr>
              <w:t>138.8</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11.6x</w:t>
            </w:r>
          </w:p>
        </w:tc>
        <w:tc>
          <w:tcPr>
            <w:tcW w:type="dxa" w:w="2041"/>
            <w:shd w:val="clear" w:color="auto" w:fill="F2F4F7"/>
          </w:tcPr>
          <w:p>
            <w:pPr>
              <w:spacing w:after="0" w:line="240" w:lineRule="auto"/>
              <w:jc w:val="right"/>
            </w:pPr>
            <w:r/>
            <w:r>
              <w:rPr>
                <w:sz w:val="17"/>
              </w:rPr>
              <w:t>44.2x</w:t>
            </w:r>
          </w:p>
        </w:tc>
      </w:tr>
      <w:tr>
        <w:trPr>
          <w:cantSplit/>
        </w:trPr>
        <w:tc>
          <w:tcPr>
            <w:tcW w:type="dxa" w:w="1134"/>
          </w:tcPr>
          <w:p>
            <w:pPr>
              <w:spacing w:after="0" w:line="240" w:lineRule="auto"/>
            </w:pPr>
            <w:r/>
            <w:r>
              <w:rPr>
                <w:sz w:val="17"/>
              </w:rPr>
              <w:t>36</w:t>
            </w:r>
          </w:p>
        </w:tc>
        <w:tc>
          <w:tcPr>
            <w:tcW w:type="dxa" w:w="2268"/>
          </w:tcPr>
          <w:p>
            <w:pPr>
              <w:spacing w:after="0" w:line="240" w:lineRule="auto"/>
              <w:jc w:val="right"/>
            </w:pPr>
            <w:r/>
            <w:r>
              <w:rPr>
                <w:sz w:val="17"/>
              </w:rPr>
              <w:t>129.7</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10.8x</w:t>
            </w:r>
          </w:p>
        </w:tc>
        <w:tc>
          <w:tcPr>
            <w:tcW w:type="dxa" w:w="2041"/>
          </w:tcPr>
          <w:p>
            <w:pPr>
              <w:spacing w:after="0" w:line="240" w:lineRule="auto"/>
              <w:jc w:val="right"/>
            </w:pPr>
            <w:r/>
            <w:r>
              <w:rPr>
                <w:sz w:val="17"/>
              </w:rPr>
              <w:t>54.0x</w:t>
            </w:r>
          </w:p>
        </w:tc>
      </w:tr>
      <w:tr>
        <w:trPr>
          <w:cantSplit/>
        </w:trPr>
        <w:tc>
          <w:tcPr>
            <w:tcW w:type="dxa" w:w="1134"/>
            <w:shd w:val="clear" w:color="auto" w:fill="F2F4F7"/>
          </w:tcPr>
          <w:p>
            <w:pPr>
              <w:spacing w:after="0" w:line="240" w:lineRule="auto"/>
            </w:pPr>
            <w:r/>
            <w:r>
              <w:rPr>
                <w:sz w:val="17"/>
              </w:rPr>
              <w:t>39</w:t>
            </w:r>
          </w:p>
        </w:tc>
        <w:tc>
          <w:tcPr>
            <w:tcW w:type="dxa" w:w="2268"/>
            <w:shd w:val="clear" w:color="auto" w:fill="F2F4F7"/>
          </w:tcPr>
          <w:p>
            <w:pPr>
              <w:spacing w:after="0" w:line="240" w:lineRule="auto"/>
              <w:jc w:val="right"/>
            </w:pPr>
            <w:r/>
            <w:r>
              <w:rPr>
                <w:sz w:val="17"/>
              </w:rPr>
              <w:t>-93.4</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-7.8x</w:t>
            </w:r>
          </w:p>
        </w:tc>
        <w:tc>
          <w:tcPr>
            <w:tcW w:type="dxa" w:w="2041"/>
            <w:shd w:val="clear" w:color="auto" w:fill="F2F4F7"/>
          </w:tcPr>
          <w:p>
            <w:pPr>
              <w:spacing w:after="0" w:line="240" w:lineRule="auto"/>
              <w:jc w:val="right"/>
            </w:pPr>
            <w:r/>
            <w:r>
              <w:rPr>
                <w:sz w:val="17"/>
              </w:rPr>
              <w:t>45.2x</w:t>
            </w:r>
          </w:p>
        </w:tc>
      </w:tr>
      <w:tr>
        <w:trPr>
          <w:cantSplit/>
        </w:trPr>
        <w:tc>
          <w:tcPr>
            <w:tcW w:type="dxa" w:w="1134"/>
          </w:tcPr>
          <w:p>
            <w:pPr>
              <w:spacing w:after="0" w:line="240" w:lineRule="auto"/>
            </w:pPr>
            <w:r/>
            <w:r>
              <w:rPr>
                <w:sz w:val="17"/>
              </w:rPr>
              <w:t>42</w:t>
            </w:r>
          </w:p>
        </w:tc>
        <w:tc>
          <w:tcPr>
            <w:tcW w:type="dxa" w:w="2268"/>
          </w:tcPr>
          <w:p>
            <w:pPr>
              <w:spacing w:after="0" w:line="240" w:lineRule="auto"/>
              <w:jc w:val="right"/>
            </w:pPr>
            <w:r/>
            <w:r>
              <w:rPr>
                <w:sz w:val="17"/>
              </w:rPr>
              <w:t>-121.0</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-10.1x</w:t>
            </w:r>
          </w:p>
        </w:tc>
        <w:tc>
          <w:tcPr>
            <w:tcW w:type="dxa" w:w="2041"/>
          </w:tcPr>
          <w:p>
            <w:pPr>
              <w:spacing w:after="0" w:line="240" w:lineRule="auto"/>
              <w:jc w:val="right"/>
            </w:pPr>
            <w:r/>
            <w:r>
              <w:rPr>
                <w:sz w:val="17"/>
              </w:rPr>
              <w:t>34.1x</w:t>
            </w:r>
          </w:p>
        </w:tc>
      </w:tr>
      <w:tr>
        <w:trPr>
          <w:cantSplit/>
        </w:trPr>
        <w:tc>
          <w:tcPr>
            <w:tcW w:type="dxa" w:w="1134"/>
            <w:shd w:val="clear" w:color="auto" w:fill="F2F4F7"/>
          </w:tcPr>
          <w:p>
            <w:pPr>
              <w:spacing w:after="0" w:line="240" w:lineRule="auto"/>
            </w:pPr>
            <w:r/>
            <w:r>
              <w:rPr>
                <w:sz w:val="17"/>
              </w:rPr>
              <w:t>45</w:t>
            </w:r>
          </w:p>
        </w:tc>
        <w:tc>
          <w:tcPr>
            <w:tcW w:type="dxa" w:w="2268"/>
            <w:shd w:val="clear" w:color="auto" w:fill="F2F4F7"/>
          </w:tcPr>
          <w:p>
            <w:pPr>
              <w:spacing w:after="0" w:line="240" w:lineRule="auto"/>
              <w:jc w:val="right"/>
            </w:pPr>
            <w:r/>
            <w:r>
              <w:rPr>
                <w:sz w:val="17"/>
              </w:rPr>
              <w:t>-171.6</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-14.3x</w:t>
            </w:r>
          </w:p>
        </w:tc>
        <w:tc>
          <w:tcPr>
            <w:tcW w:type="dxa" w:w="2041"/>
            <w:shd w:val="clear" w:color="auto" w:fill="F2F4F7"/>
          </w:tcPr>
          <w:p>
            <w:pPr>
              <w:spacing w:after="0" w:line="240" w:lineRule="auto"/>
              <w:jc w:val="right"/>
            </w:pPr>
            <w:r/>
            <w:r>
              <w:rPr>
                <w:sz w:val="17"/>
              </w:rPr>
              <w:t>18.8x</w:t>
            </w:r>
          </w:p>
        </w:tc>
      </w:tr>
      <w:tr>
        <w:trPr>
          <w:cantSplit/>
        </w:trPr>
        <w:tc>
          <w:tcPr>
            <w:tcW w:type="dxa" w:w="1134"/>
          </w:tcPr>
          <w:p>
            <w:pPr>
              <w:spacing w:after="0" w:line="240" w:lineRule="auto"/>
            </w:pPr>
            <w:r/>
            <w:r>
              <w:rPr>
                <w:sz w:val="17"/>
              </w:rPr>
              <w:t>48</w:t>
            </w:r>
          </w:p>
        </w:tc>
        <w:tc>
          <w:tcPr>
            <w:tcW w:type="dxa" w:w="2268"/>
          </w:tcPr>
          <w:p>
            <w:pPr>
              <w:spacing w:after="0" w:line="240" w:lineRule="auto"/>
              <w:jc w:val="right"/>
            </w:pPr>
            <w:r/>
            <w:r>
              <w:rPr>
                <w:sz w:val="17"/>
              </w:rPr>
              <w:t>-118.2</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-9.9x</w:t>
            </w:r>
          </w:p>
        </w:tc>
        <w:tc>
          <w:tcPr>
            <w:tcW w:type="dxa" w:w="2041"/>
          </w:tcPr>
          <w:p>
            <w:pPr>
              <w:spacing w:after="0" w:line="240" w:lineRule="auto"/>
              <w:jc w:val="right"/>
            </w:pPr>
            <w:r/>
            <w:r>
              <w:rPr>
                <w:sz w:val="17"/>
              </w:rPr>
              <w:t>7.9x</w:t>
            </w:r>
          </w:p>
        </w:tc>
      </w:tr>
      <w:tr>
        <w:trPr>
          <w:cantSplit/>
        </w:trPr>
        <w:tc>
          <w:tcPr>
            <w:tcW w:type="dxa" w:w="1134"/>
            <w:shd w:val="clear" w:color="auto" w:fill="F2F4F7"/>
          </w:tcPr>
          <w:p>
            <w:pPr>
              <w:spacing w:after="0" w:line="240" w:lineRule="auto"/>
            </w:pPr>
            <w:r/>
            <w:r>
              <w:rPr>
                <w:sz w:val="17"/>
              </w:rPr>
              <w:t>51</w:t>
            </w:r>
          </w:p>
        </w:tc>
        <w:tc>
          <w:tcPr>
            <w:tcW w:type="dxa" w:w="2268"/>
            <w:shd w:val="clear" w:color="auto" w:fill="F2F4F7"/>
          </w:tcPr>
          <w:p>
            <w:pPr>
              <w:spacing w:after="0" w:line="240" w:lineRule="auto"/>
              <w:jc w:val="right"/>
            </w:pPr>
            <w:r/>
            <w:r>
              <w:rPr>
                <w:sz w:val="17"/>
              </w:rPr>
              <w:t>16.2</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1.4x</w:t>
            </w:r>
          </w:p>
        </w:tc>
        <w:tc>
          <w:tcPr>
            <w:tcW w:type="dxa" w:w="2041"/>
            <w:shd w:val="clear" w:color="auto" w:fill="F2F4F7"/>
          </w:tcPr>
          <w:p>
            <w:pPr>
              <w:spacing w:after="0" w:line="240" w:lineRule="auto"/>
              <w:jc w:val="right"/>
            </w:pPr>
            <w:r/>
            <w:r>
              <w:rPr>
                <w:sz w:val="17"/>
              </w:rPr>
              <w:t>8.3x</w:t>
            </w:r>
          </w:p>
        </w:tc>
      </w:tr>
      <w:tr>
        <w:trPr>
          <w:cantSplit/>
        </w:trPr>
        <w:tc>
          <w:tcPr>
            <w:tcW w:type="dxa" w:w="1134"/>
          </w:tcPr>
          <w:p>
            <w:pPr>
              <w:spacing w:after="0" w:line="240" w:lineRule="auto"/>
            </w:pPr>
            <w:r/>
            <w:r>
              <w:rPr>
                <w:sz w:val="17"/>
              </w:rPr>
              <w:t>54</w:t>
            </w:r>
          </w:p>
        </w:tc>
        <w:tc>
          <w:tcPr>
            <w:tcW w:type="dxa" w:w="2268"/>
          </w:tcPr>
          <w:p>
            <w:pPr>
              <w:spacing w:after="0" w:line="240" w:lineRule="auto"/>
              <w:jc w:val="right"/>
            </w:pPr>
            <w:r/>
            <w:r>
              <w:rPr>
                <w:sz w:val="17"/>
              </w:rPr>
              <w:t>14.7</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1.2x</w:t>
            </w:r>
          </w:p>
        </w:tc>
        <w:tc>
          <w:tcPr>
            <w:tcW w:type="dxa" w:w="2041"/>
          </w:tcPr>
          <w:p>
            <w:pPr>
              <w:spacing w:after="0" w:line="240" w:lineRule="auto"/>
              <w:jc w:val="right"/>
            </w:pPr>
            <w:r/>
            <w:r>
              <w:rPr>
                <w:sz w:val="17"/>
              </w:rPr>
              <w:t>8.5x</w:t>
            </w:r>
          </w:p>
        </w:tc>
      </w:tr>
      <w:tr>
        <w:trPr>
          <w:cantSplit/>
        </w:trPr>
        <w:tc>
          <w:tcPr>
            <w:tcW w:type="dxa" w:w="1134"/>
            <w:shd w:val="clear" w:color="auto" w:fill="F2F4F7"/>
          </w:tcPr>
          <w:p>
            <w:pPr>
              <w:spacing w:after="0" w:line="240" w:lineRule="auto"/>
            </w:pPr>
            <w:r/>
            <w:r>
              <w:rPr>
                <w:sz w:val="17"/>
              </w:rPr>
              <w:t>57</w:t>
            </w:r>
          </w:p>
        </w:tc>
        <w:tc>
          <w:tcPr>
            <w:tcW w:type="dxa" w:w="2268"/>
            <w:shd w:val="clear" w:color="auto" w:fill="F2F4F7"/>
          </w:tcPr>
          <w:p>
            <w:pPr>
              <w:spacing w:after="0" w:line="240" w:lineRule="auto"/>
              <w:jc w:val="right"/>
            </w:pPr>
            <w:r/>
            <w:r>
              <w:rPr>
                <w:sz w:val="17"/>
              </w:rPr>
              <w:t>8.7</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0.7x</w:t>
            </w:r>
          </w:p>
        </w:tc>
        <w:tc>
          <w:tcPr>
            <w:tcW w:type="dxa" w:w="2041"/>
            <w:shd w:val="clear" w:color="auto" w:fill="F2F4F7"/>
          </w:tcPr>
          <w:p>
            <w:pPr>
              <w:spacing w:after="0" w:line="240" w:lineRule="auto"/>
              <w:jc w:val="right"/>
            </w:pPr>
            <w:r/>
            <w:r>
              <w:rPr>
                <w:sz w:val="17"/>
              </w:rPr>
              <w:t>8.2x</w:t>
            </w:r>
          </w:p>
        </w:tc>
      </w:tr>
      <w:tr>
        <w:trPr>
          <w:cantSplit/>
        </w:trPr>
        <w:tc>
          <w:tcPr>
            <w:tcW w:type="dxa" w:w="1134"/>
          </w:tcPr>
          <w:p>
            <w:pPr>
              <w:spacing w:after="0" w:line="240" w:lineRule="auto"/>
            </w:pPr>
            <w:r/>
            <w:r>
              <w:rPr>
                <w:sz w:val="17"/>
              </w:rPr>
              <w:t>60</w:t>
            </w:r>
          </w:p>
        </w:tc>
        <w:tc>
          <w:tcPr>
            <w:tcW w:type="dxa" w:w="2268"/>
          </w:tcPr>
          <w:p>
            <w:pPr>
              <w:spacing w:after="0" w:line="240" w:lineRule="auto"/>
              <w:jc w:val="right"/>
            </w:pPr>
            <w:r/>
            <w:r>
              <w:rPr>
                <w:sz w:val="17"/>
              </w:rPr>
              <w:t>4.4</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0.4x</w:t>
            </w:r>
          </w:p>
        </w:tc>
        <w:tc>
          <w:tcPr>
            <w:tcW w:type="dxa" w:w="2041"/>
          </w:tcPr>
          <w:p>
            <w:pPr>
              <w:spacing w:after="0" w:line="240" w:lineRule="auto"/>
              <w:jc w:val="right"/>
            </w:pPr>
            <w:r/>
            <w:r>
              <w:rPr>
                <w:sz w:val="17"/>
              </w:rPr>
              <w:t>7.6x</w:t>
            </w:r>
          </w:p>
        </w:tc>
      </w:tr>
      <w:tr>
        <w:trPr>
          <w:cantSplit/>
        </w:trPr>
        <w:tc>
          <w:tcPr>
            <w:tcW w:type="dxa" w:w="1134"/>
            <w:shd w:val="clear" w:color="auto" w:fill="F2F4F7"/>
          </w:tcPr>
          <w:p>
            <w:pPr>
              <w:spacing w:after="0" w:line="240" w:lineRule="auto"/>
            </w:pPr>
            <w:r/>
            <w:r>
              <w:rPr>
                <w:sz w:val="17"/>
              </w:rPr>
              <w:t>63</w:t>
            </w:r>
          </w:p>
        </w:tc>
        <w:tc>
          <w:tcPr>
            <w:tcW w:type="dxa" w:w="2268"/>
            <w:shd w:val="clear" w:color="auto" w:fill="F2F4F7"/>
          </w:tcPr>
          <w:p>
            <w:pPr>
              <w:spacing w:after="0" w:line="240" w:lineRule="auto"/>
              <w:jc w:val="right"/>
            </w:pPr>
            <w:r/>
            <w:r>
              <w:rPr>
                <w:sz w:val="17"/>
              </w:rPr>
              <w:t>26.9</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2.2x</w:t>
            </w:r>
          </w:p>
        </w:tc>
        <w:tc>
          <w:tcPr>
            <w:tcW w:type="dxa" w:w="2041"/>
            <w:shd w:val="clear" w:color="auto" w:fill="F2F4F7"/>
          </w:tcPr>
          <w:p>
            <w:pPr>
              <w:spacing w:after="0" w:line="240" w:lineRule="auto"/>
              <w:jc w:val="right"/>
            </w:pPr>
            <w:r/>
            <w:r>
              <w:rPr>
                <w:sz w:val="17"/>
              </w:rPr>
              <w:t>8.8x</w:t>
            </w:r>
          </w:p>
        </w:tc>
      </w:tr>
    </w:tbl>
    <w:p>
      <w:pPr>
        <w:spacing w:after="80"/>
      </w:pPr>
    </w:p>
    <w:p>
      <w:pPr>
        <w:keepNext/>
        <w:spacing w:after="60"/>
      </w:pPr>
      <w:r>
        <w:rPr>
          <w:b/>
          <w:color w:val="17324D"/>
          <w:sz w:val="19"/>
        </w:rPr>
        <w:t>Table 31: L'avenir: payout coverage by instalment,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7"/>
              </w:rPr>
              <w:t>Month</w:t>
            </w:r>
          </w:p>
        </w:tc>
        <w:tc>
          <w:tcPr>
            <w:tcW w:type="dxa" w:w="2268"/>
            <w:shd w:val="clear" w:color="auto" w:fill="17324D"/>
          </w:tcPr>
          <w:p>
            <w:pPr>
              <w:spacing w:after="0" w:line="240" w:lineRule="auto"/>
              <w:jc w:val="right"/>
            </w:pPr>
            <w:r/>
            <w:r>
              <w:rPr>
                <w:b/>
                <w:color w:val="FFFFFF"/>
                <w:sz w:val="17"/>
              </w:rPr>
              <w:t>Net cash flow before payout (EGP m)</w:t>
            </w:r>
          </w:p>
        </w:tc>
        <w:tc>
          <w:tcPr>
            <w:tcW w:type="dxa" w:w="1701"/>
            <w:shd w:val="clear" w:color="auto" w:fill="17324D"/>
          </w:tcPr>
          <w:p>
            <w:pPr>
              <w:spacing w:after="0" w:line="240" w:lineRule="auto"/>
              <w:jc w:val="right"/>
            </w:pPr>
            <w:r/>
            <w:r>
              <w:rPr>
                <w:b/>
                <w:color w:val="FFFFFF"/>
                <w:sz w:val="17"/>
              </w:rPr>
              <w:t>Instalment (EGP m)</w:t>
            </w:r>
          </w:p>
        </w:tc>
        <w:tc>
          <w:tcPr>
            <w:tcW w:type="dxa" w:w="2098"/>
            <w:shd w:val="clear" w:color="auto" w:fill="17324D"/>
          </w:tcPr>
          <w:p>
            <w:pPr>
              <w:spacing w:after="0" w:line="240" w:lineRule="auto"/>
              <w:jc w:val="right"/>
            </w:pPr>
            <w:r/>
            <w:r>
              <w:rPr>
                <w:b/>
                <w:color w:val="FFFFFF"/>
                <w:sz w:val="17"/>
              </w:rPr>
              <w:t>Coverage: net cash flow / instalment</w:t>
            </w:r>
          </w:p>
        </w:tc>
        <w:tc>
          <w:tcPr>
            <w:tcW w:type="dxa" w:w="2041"/>
            <w:shd w:val="clear" w:color="auto" w:fill="17324D"/>
          </w:tcPr>
          <w:p>
            <w:pPr>
              <w:spacing w:after="0" w:line="240" w:lineRule="auto"/>
              <w:jc w:val="right"/>
            </w:pPr>
            <w:r/>
            <w:r>
              <w:rPr>
                <w:b/>
                <w:color w:val="FFFFFF"/>
                <w:sz w:val="17"/>
              </w:rPr>
              <w:t>Coverage: cash available / instalment</w:t>
            </w:r>
          </w:p>
        </w:tc>
      </w:tr>
      <w:tr>
        <w:trPr>
          <w:cantSplit/>
        </w:trPr>
        <w:tc>
          <w:tcPr>
            <w:tcW w:type="dxa" w:w="1134"/>
          </w:tcPr>
          <w:p>
            <w:pPr>
              <w:spacing w:after="0" w:line="240" w:lineRule="auto"/>
            </w:pPr>
            <w:r/>
            <w:r>
              <w:rPr>
                <w:sz w:val="17"/>
              </w:rPr>
              <w:t>39</w:t>
            </w:r>
          </w:p>
        </w:tc>
        <w:tc>
          <w:tcPr>
            <w:tcW w:type="dxa" w:w="2268"/>
          </w:tcPr>
          <w:p>
            <w:pPr>
              <w:spacing w:after="0" w:line="240" w:lineRule="auto"/>
              <w:jc w:val="right"/>
            </w:pPr>
            <w:r/>
            <w:r>
              <w:rPr>
                <w:sz w:val="17"/>
              </w:rPr>
              <w:t>45.0</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3.8x</w:t>
            </w:r>
          </w:p>
        </w:tc>
        <w:tc>
          <w:tcPr>
            <w:tcW w:type="dxa" w:w="2041"/>
          </w:tcPr>
          <w:p>
            <w:pPr>
              <w:spacing w:after="0" w:line="240" w:lineRule="auto"/>
              <w:jc w:val="right"/>
            </w:pPr>
            <w:r/>
            <w:r>
              <w:rPr>
                <w:sz w:val="17"/>
              </w:rPr>
              <w:t>2.5x</w:t>
            </w:r>
          </w:p>
        </w:tc>
      </w:tr>
      <w:tr>
        <w:trPr>
          <w:cantSplit/>
        </w:trPr>
        <w:tc>
          <w:tcPr>
            <w:tcW w:type="dxa" w:w="1134"/>
            <w:shd w:val="clear" w:color="auto" w:fill="F2F4F7"/>
          </w:tcPr>
          <w:p>
            <w:pPr>
              <w:spacing w:after="0" w:line="240" w:lineRule="auto"/>
            </w:pPr>
            <w:r/>
            <w:r>
              <w:rPr>
                <w:sz w:val="17"/>
              </w:rPr>
              <w:t>42</w:t>
            </w:r>
          </w:p>
        </w:tc>
        <w:tc>
          <w:tcPr>
            <w:tcW w:type="dxa" w:w="2268"/>
            <w:shd w:val="clear" w:color="auto" w:fill="F2F4F7"/>
          </w:tcPr>
          <w:p>
            <w:pPr>
              <w:spacing w:after="0" w:line="240" w:lineRule="auto"/>
              <w:jc w:val="right"/>
            </w:pPr>
            <w:r/>
            <w:r>
              <w:rPr>
                <w:sz w:val="17"/>
              </w:rPr>
              <w:t>55.2</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4.6x</w:t>
            </w:r>
          </w:p>
        </w:tc>
        <w:tc>
          <w:tcPr>
            <w:tcW w:type="dxa" w:w="2041"/>
            <w:shd w:val="clear" w:color="auto" w:fill="F2F4F7"/>
          </w:tcPr>
          <w:p>
            <w:pPr>
              <w:spacing w:after="0" w:line="240" w:lineRule="auto"/>
              <w:jc w:val="right"/>
            </w:pPr>
            <w:r/>
            <w:r>
              <w:rPr>
                <w:sz w:val="17"/>
              </w:rPr>
              <w:t>6.1x</w:t>
            </w:r>
          </w:p>
        </w:tc>
      </w:tr>
      <w:tr>
        <w:trPr>
          <w:cantSplit/>
        </w:trPr>
        <w:tc>
          <w:tcPr>
            <w:tcW w:type="dxa" w:w="1134"/>
          </w:tcPr>
          <w:p>
            <w:pPr>
              <w:spacing w:after="0" w:line="240" w:lineRule="auto"/>
            </w:pPr>
            <w:r/>
            <w:r>
              <w:rPr>
                <w:sz w:val="17"/>
              </w:rPr>
              <w:t>45</w:t>
            </w:r>
          </w:p>
        </w:tc>
        <w:tc>
          <w:tcPr>
            <w:tcW w:type="dxa" w:w="2268"/>
          </w:tcPr>
          <w:p>
            <w:pPr>
              <w:spacing w:after="0" w:line="240" w:lineRule="auto"/>
              <w:jc w:val="right"/>
            </w:pPr>
            <w:r/>
            <w:r>
              <w:rPr>
                <w:sz w:val="17"/>
              </w:rPr>
              <w:t>481.3</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40.2x</w:t>
            </w:r>
          </w:p>
        </w:tc>
        <w:tc>
          <w:tcPr>
            <w:tcW w:type="dxa" w:w="2041"/>
          </w:tcPr>
          <w:p>
            <w:pPr>
              <w:spacing w:after="0" w:line="240" w:lineRule="auto"/>
              <w:jc w:val="right"/>
            </w:pPr>
            <w:r/>
            <w:r>
              <w:rPr>
                <w:sz w:val="17"/>
              </w:rPr>
              <w:t>45.3x</w:t>
            </w:r>
          </w:p>
        </w:tc>
      </w:tr>
      <w:tr>
        <w:trPr>
          <w:cantSplit/>
        </w:trPr>
        <w:tc>
          <w:tcPr>
            <w:tcW w:type="dxa" w:w="1134"/>
            <w:shd w:val="clear" w:color="auto" w:fill="F2F4F7"/>
          </w:tcPr>
          <w:p>
            <w:pPr>
              <w:spacing w:after="0" w:line="240" w:lineRule="auto"/>
            </w:pPr>
            <w:r/>
            <w:r>
              <w:rPr>
                <w:sz w:val="17"/>
              </w:rPr>
              <w:t>48</w:t>
            </w:r>
          </w:p>
        </w:tc>
        <w:tc>
          <w:tcPr>
            <w:tcW w:type="dxa" w:w="2268"/>
            <w:shd w:val="clear" w:color="auto" w:fill="F2F4F7"/>
          </w:tcPr>
          <w:p>
            <w:pPr>
              <w:spacing w:after="0" w:line="240" w:lineRule="auto"/>
              <w:jc w:val="right"/>
            </w:pPr>
            <w:r/>
            <w:r>
              <w:rPr>
                <w:sz w:val="17"/>
              </w:rPr>
              <w:t>-30.2</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-2.5x</w:t>
            </w:r>
          </w:p>
        </w:tc>
        <w:tc>
          <w:tcPr>
            <w:tcW w:type="dxa" w:w="2041"/>
            <w:shd w:val="clear" w:color="auto" w:fill="F2F4F7"/>
          </w:tcPr>
          <w:p>
            <w:pPr>
              <w:spacing w:after="0" w:line="240" w:lineRule="auto"/>
              <w:jc w:val="right"/>
            </w:pPr>
            <w:r/>
            <w:r>
              <w:rPr>
                <w:sz w:val="17"/>
              </w:rPr>
              <w:t>41.7x</w:t>
            </w:r>
          </w:p>
        </w:tc>
      </w:tr>
      <w:tr>
        <w:trPr>
          <w:cantSplit/>
        </w:trPr>
        <w:tc>
          <w:tcPr>
            <w:tcW w:type="dxa" w:w="1134"/>
          </w:tcPr>
          <w:p>
            <w:pPr>
              <w:spacing w:after="0" w:line="240" w:lineRule="auto"/>
            </w:pPr>
            <w:r/>
            <w:r>
              <w:rPr>
                <w:sz w:val="17"/>
              </w:rPr>
              <w:t>51</w:t>
            </w:r>
          </w:p>
        </w:tc>
        <w:tc>
          <w:tcPr>
            <w:tcW w:type="dxa" w:w="2268"/>
          </w:tcPr>
          <w:p>
            <w:pPr>
              <w:spacing w:after="0" w:line="240" w:lineRule="auto"/>
              <w:jc w:val="right"/>
            </w:pPr>
            <w:r/>
            <w:r>
              <w:rPr>
                <w:sz w:val="17"/>
              </w:rPr>
              <w:t>-129.2</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-10.8x</w:t>
            </w:r>
          </w:p>
        </w:tc>
        <w:tc>
          <w:tcPr>
            <w:tcW w:type="dxa" w:w="2041"/>
          </w:tcPr>
          <w:p>
            <w:pPr>
              <w:spacing w:after="0" w:line="240" w:lineRule="auto"/>
              <w:jc w:val="right"/>
            </w:pPr>
            <w:r/>
            <w:r>
              <w:rPr>
                <w:sz w:val="17"/>
              </w:rPr>
              <w:t>29.9x</w:t>
            </w:r>
          </w:p>
        </w:tc>
      </w:tr>
      <w:tr>
        <w:trPr>
          <w:cantSplit/>
        </w:trPr>
        <w:tc>
          <w:tcPr>
            <w:tcW w:type="dxa" w:w="1134"/>
            <w:shd w:val="clear" w:color="auto" w:fill="F2F4F7"/>
          </w:tcPr>
          <w:p>
            <w:pPr>
              <w:spacing w:after="0" w:line="240" w:lineRule="auto"/>
            </w:pPr>
            <w:r/>
            <w:r>
              <w:rPr>
                <w:sz w:val="17"/>
              </w:rPr>
              <w:t>54</w:t>
            </w:r>
          </w:p>
        </w:tc>
        <w:tc>
          <w:tcPr>
            <w:tcW w:type="dxa" w:w="2268"/>
            <w:shd w:val="clear" w:color="auto" w:fill="F2F4F7"/>
          </w:tcPr>
          <w:p>
            <w:pPr>
              <w:spacing w:after="0" w:line="240" w:lineRule="auto"/>
              <w:jc w:val="right"/>
            </w:pPr>
            <w:r/>
            <w:r>
              <w:rPr>
                <w:sz w:val="17"/>
              </w:rPr>
              <w:t>-98.4</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-8.2x</w:t>
            </w:r>
          </w:p>
        </w:tc>
        <w:tc>
          <w:tcPr>
            <w:tcW w:type="dxa" w:w="2041"/>
            <w:shd w:val="clear" w:color="auto" w:fill="F2F4F7"/>
          </w:tcPr>
          <w:p>
            <w:pPr>
              <w:spacing w:after="0" w:line="240" w:lineRule="auto"/>
              <w:jc w:val="right"/>
            </w:pPr>
            <w:r/>
            <w:r>
              <w:rPr>
                <w:sz w:val="17"/>
              </w:rPr>
              <w:t>20.7x</w:t>
            </w:r>
          </w:p>
        </w:tc>
      </w:tr>
      <w:tr>
        <w:trPr>
          <w:cantSplit/>
        </w:trPr>
        <w:tc>
          <w:tcPr>
            <w:tcW w:type="dxa" w:w="1134"/>
          </w:tcPr>
          <w:p>
            <w:pPr>
              <w:spacing w:after="0" w:line="240" w:lineRule="auto"/>
            </w:pPr>
            <w:r/>
            <w:r>
              <w:rPr>
                <w:sz w:val="17"/>
              </w:rPr>
              <w:t>57</w:t>
            </w:r>
          </w:p>
        </w:tc>
        <w:tc>
          <w:tcPr>
            <w:tcW w:type="dxa" w:w="2268"/>
          </w:tcPr>
          <w:p>
            <w:pPr>
              <w:spacing w:after="0" w:line="240" w:lineRule="auto"/>
              <w:jc w:val="right"/>
            </w:pPr>
            <w:r/>
            <w:r>
              <w:rPr>
                <w:sz w:val="17"/>
              </w:rPr>
              <w:t>36.8</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3.1x</w:t>
            </w:r>
          </w:p>
        </w:tc>
        <w:tc>
          <w:tcPr>
            <w:tcW w:type="dxa" w:w="2041"/>
          </w:tcPr>
          <w:p>
            <w:pPr>
              <w:spacing w:after="0" w:line="240" w:lineRule="auto"/>
              <w:jc w:val="right"/>
            </w:pPr>
            <w:r/>
            <w:r>
              <w:rPr>
                <w:sz w:val="17"/>
              </w:rPr>
              <w:t>22.8x</w:t>
            </w:r>
          </w:p>
        </w:tc>
      </w:tr>
      <w:tr>
        <w:trPr>
          <w:cantSplit/>
        </w:trPr>
        <w:tc>
          <w:tcPr>
            <w:tcW w:type="dxa" w:w="1134"/>
            <w:shd w:val="clear" w:color="auto" w:fill="F2F4F7"/>
          </w:tcPr>
          <w:p>
            <w:pPr>
              <w:spacing w:after="0" w:line="240" w:lineRule="auto"/>
            </w:pPr>
            <w:r/>
            <w:r>
              <w:rPr>
                <w:sz w:val="17"/>
              </w:rPr>
              <w:t>60</w:t>
            </w:r>
          </w:p>
        </w:tc>
        <w:tc>
          <w:tcPr>
            <w:tcW w:type="dxa" w:w="2268"/>
            <w:shd w:val="clear" w:color="auto" w:fill="F2F4F7"/>
          </w:tcPr>
          <w:p>
            <w:pPr>
              <w:spacing w:after="0" w:line="240" w:lineRule="auto"/>
              <w:jc w:val="right"/>
            </w:pPr>
            <w:r/>
            <w:r>
              <w:rPr>
                <w:sz w:val="17"/>
              </w:rPr>
              <w:t>35.0</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2.9x</w:t>
            </w:r>
          </w:p>
        </w:tc>
        <w:tc>
          <w:tcPr>
            <w:tcW w:type="dxa" w:w="2041"/>
            <w:shd w:val="clear" w:color="auto" w:fill="F2F4F7"/>
          </w:tcPr>
          <w:p>
            <w:pPr>
              <w:spacing w:after="0" w:line="240" w:lineRule="auto"/>
              <w:jc w:val="right"/>
            </w:pPr>
            <w:r/>
            <w:r>
              <w:rPr>
                <w:sz w:val="17"/>
              </w:rPr>
              <w:t>24.7x</w:t>
            </w:r>
          </w:p>
        </w:tc>
      </w:tr>
      <w:tr>
        <w:trPr>
          <w:cantSplit/>
        </w:trPr>
        <w:tc>
          <w:tcPr>
            <w:tcW w:type="dxa" w:w="1134"/>
          </w:tcPr>
          <w:p>
            <w:pPr>
              <w:spacing w:after="0" w:line="240" w:lineRule="auto"/>
            </w:pPr>
            <w:r/>
            <w:r>
              <w:rPr>
                <w:sz w:val="17"/>
              </w:rPr>
              <w:t>63</w:t>
            </w:r>
          </w:p>
        </w:tc>
        <w:tc>
          <w:tcPr>
            <w:tcW w:type="dxa" w:w="2268"/>
          </w:tcPr>
          <w:p>
            <w:pPr>
              <w:spacing w:after="0" w:line="240" w:lineRule="auto"/>
              <w:jc w:val="right"/>
            </w:pPr>
            <w:r/>
            <w:r>
              <w:rPr>
                <w:sz w:val="17"/>
              </w:rPr>
              <w:t>54.8</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4.6x</w:t>
            </w:r>
          </w:p>
        </w:tc>
        <w:tc>
          <w:tcPr>
            <w:tcW w:type="dxa" w:w="2041"/>
          </w:tcPr>
          <w:p>
            <w:pPr>
              <w:spacing w:after="0" w:line="240" w:lineRule="auto"/>
              <w:jc w:val="right"/>
            </w:pPr>
            <w:r/>
            <w:r>
              <w:rPr>
                <w:sz w:val="17"/>
              </w:rPr>
              <w:t>28.3x</w:t>
            </w:r>
          </w:p>
        </w:tc>
      </w:tr>
      <w:tr>
        <w:trPr>
          <w:cantSplit/>
        </w:trPr>
        <w:tc>
          <w:tcPr>
            <w:tcW w:type="dxa" w:w="1134"/>
            <w:shd w:val="clear" w:color="auto" w:fill="F2F4F7"/>
          </w:tcPr>
          <w:p>
            <w:pPr>
              <w:spacing w:after="0" w:line="240" w:lineRule="auto"/>
            </w:pPr>
            <w:r/>
            <w:r>
              <w:rPr>
                <w:sz w:val="17"/>
              </w:rPr>
              <w:t>66</w:t>
            </w:r>
          </w:p>
        </w:tc>
        <w:tc>
          <w:tcPr>
            <w:tcW w:type="dxa" w:w="2268"/>
            <w:shd w:val="clear" w:color="auto" w:fill="F2F4F7"/>
          </w:tcPr>
          <w:p>
            <w:pPr>
              <w:spacing w:after="0" w:line="240" w:lineRule="auto"/>
              <w:jc w:val="right"/>
            </w:pPr>
            <w:r/>
            <w:r>
              <w:rPr>
                <w:sz w:val="17"/>
              </w:rPr>
              <w:t>47.7</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4.0x</w:t>
            </w:r>
          </w:p>
        </w:tc>
        <w:tc>
          <w:tcPr>
            <w:tcW w:type="dxa" w:w="2041"/>
            <w:shd w:val="clear" w:color="auto" w:fill="F2F4F7"/>
          </w:tcPr>
          <w:p>
            <w:pPr>
              <w:spacing w:after="0" w:line="240" w:lineRule="auto"/>
              <w:jc w:val="right"/>
            </w:pPr>
            <w:r/>
            <w:r>
              <w:rPr>
                <w:sz w:val="17"/>
              </w:rPr>
              <w:t>31.3x</w:t>
            </w:r>
          </w:p>
        </w:tc>
      </w:tr>
      <w:tr>
        <w:trPr>
          <w:cantSplit/>
        </w:trPr>
        <w:tc>
          <w:tcPr>
            <w:tcW w:type="dxa" w:w="1134"/>
          </w:tcPr>
          <w:p>
            <w:pPr>
              <w:spacing w:after="0" w:line="240" w:lineRule="auto"/>
            </w:pPr>
            <w:r/>
            <w:r>
              <w:rPr>
                <w:sz w:val="17"/>
              </w:rPr>
              <w:t>69</w:t>
            </w:r>
          </w:p>
        </w:tc>
        <w:tc>
          <w:tcPr>
            <w:tcW w:type="dxa" w:w="2268"/>
          </w:tcPr>
          <w:p>
            <w:pPr>
              <w:spacing w:after="0" w:line="240" w:lineRule="auto"/>
              <w:jc w:val="right"/>
            </w:pPr>
            <w:r/>
            <w:r>
              <w:rPr>
                <w:sz w:val="17"/>
              </w:rPr>
              <w:t>38.8</w:t>
            </w:r>
          </w:p>
        </w:tc>
        <w:tc>
          <w:tcPr>
            <w:tcW w:type="dxa" w:w="1701"/>
          </w:tcPr>
          <w:p>
            <w:pPr>
              <w:spacing w:after="0" w:line="240" w:lineRule="auto"/>
              <w:jc w:val="right"/>
            </w:pPr>
            <w:r/>
            <w:r>
              <w:rPr>
                <w:sz w:val="17"/>
              </w:rPr>
              <w:t>11.98</w:t>
            </w:r>
          </w:p>
        </w:tc>
        <w:tc>
          <w:tcPr>
            <w:tcW w:type="dxa" w:w="2098"/>
          </w:tcPr>
          <w:p>
            <w:pPr>
              <w:spacing w:after="0" w:line="240" w:lineRule="auto"/>
              <w:jc w:val="right"/>
            </w:pPr>
            <w:r/>
            <w:r>
              <w:rPr>
                <w:sz w:val="17"/>
              </w:rPr>
              <w:t>3.2x</w:t>
            </w:r>
          </w:p>
        </w:tc>
        <w:tc>
          <w:tcPr>
            <w:tcW w:type="dxa" w:w="2041"/>
          </w:tcPr>
          <w:p>
            <w:pPr>
              <w:spacing w:after="0" w:line="240" w:lineRule="auto"/>
              <w:jc w:val="right"/>
            </w:pPr>
            <w:r/>
            <w:r>
              <w:rPr>
                <w:sz w:val="17"/>
              </w:rPr>
              <w:t>33.5x</w:t>
            </w:r>
          </w:p>
        </w:tc>
      </w:tr>
      <w:tr>
        <w:trPr>
          <w:cantSplit/>
        </w:trPr>
        <w:tc>
          <w:tcPr>
            <w:tcW w:type="dxa" w:w="1134"/>
            <w:shd w:val="clear" w:color="auto" w:fill="F2F4F7"/>
          </w:tcPr>
          <w:p>
            <w:pPr>
              <w:spacing w:after="0" w:line="240" w:lineRule="auto"/>
            </w:pPr>
            <w:r/>
            <w:r>
              <w:rPr>
                <w:sz w:val="17"/>
              </w:rPr>
              <w:t>72</w:t>
            </w:r>
          </w:p>
        </w:tc>
        <w:tc>
          <w:tcPr>
            <w:tcW w:type="dxa" w:w="2268"/>
            <w:shd w:val="clear" w:color="auto" w:fill="F2F4F7"/>
          </w:tcPr>
          <w:p>
            <w:pPr>
              <w:spacing w:after="0" w:line="240" w:lineRule="auto"/>
              <w:jc w:val="right"/>
            </w:pPr>
            <w:r/>
            <w:r>
              <w:rPr>
                <w:sz w:val="17"/>
              </w:rPr>
              <w:t>28.5</w:t>
            </w:r>
          </w:p>
        </w:tc>
        <w:tc>
          <w:tcPr>
            <w:tcW w:type="dxa" w:w="1701"/>
            <w:shd w:val="clear" w:color="auto" w:fill="F2F4F7"/>
          </w:tcPr>
          <w:p>
            <w:pPr>
              <w:spacing w:after="0" w:line="240" w:lineRule="auto"/>
              <w:jc w:val="right"/>
            </w:pPr>
            <w:r/>
            <w:r>
              <w:rPr>
                <w:sz w:val="17"/>
              </w:rPr>
              <w:t>11.98</w:t>
            </w:r>
          </w:p>
        </w:tc>
        <w:tc>
          <w:tcPr>
            <w:tcW w:type="dxa" w:w="2098"/>
            <w:shd w:val="clear" w:color="auto" w:fill="F2F4F7"/>
          </w:tcPr>
          <w:p>
            <w:pPr>
              <w:spacing w:after="0" w:line="240" w:lineRule="auto"/>
              <w:jc w:val="right"/>
            </w:pPr>
            <w:r/>
            <w:r>
              <w:rPr>
                <w:sz w:val="17"/>
              </w:rPr>
              <w:t>2.4x</w:t>
            </w:r>
          </w:p>
        </w:tc>
        <w:tc>
          <w:tcPr>
            <w:tcW w:type="dxa" w:w="2041"/>
            <w:shd w:val="clear" w:color="auto" w:fill="F2F4F7"/>
          </w:tcPr>
          <w:p>
            <w:pPr>
              <w:spacing w:after="0" w:line="240" w:lineRule="auto"/>
              <w:jc w:val="right"/>
            </w:pPr>
            <w:r/>
            <w:r>
              <w:rPr>
                <w:sz w:val="17"/>
              </w:rPr>
              <w:t>34.9x</w:t>
            </w:r>
          </w:p>
        </w:tc>
      </w:tr>
    </w:tbl>
    <w:p>
      <w:pPr>
        <w:spacing w:after="80"/>
      </w:pPr>
    </w:p>
    <w:p>
      <w:r>
        <w:rPr>
          <w:b w:val="0"/>
          <w:i w:val="0"/>
        </w:rPr>
        <w:t>Coverage on net cash flow alone is below the 1.5x threshold in some quarters of each project, because instalments fall in the construction peak and in the quarters after handover when collections are thin. "Cash available" adds pooled project cash, including the ticket and earlier collections.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32: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855"/>
            <w:shd w:val="clear" w:color="auto" w:fill="17324D"/>
          </w:tcPr>
          <w:p>
            <w:pPr>
              <w:spacing w:after="0" w:line="240" w:lineRule="auto"/>
            </w:pPr>
            <w:r/>
            <w:r>
              <w:rPr>
                <w:b/>
                <w:color w:val="FFFFFF"/>
                <w:sz w:val="18"/>
              </w:rPr>
              <w:t>Structure (combined)</w:t>
            </w:r>
          </w:p>
        </w:tc>
        <w:tc>
          <w:tcPr>
            <w:tcW w:type="dxa" w:w="1701"/>
            <w:shd w:val="clear" w:color="auto" w:fill="17324D"/>
          </w:tcPr>
          <w:p>
            <w:pPr>
              <w:spacing w:after="0" w:line="240" w:lineRule="auto"/>
              <w:jc w:val="right"/>
            </w:pPr>
            <w:r/>
            <w:r>
              <w:rPr>
                <w:b/>
                <w:color w:val="FFFFFF"/>
                <w:sz w:val="18"/>
              </w:rPr>
              <w:t>Investor IRR (base)</w:t>
            </w:r>
          </w:p>
        </w:tc>
        <w:tc>
          <w:tcPr>
            <w:tcW w:type="dxa" w:w="1871"/>
            <w:shd w:val="clear" w:color="auto" w:fill="17324D"/>
          </w:tcPr>
          <w:p>
            <w:pPr>
              <w:spacing w:after="0" w:line="240" w:lineRule="auto"/>
              <w:jc w:val="right"/>
            </w:pPr>
            <w:r/>
            <w:r>
              <w:rPr>
                <w:b/>
                <w:color w:val="FFFFFF"/>
                <w:sz w:val="18"/>
              </w:rPr>
              <w:t>Lowest pooled cash, downside (EGP m)</w:t>
            </w:r>
          </w:p>
        </w:tc>
        <w:tc>
          <w:tcPr>
            <w:tcW w:type="dxa" w:w="1814"/>
            <w:shd w:val="clear" w:color="auto" w:fill="17324D"/>
          </w:tcPr>
          <w:p>
            <w:pPr>
              <w:spacing w:after="0" w:line="240" w:lineRule="auto"/>
              <w:jc w:val="right"/>
            </w:pPr>
            <w:r/>
            <w:r>
              <w:rPr>
                <w:b/>
                <w:color w:val="FFFFFF"/>
                <w:sz w:val="18"/>
              </w:rPr>
              <w:t>Lowest pooled cash, handover stress (EGP m)</w:t>
            </w:r>
          </w:p>
        </w:tc>
      </w:tr>
      <w:tr>
        <w:trPr>
          <w:cantSplit/>
        </w:trPr>
        <w:tc>
          <w:tcPr>
            <w:tcW w:type="dxa" w:w="3855"/>
          </w:tcPr>
          <w:p>
            <w:pPr>
              <w:spacing w:after="0" w:line="240" w:lineRule="auto"/>
            </w:pPr>
            <w:r/>
            <w:r>
              <w:rPr>
                <w:sz w:val="18"/>
              </w:rPr>
              <w:t>S1 Fixed multiple, equal instalments (recommended)</w:t>
            </w:r>
          </w:p>
        </w:tc>
        <w:tc>
          <w:tcPr>
            <w:tcW w:type="dxa" w:w="1701"/>
          </w:tcPr>
          <w:p>
            <w:pPr>
              <w:spacing w:after="0" w:line="240" w:lineRule="auto"/>
              <w:jc w:val="right"/>
            </w:pPr>
            <w:r/>
            <w:r>
              <w:rPr>
                <w:sz w:val="18"/>
              </w:rPr>
              <w:t>26.5%</w:t>
            </w:r>
          </w:p>
        </w:tc>
        <w:tc>
          <w:tcPr>
            <w:tcW w:type="dxa" w:w="1871"/>
          </w:tcPr>
          <w:p>
            <w:pPr>
              <w:spacing w:after="0" w:line="240" w:lineRule="auto"/>
              <w:jc w:val="right"/>
            </w:pPr>
            <w:r/>
            <w:r>
              <w:rPr>
                <w:sz w:val="18"/>
              </w:rPr>
              <w:t>-1,144</w:t>
            </w:r>
          </w:p>
        </w:tc>
        <w:tc>
          <w:tcPr>
            <w:tcW w:type="dxa" w:w="1814"/>
          </w:tcPr>
          <w:p>
            <w:pPr>
              <w:spacing w:after="0" w:line="240" w:lineRule="auto"/>
              <w:jc w:val="right"/>
            </w:pPr>
            <w:r/>
            <w:r>
              <w:rPr>
                <w:sz w:val="18"/>
              </w:rPr>
              <w:t>-301</w:t>
            </w:r>
          </w:p>
        </w:tc>
      </w:tr>
      <w:tr>
        <w:trPr>
          <w:cantSplit/>
        </w:trPr>
        <w:tc>
          <w:tcPr>
            <w:tcW w:type="dxa" w:w="3855"/>
            <w:shd w:val="clear" w:color="auto" w:fill="F2F4F7"/>
          </w:tcPr>
          <w:p>
            <w:pPr>
              <w:spacing w:after="0" w:line="240" w:lineRule="auto"/>
            </w:pPr>
            <w:r/>
            <w:r>
              <w:rPr>
                <w:sz w:val="18"/>
              </w:rPr>
              <w:t>S2 Share of collections, with floor and cap</w:t>
            </w:r>
          </w:p>
        </w:tc>
        <w:tc>
          <w:tcPr>
            <w:tcW w:type="dxa" w:w="1701"/>
            <w:shd w:val="clear" w:color="auto" w:fill="F2F4F7"/>
          </w:tcPr>
          <w:p>
            <w:pPr>
              <w:spacing w:after="0" w:line="240" w:lineRule="auto"/>
              <w:jc w:val="right"/>
            </w:pPr>
            <w:r/>
            <w:r>
              <w:rPr>
                <w:sz w:val="18"/>
              </w:rPr>
              <w:t>28.9%</w:t>
            </w:r>
          </w:p>
        </w:tc>
        <w:tc>
          <w:tcPr>
            <w:tcW w:type="dxa" w:w="1871"/>
            <w:shd w:val="clear" w:color="auto" w:fill="F2F4F7"/>
          </w:tcPr>
          <w:p>
            <w:pPr>
              <w:spacing w:after="0" w:line="240" w:lineRule="auto"/>
              <w:jc w:val="right"/>
            </w:pPr>
            <w:r/>
            <w:r>
              <w:rPr>
                <w:sz w:val="18"/>
              </w:rPr>
              <w:t>-1,142</w:t>
            </w:r>
          </w:p>
        </w:tc>
        <w:tc>
          <w:tcPr>
            <w:tcW w:type="dxa" w:w="1814"/>
            <w:shd w:val="clear" w:color="auto" w:fill="F2F4F7"/>
          </w:tcPr>
          <w:p>
            <w:pPr>
              <w:spacing w:after="0" w:line="240" w:lineRule="auto"/>
              <w:jc w:val="right"/>
            </w:pPr>
            <w:r/>
            <w:r>
              <w:rPr>
                <w:sz w:val="18"/>
              </w:rPr>
              <w:t>-328</w:t>
            </w:r>
          </w:p>
        </w:tc>
      </w:tr>
      <w:tr>
        <w:trPr>
          <w:cantSplit/>
        </w:trPr>
        <w:tc>
          <w:tcPr>
            <w:tcW w:type="dxa" w:w="3855"/>
          </w:tcPr>
          <w:p>
            <w:pPr>
              <w:spacing w:after="0" w:line="240" w:lineRule="auto"/>
            </w:pPr>
            <w:r/>
            <w:r>
              <w:rPr>
                <w:sz w:val="18"/>
              </w:rPr>
              <w:t>S3 Fixed 1.8x plus share of collections, cap 2.8x</w:t>
            </w:r>
          </w:p>
        </w:tc>
        <w:tc>
          <w:tcPr>
            <w:tcW w:type="dxa" w:w="1701"/>
          </w:tcPr>
          <w:p>
            <w:pPr>
              <w:spacing w:after="0" w:line="240" w:lineRule="auto"/>
              <w:jc w:val="right"/>
            </w:pPr>
            <w:r/>
            <w:r>
              <w:rPr>
                <w:sz w:val="18"/>
              </w:rPr>
              <w:t>27.6%</w:t>
            </w:r>
          </w:p>
        </w:tc>
        <w:tc>
          <w:tcPr>
            <w:tcW w:type="dxa" w:w="1871"/>
          </w:tcPr>
          <w:p>
            <w:pPr>
              <w:spacing w:after="0" w:line="240" w:lineRule="auto"/>
              <w:jc w:val="right"/>
            </w:pPr>
            <w:r/>
            <w:r>
              <w:rPr>
                <w:sz w:val="18"/>
              </w:rPr>
              <w:t>-1,139</w:t>
            </w:r>
          </w:p>
        </w:tc>
        <w:tc>
          <w:tcPr>
            <w:tcW w:type="dxa" w:w="1814"/>
          </w:tcPr>
          <w:p>
            <w:pPr>
              <w:spacing w:after="0" w:line="240" w:lineRule="auto"/>
              <w:jc w:val="right"/>
            </w:pPr>
            <w:r/>
            <w:r>
              <w:rPr>
                <w:sz w:val="18"/>
              </w:rPr>
              <w:t>-298</w:t>
            </w:r>
          </w:p>
        </w:tc>
      </w:tr>
    </w:tbl>
    <w:p>
      <w:pPr>
        <w:spacing w:after="80"/>
      </w:pPr>
    </w:p>
    <w:p>
      <w:r>
        <w:rPr>
          <w:b w:val="0"/>
          <w:i w:val="0"/>
        </w:rPr>
        <w:t>S2 and S3 front-load payments into the large delivery-payment quarters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33: Green Square: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7"/>
              </w:rPr>
              <w:t>Case</w:t>
            </w:r>
          </w:p>
        </w:tc>
        <w:tc>
          <w:tcPr>
            <w:tcW w:type="dxa" w:w="1928"/>
            <w:shd w:val="clear" w:color="auto" w:fill="17324D"/>
          </w:tcPr>
          <w:p>
            <w:pPr>
              <w:spacing w:after="0" w:line="240" w:lineRule="auto"/>
              <w:jc w:val="right"/>
            </w:pPr>
            <w:r/>
            <w:r>
              <w:rPr>
                <w:b/>
                <w:color w:val="FFFFFF"/>
                <w:sz w:val="17"/>
              </w:rPr>
              <w:t>Net cash flow (EGP m)</w:t>
            </w:r>
          </w:p>
        </w:tc>
        <w:tc>
          <w:tcPr>
            <w:tcW w:type="dxa" w:w="1984"/>
            <w:shd w:val="clear" w:color="auto" w:fill="17324D"/>
          </w:tcPr>
          <w:p>
            <w:pPr>
              <w:spacing w:after="0" w:line="240" w:lineRule="auto"/>
              <w:jc w:val="right"/>
            </w:pPr>
            <w:r/>
            <w:r>
              <w:rPr>
                <w:b/>
                <w:color w:val="FFFFFF"/>
                <w:sz w:val="17"/>
              </w:rPr>
              <w:t>NPV at 14% (EGP m)</w:t>
            </w:r>
          </w:p>
        </w:tc>
        <w:tc>
          <w:tcPr>
            <w:tcW w:type="dxa" w:w="1928"/>
            <w:shd w:val="clear" w:color="auto" w:fill="17324D"/>
          </w:tcPr>
          <w:p>
            <w:pPr>
              <w:spacing w:after="0" w:line="240" w:lineRule="auto"/>
              <w:jc w:val="right"/>
            </w:pPr>
            <w:r/>
            <w:r>
              <w:rPr>
                <w:b/>
                <w:color w:val="FFFFFF"/>
                <w:sz w:val="17"/>
              </w:rPr>
              <w:t>Peak shortage (EGP m)</w:t>
            </w:r>
          </w:p>
        </w:tc>
      </w:tr>
      <w:tr>
        <w:trPr>
          <w:cantSplit/>
        </w:trPr>
        <w:tc>
          <w:tcPr>
            <w:tcW w:type="dxa" w:w="3402"/>
          </w:tcPr>
          <w:p>
            <w:pPr>
              <w:spacing w:after="0" w:line="240" w:lineRule="auto"/>
            </w:pPr>
            <w:r/>
            <w:r>
              <w:rPr>
                <w:sz w:val="17"/>
              </w:rPr>
              <w:t>Base</w:t>
            </w:r>
          </w:p>
        </w:tc>
        <w:tc>
          <w:tcPr>
            <w:tcW w:type="dxa" w:w="1928"/>
          </w:tcPr>
          <w:p>
            <w:pPr>
              <w:spacing w:after="0" w:line="240" w:lineRule="auto"/>
              <w:jc w:val="right"/>
            </w:pPr>
            <w:r/>
            <w:r>
              <w:rPr>
                <w:sz w:val="17"/>
              </w:rPr>
              <w:t>375</w:t>
            </w:r>
          </w:p>
        </w:tc>
        <w:tc>
          <w:tcPr>
            <w:tcW w:type="dxa" w:w="1984"/>
          </w:tcPr>
          <w:p>
            <w:pPr>
              <w:spacing w:after="0" w:line="240" w:lineRule="auto"/>
              <w:jc w:val="right"/>
            </w:pPr>
            <w:r/>
            <w:r>
              <w:rPr>
                <w:sz w:val="17"/>
              </w:rPr>
              <w:t>215</w:t>
            </w:r>
          </w:p>
        </w:tc>
        <w:tc>
          <w:tcPr>
            <w:tcW w:type="dxa" w:w="1928"/>
          </w:tcPr>
          <w:p>
            <w:pPr>
              <w:spacing w:after="0" w:line="240" w:lineRule="auto"/>
              <w:jc w:val="right"/>
            </w:pPr>
            <w:r/>
            <w:r>
              <w:rPr>
                <w:sz w:val="17"/>
              </w:rPr>
              <w:t>102</w:t>
            </w:r>
          </w:p>
        </w:tc>
      </w:tr>
      <w:tr>
        <w:trPr>
          <w:cantSplit/>
        </w:trPr>
        <w:tc>
          <w:tcPr>
            <w:tcW w:type="dxa" w:w="3402"/>
            <w:shd w:val="clear" w:color="auto" w:fill="F2F4F7"/>
          </w:tcPr>
          <w:p>
            <w:pPr>
              <w:spacing w:after="0" w:line="240" w:lineRule="auto"/>
            </w:pPr>
            <w:r/>
            <w:r>
              <w:rPr>
                <w:sz w:val="17"/>
              </w:rPr>
              <w:t>Prices -19%</w:t>
            </w:r>
          </w:p>
        </w:tc>
        <w:tc>
          <w:tcPr>
            <w:tcW w:type="dxa" w:w="1928"/>
            <w:shd w:val="clear" w:color="auto" w:fill="F2F4F7"/>
          </w:tcPr>
          <w:p>
            <w:pPr>
              <w:spacing w:after="0" w:line="240" w:lineRule="auto"/>
              <w:jc w:val="right"/>
            </w:pPr>
            <w:r/>
            <w:r>
              <w:rPr>
                <w:sz w:val="17"/>
              </w:rPr>
              <w:t>129</w:t>
            </w:r>
          </w:p>
        </w:tc>
        <w:tc>
          <w:tcPr>
            <w:tcW w:type="dxa" w:w="1984"/>
            <w:shd w:val="clear" w:color="auto" w:fill="F2F4F7"/>
          </w:tcPr>
          <w:p>
            <w:pPr>
              <w:spacing w:after="0" w:line="240" w:lineRule="auto"/>
              <w:jc w:val="right"/>
            </w:pPr>
            <w:r/>
            <w:r>
              <w:rPr>
                <w:sz w:val="17"/>
              </w:rPr>
              <w:t>13</w:t>
            </w:r>
          </w:p>
        </w:tc>
        <w:tc>
          <w:tcPr>
            <w:tcW w:type="dxa" w:w="1928"/>
            <w:shd w:val="clear" w:color="auto" w:fill="F2F4F7"/>
          </w:tcPr>
          <w:p>
            <w:pPr>
              <w:spacing w:after="0" w:line="240" w:lineRule="auto"/>
              <w:jc w:val="right"/>
            </w:pPr>
            <w:r/>
            <w:r>
              <w:rPr>
                <w:sz w:val="17"/>
              </w:rPr>
              <w:t>184</w:t>
            </w:r>
          </w:p>
        </w:tc>
      </w:tr>
      <w:tr>
        <w:trPr>
          <w:cantSplit/>
        </w:trPr>
        <w:tc>
          <w:tcPr>
            <w:tcW w:type="dxa" w:w="3402"/>
          </w:tcPr>
          <w:p>
            <w:pPr>
              <w:spacing w:after="0" w:line="240" w:lineRule="auto"/>
            </w:pPr>
            <w:r/>
            <w:r>
              <w:rPr>
                <w:sz w:val="17"/>
              </w:rPr>
              <w:t>Prices -9%</w:t>
            </w:r>
          </w:p>
        </w:tc>
        <w:tc>
          <w:tcPr>
            <w:tcW w:type="dxa" w:w="1928"/>
          </w:tcPr>
          <w:p>
            <w:pPr>
              <w:spacing w:after="0" w:line="240" w:lineRule="auto"/>
              <w:jc w:val="right"/>
            </w:pPr>
            <w:r/>
            <w:r>
              <w:rPr>
                <w:sz w:val="17"/>
              </w:rPr>
              <w:t>258</w:t>
            </w:r>
          </w:p>
        </w:tc>
        <w:tc>
          <w:tcPr>
            <w:tcW w:type="dxa" w:w="1984"/>
          </w:tcPr>
          <w:p>
            <w:pPr>
              <w:spacing w:after="0" w:line="240" w:lineRule="auto"/>
              <w:jc w:val="right"/>
            </w:pPr>
            <w:r/>
            <w:r>
              <w:rPr>
                <w:sz w:val="17"/>
              </w:rPr>
              <w:t>116</w:t>
            </w:r>
          </w:p>
        </w:tc>
        <w:tc>
          <w:tcPr>
            <w:tcW w:type="dxa" w:w="1928"/>
          </w:tcPr>
          <w:p>
            <w:pPr>
              <w:spacing w:after="0" w:line="240" w:lineRule="auto"/>
              <w:jc w:val="right"/>
            </w:pPr>
            <w:r/>
            <w:r>
              <w:rPr>
                <w:sz w:val="17"/>
              </w:rPr>
              <w:t>114</w:t>
            </w:r>
          </w:p>
        </w:tc>
      </w:tr>
      <w:tr>
        <w:trPr>
          <w:cantSplit/>
        </w:trPr>
        <w:tc>
          <w:tcPr>
            <w:tcW w:type="dxa" w:w="3402"/>
            <w:shd w:val="clear" w:color="auto" w:fill="F2F4F7"/>
          </w:tcPr>
          <w:p>
            <w:pPr>
              <w:spacing w:after="0" w:line="240" w:lineRule="auto"/>
            </w:pPr>
            <w:r/>
            <w:r>
              <w:rPr>
                <w:sz w:val="17"/>
              </w:rPr>
              <w:t>Prices +10%</w:t>
            </w:r>
          </w:p>
        </w:tc>
        <w:tc>
          <w:tcPr>
            <w:tcW w:type="dxa" w:w="1928"/>
            <w:shd w:val="clear" w:color="auto" w:fill="F2F4F7"/>
          </w:tcPr>
          <w:p>
            <w:pPr>
              <w:spacing w:after="0" w:line="240" w:lineRule="auto"/>
              <w:jc w:val="right"/>
            </w:pPr>
            <w:r/>
            <w:r>
              <w:rPr>
                <w:sz w:val="17"/>
              </w:rPr>
              <w:t>493</w:t>
            </w:r>
          </w:p>
        </w:tc>
        <w:tc>
          <w:tcPr>
            <w:tcW w:type="dxa" w:w="1984"/>
            <w:shd w:val="clear" w:color="auto" w:fill="F2F4F7"/>
          </w:tcPr>
          <w:p>
            <w:pPr>
              <w:spacing w:after="0" w:line="240" w:lineRule="auto"/>
              <w:jc w:val="right"/>
            </w:pPr>
            <w:r/>
            <w:r>
              <w:rPr>
                <w:sz w:val="17"/>
              </w:rPr>
              <w:t>315</w:t>
            </w:r>
          </w:p>
        </w:tc>
        <w:tc>
          <w:tcPr>
            <w:tcW w:type="dxa" w:w="1928"/>
            <w:shd w:val="clear" w:color="auto" w:fill="F2F4F7"/>
          </w:tcPr>
          <w:p>
            <w:pPr>
              <w:spacing w:after="0" w:line="240" w:lineRule="auto"/>
              <w:jc w:val="right"/>
            </w:pPr>
            <w:r/>
            <w:r>
              <w:rPr>
                <w:sz w:val="17"/>
              </w:rPr>
              <w:t>102</w:t>
            </w:r>
          </w:p>
        </w:tc>
      </w:tr>
      <w:tr>
        <w:trPr>
          <w:cantSplit/>
        </w:trPr>
        <w:tc>
          <w:tcPr>
            <w:tcW w:type="dxa" w:w="3402"/>
          </w:tcPr>
          <w:p>
            <w:pPr>
              <w:spacing w:after="0" w:line="240" w:lineRule="auto"/>
            </w:pPr>
            <w:r/>
            <w:r>
              <w:rPr>
                <w:sz w:val="17"/>
              </w:rPr>
              <w:t>Prices +19%</w:t>
            </w:r>
          </w:p>
        </w:tc>
        <w:tc>
          <w:tcPr>
            <w:tcW w:type="dxa" w:w="1928"/>
          </w:tcPr>
          <w:p>
            <w:pPr>
              <w:spacing w:after="0" w:line="240" w:lineRule="auto"/>
              <w:jc w:val="right"/>
            </w:pPr>
            <w:r/>
            <w:r>
              <w:rPr>
                <w:sz w:val="17"/>
              </w:rPr>
              <w:t>611</w:t>
            </w:r>
          </w:p>
        </w:tc>
        <w:tc>
          <w:tcPr>
            <w:tcW w:type="dxa" w:w="1984"/>
          </w:tcPr>
          <w:p>
            <w:pPr>
              <w:spacing w:after="0" w:line="240" w:lineRule="auto"/>
              <w:jc w:val="right"/>
            </w:pPr>
            <w:r/>
            <w:r>
              <w:rPr>
                <w:sz w:val="17"/>
              </w:rPr>
              <w:t>414</w:t>
            </w:r>
          </w:p>
        </w:tc>
        <w:tc>
          <w:tcPr>
            <w:tcW w:type="dxa" w:w="1928"/>
          </w:tcPr>
          <w:p>
            <w:pPr>
              <w:spacing w:after="0" w:line="240" w:lineRule="auto"/>
              <w:jc w:val="right"/>
            </w:pPr>
            <w:r/>
            <w:r>
              <w:rPr>
                <w:sz w:val="17"/>
              </w:rPr>
              <w:t>102</w:t>
            </w:r>
          </w:p>
        </w:tc>
      </w:tr>
      <w:tr>
        <w:trPr>
          <w:cantSplit/>
        </w:trPr>
        <w:tc>
          <w:tcPr>
            <w:tcW w:type="dxa" w:w="3402"/>
            <w:shd w:val="clear" w:color="auto" w:fill="F2F4F7"/>
          </w:tcPr>
          <w:p>
            <w:pPr>
              <w:spacing w:after="0" w:line="240" w:lineRule="auto"/>
            </w:pPr>
            <w:r/>
            <w:r>
              <w:rPr>
                <w:sz w:val="17"/>
              </w:rPr>
              <w:t>Sales delayed 6 months</w:t>
            </w:r>
          </w:p>
        </w:tc>
        <w:tc>
          <w:tcPr>
            <w:tcW w:type="dxa" w:w="1928"/>
            <w:shd w:val="clear" w:color="auto" w:fill="F2F4F7"/>
          </w:tcPr>
          <w:p>
            <w:pPr>
              <w:spacing w:after="0" w:line="240" w:lineRule="auto"/>
              <w:jc w:val="right"/>
            </w:pPr>
            <w:r/>
            <w:r>
              <w:rPr>
                <w:sz w:val="17"/>
              </w:rPr>
              <w:t>375</w:t>
            </w:r>
          </w:p>
        </w:tc>
        <w:tc>
          <w:tcPr>
            <w:tcW w:type="dxa" w:w="1984"/>
            <w:shd w:val="clear" w:color="auto" w:fill="F2F4F7"/>
          </w:tcPr>
          <w:p>
            <w:pPr>
              <w:spacing w:after="0" w:line="240" w:lineRule="auto"/>
              <w:jc w:val="right"/>
            </w:pPr>
            <w:r/>
            <w:r>
              <w:rPr>
                <w:sz w:val="17"/>
              </w:rPr>
              <w:t>129</w:t>
            </w:r>
          </w:p>
        </w:tc>
        <w:tc>
          <w:tcPr>
            <w:tcW w:type="dxa" w:w="1928"/>
            <w:shd w:val="clear" w:color="auto" w:fill="F2F4F7"/>
          </w:tcPr>
          <w:p>
            <w:pPr>
              <w:spacing w:after="0" w:line="240" w:lineRule="auto"/>
              <w:jc w:val="right"/>
            </w:pPr>
            <w:r/>
            <w:r>
              <w:rPr>
                <w:sz w:val="17"/>
              </w:rPr>
              <w:t>217</w:t>
            </w:r>
          </w:p>
        </w:tc>
      </w:tr>
      <w:tr>
        <w:trPr>
          <w:cantSplit/>
        </w:trPr>
        <w:tc>
          <w:tcPr>
            <w:tcW w:type="dxa" w:w="3402"/>
          </w:tcPr>
          <w:p>
            <w:pPr>
              <w:spacing w:after="0" w:line="240" w:lineRule="auto"/>
            </w:pPr>
            <w:r/>
            <w:r>
              <w:rPr>
                <w:sz w:val="17"/>
              </w:rPr>
              <w:t>Sales delayed 12 months</w:t>
            </w:r>
          </w:p>
        </w:tc>
        <w:tc>
          <w:tcPr>
            <w:tcW w:type="dxa" w:w="1928"/>
          </w:tcPr>
          <w:p>
            <w:pPr>
              <w:spacing w:after="0" w:line="240" w:lineRule="auto"/>
              <w:jc w:val="right"/>
            </w:pPr>
            <w:r/>
            <w:r>
              <w:rPr>
                <w:sz w:val="17"/>
              </w:rPr>
              <w:t>375</w:t>
            </w:r>
          </w:p>
        </w:tc>
        <w:tc>
          <w:tcPr>
            <w:tcW w:type="dxa" w:w="1984"/>
          </w:tcPr>
          <w:p>
            <w:pPr>
              <w:spacing w:after="0" w:line="240" w:lineRule="auto"/>
              <w:jc w:val="right"/>
            </w:pPr>
            <w:r/>
            <w:r>
              <w:rPr>
                <w:sz w:val="17"/>
              </w:rPr>
              <w:t>49</w:t>
            </w:r>
          </w:p>
        </w:tc>
        <w:tc>
          <w:tcPr>
            <w:tcW w:type="dxa" w:w="1928"/>
          </w:tcPr>
          <w:p>
            <w:pPr>
              <w:spacing w:after="0" w:line="240" w:lineRule="auto"/>
              <w:jc w:val="right"/>
            </w:pPr>
            <w:r/>
            <w:r>
              <w:rPr>
                <w:sz w:val="17"/>
              </w:rPr>
              <w:t>408</w:t>
            </w:r>
          </w:p>
        </w:tc>
      </w:tr>
      <w:tr>
        <w:trPr>
          <w:cantSplit/>
        </w:trPr>
        <w:tc>
          <w:tcPr>
            <w:tcW w:type="dxa" w:w="3402"/>
            <w:shd w:val="clear" w:color="auto" w:fill="F2F4F7"/>
          </w:tcPr>
          <w:p>
            <w:pPr>
              <w:spacing w:after="0" w:line="240" w:lineRule="auto"/>
            </w:pPr>
            <w:r/>
            <w:r>
              <w:rPr>
                <w:sz w:val="17"/>
              </w:rPr>
              <w:t>Sales delayed 18 months</w:t>
            </w:r>
          </w:p>
        </w:tc>
        <w:tc>
          <w:tcPr>
            <w:tcW w:type="dxa" w:w="1928"/>
            <w:shd w:val="clear" w:color="auto" w:fill="F2F4F7"/>
          </w:tcPr>
          <w:p>
            <w:pPr>
              <w:spacing w:after="0" w:line="240" w:lineRule="auto"/>
              <w:jc w:val="right"/>
            </w:pPr>
            <w:r/>
            <w:r>
              <w:rPr>
                <w:sz w:val="17"/>
              </w:rPr>
              <w:t>375</w:t>
            </w:r>
          </w:p>
        </w:tc>
        <w:tc>
          <w:tcPr>
            <w:tcW w:type="dxa" w:w="1984"/>
            <w:shd w:val="clear" w:color="auto" w:fill="F2F4F7"/>
          </w:tcPr>
          <w:p>
            <w:pPr>
              <w:spacing w:after="0" w:line="240" w:lineRule="auto"/>
              <w:jc w:val="right"/>
            </w:pPr>
            <w:r/>
            <w:r>
              <w:rPr>
                <w:sz w:val="17"/>
              </w:rPr>
              <w:t>-26</w:t>
            </w:r>
          </w:p>
        </w:tc>
        <w:tc>
          <w:tcPr>
            <w:tcW w:type="dxa" w:w="1928"/>
            <w:shd w:val="clear" w:color="auto" w:fill="F2F4F7"/>
          </w:tcPr>
          <w:p>
            <w:pPr>
              <w:spacing w:after="0" w:line="240" w:lineRule="auto"/>
              <w:jc w:val="right"/>
            </w:pPr>
            <w:r/>
            <w:r>
              <w:rPr>
                <w:sz w:val="17"/>
              </w:rPr>
              <w:t>825</w:t>
            </w:r>
          </w:p>
        </w:tc>
      </w:tr>
      <w:tr>
        <w:trPr>
          <w:cantSplit/>
        </w:trPr>
        <w:tc>
          <w:tcPr>
            <w:tcW w:type="dxa" w:w="3402"/>
          </w:tcPr>
          <w:p>
            <w:pPr>
              <w:spacing w:after="0" w:line="240" w:lineRule="auto"/>
            </w:pPr>
            <w:r/>
            <w:r>
              <w:rPr>
                <w:sz w:val="17"/>
              </w:rPr>
              <w:t>Sales delayed 24 months</w:t>
            </w:r>
          </w:p>
        </w:tc>
        <w:tc>
          <w:tcPr>
            <w:tcW w:type="dxa" w:w="1928"/>
          </w:tcPr>
          <w:p>
            <w:pPr>
              <w:spacing w:after="0" w:line="240" w:lineRule="auto"/>
              <w:jc w:val="right"/>
            </w:pPr>
            <w:r/>
            <w:r>
              <w:rPr>
                <w:sz w:val="17"/>
              </w:rPr>
              <w:t>375</w:t>
            </w:r>
          </w:p>
        </w:tc>
        <w:tc>
          <w:tcPr>
            <w:tcW w:type="dxa" w:w="1984"/>
          </w:tcPr>
          <w:p>
            <w:pPr>
              <w:spacing w:after="0" w:line="240" w:lineRule="auto"/>
              <w:jc w:val="right"/>
            </w:pPr>
            <w:r/>
            <w:r>
              <w:rPr>
                <w:sz w:val="17"/>
              </w:rPr>
              <w:t>-97</w:t>
            </w:r>
          </w:p>
        </w:tc>
        <w:tc>
          <w:tcPr>
            <w:tcW w:type="dxa" w:w="1928"/>
          </w:tcPr>
          <w:p>
            <w:pPr>
              <w:spacing w:after="0" w:line="240" w:lineRule="auto"/>
              <w:jc w:val="right"/>
            </w:pPr>
            <w:r/>
            <w:r>
              <w:rPr>
                <w:sz w:val="17"/>
              </w:rPr>
              <w:t>1,075</w:t>
            </w:r>
          </w:p>
        </w:tc>
      </w:tr>
      <w:tr>
        <w:trPr>
          <w:cantSplit/>
        </w:trPr>
        <w:tc>
          <w:tcPr>
            <w:tcW w:type="dxa" w:w="3402"/>
            <w:shd w:val="clear" w:color="auto" w:fill="F2F4F7"/>
          </w:tcPr>
          <w:p>
            <w:pPr>
              <w:spacing w:after="0" w:line="240" w:lineRule="auto"/>
            </w:pPr>
            <w:r/>
            <w:r>
              <w:rPr>
                <w:sz w:val="17"/>
              </w:rPr>
              <w:t>Construction cost +10%</w:t>
            </w:r>
          </w:p>
        </w:tc>
        <w:tc>
          <w:tcPr>
            <w:tcW w:type="dxa" w:w="1928"/>
            <w:shd w:val="clear" w:color="auto" w:fill="F2F4F7"/>
          </w:tcPr>
          <w:p>
            <w:pPr>
              <w:spacing w:after="0" w:line="240" w:lineRule="auto"/>
              <w:jc w:val="right"/>
            </w:pPr>
            <w:r/>
            <w:r>
              <w:rPr>
                <w:sz w:val="17"/>
              </w:rPr>
              <w:t>295</w:t>
            </w:r>
          </w:p>
        </w:tc>
        <w:tc>
          <w:tcPr>
            <w:tcW w:type="dxa" w:w="1984"/>
            <w:shd w:val="clear" w:color="auto" w:fill="F2F4F7"/>
          </w:tcPr>
          <w:p>
            <w:pPr>
              <w:spacing w:after="0" w:line="240" w:lineRule="auto"/>
              <w:jc w:val="right"/>
            </w:pPr>
            <w:r/>
            <w:r>
              <w:rPr>
                <w:sz w:val="17"/>
              </w:rPr>
              <w:t>162</w:t>
            </w:r>
          </w:p>
        </w:tc>
        <w:tc>
          <w:tcPr>
            <w:tcW w:type="dxa" w:w="1928"/>
            <w:shd w:val="clear" w:color="auto" w:fill="F2F4F7"/>
          </w:tcPr>
          <w:p>
            <w:pPr>
              <w:spacing w:after="0" w:line="240" w:lineRule="auto"/>
              <w:jc w:val="right"/>
            </w:pPr>
            <w:r/>
            <w:r>
              <w:rPr>
                <w:sz w:val="17"/>
              </w:rPr>
              <w:t>102</w:t>
            </w:r>
          </w:p>
        </w:tc>
      </w:tr>
      <w:tr>
        <w:trPr>
          <w:cantSplit/>
        </w:trPr>
        <w:tc>
          <w:tcPr>
            <w:tcW w:type="dxa" w:w="3402"/>
          </w:tcPr>
          <w:p>
            <w:pPr>
              <w:spacing w:after="0" w:line="240" w:lineRule="auto"/>
            </w:pPr>
            <w:r/>
            <w:r>
              <w:rPr>
                <w:sz w:val="17"/>
              </w:rPr>
              <w:t>Construction cost +19%</w:t>
            </w:r>
          </w:p>
        </w:tc>
        <w:tc>
          <w:tcPr>
            <w:tcW w:type="dxa" w:w="1928"/>
          </w:tcPr>
          <w:p>
            <w:pPr>
              <w:spacing w:after="0" w:line="240" w:lineRule="auto"/>
              <w:jc w:val="right"/>
            </w:pPr>
            <w:r/>
            <w:r>
              <w:rPr>
                <w:sz w:val="17"/>
              </w:rPr>
              <w:t>215</w:t>
            </w:r>
          </w:p>
        </w:tc>
        <w:tc>
          <w:tcPr>
            <w:tcW w:type="dxa" w:w="1984"/>
          </w:tcPr>
          <w:p>
            <w:pPr>
              <w:spacing w:after="0" w:line="240" w:lineRule="auto"/>
              <w:jc w:val="right"/>
            </w:pPr>
            <w:r/>
            <w:r>
              <w:rPr>
                <w:sz w:val="17"/>
              </w:rPr>
              <w:t>109</w:t>
            </w:r>
          </w:p>
        </w:tc>
        <w:tc>
          <w:tcPr>
            <w:tcW w:type="dxa" w:w="1928"/>
          </w:tcPr>
          <w:p>
            <w:pPr>
              <w:spacing w:after="0" w:line="240" w:lineRule="auto"/>
              <w:jc w:val="right"/>
            </w:pPr>
            <w:r/>
            <w:r>
              <w:rPr>
                <w:sz w:val="17"/>
              </w:rPr>
              <w:t>114</w:t>
            </w:r>
          </w:p>
        </w:tc>
      </w:tr>
      <w:tr>
        <w:trPr>
          <w:cantSplit/>
        </w:trPr>
        <w:tc>
          <w:tcPr>
            <w:tcW w:type="dxa" w:w="3402"/>
            <w:shd w:val="clear" w:color="auto" w:fill="F2F4F7"/>
          </w:tcPr>
          <w:p>
            <w:pPr>
              <w:spacing w:after="0" w:line="240" w:lineRule="auto"/>
            </w:pPr>
            <w:r/>
            <w:r>
              <w:rPr>
                <w:sz w:val="17"/>
              </w:rPr>
              <w:t>Collections slip 1 quarter</w:t>
            </w:r>
          </w:p>
        </w:tc>
        <w:tc>
          <w:tcPr>
            <w:tcW w:type="dxa" w:w="1928"/>
            <w:shd w:val="clear" w:color="auto" w:fill="F2F4F7"/>
          </w:tcPr>
          <w:p>
            <w:pPr>
              <w:spacing w:after="0" w:line="240" w:lineRule="auto"/>
              <w:jc w:val="right"/>
            </w:pPr>
            <w:r/>
            <w:r>
              <w:rPr>
                <w:sz w:val="17"/>
              </w:rPr>
              <w:t>375</w:t>
            </w:r>
          </w:p>
        </w:tc>
        <w:tc>
          <w:tcPr>
            <w:tcW w:type="dxa" w:w="1984"/>
            <w:shd w:val="clear" w:color="auto" w:fill="F2F4F7"/>
          </w:tcPr>
          <w:p>
            <w:pPr>
              <w:spacing w:after="0" w:line="240" w:lineRule="auto"/>
              <w:jc w:val="right"/>
            </w:pPr>
            <w:r/>
            <w:r>
              <w:rPr>
                <w:sz w:val="17"/>
              </w:rPr>
              <w:t>170</w:t>
            </w:r>
          </w:p>
        </w:tc>
        <w:tc>
          <w:tcPr>
            <w:tcW w:type="dxa" w:w="1928"/>
            <w:shd w:val="clear" w:color="auto" w:fill="F2F4F7"/>
          </w:tcPr>
          <w:p>
            <w:pPr>
              <w:spacing w:after="0" w:line="240" w:lineRule="auto"/>
              <w:jc w:val="right"/>
            </w:pPr>
            <w:r/>
            <w:r>
              <w:rPr>
                <w:sz w:val="17"/>
              </w:rPr>
              <w:t>162</w:t>
            </w:r>
          </w:p>
        </w:tc>
      </w:tr>
      <w:tr>
        <w:trPr>
          <w:cantSplit/>
        </w:trPr>
        <w:tc>
          <w:tcPr>
            <w:tcW w:type="dxa" w:w="3402"/>
          </w:tcPr>
          <w:p>
            <w:pPr>
              <w:spacing w:after="0" w:line="240" w:lineRule="auto"/>
            </w:pPr>
            <w:r/>
            <w:r>
              <w:rPr>
                <w:sz w:val="17"/>
              </w:rPr>
              <w:t>Collections slip 2 quarters</w:t>
            </w:r>
          </w:p>
        </w:tc>
        <w:tc>
          <w:tcPr>
            <w:tcW w:type="dxa" w:w="1928"/>
          </w:tcPr>
          <w:p>
            <w:pPr>
              <w:spacing w:after="0" w:line="240" w:lineRule="auto"/>
              <w:jc w:val="right"/>
            </w:pPr>
            <w:r/>
            <w:r>
              <w:rPr>
                <w:sz w:val="17"/>
              </w:rPr>
              <w:t>375</w:t>
            </w:r>
          </w:p>
        </w:tc>
        <w:tc>
          <w:tcPr>
            <w:tcW w:type="dxa" w:w="1984"/>
          </w:tcPr>
          <w:p>
            <w:pPr>
              <w:spacing w:after="0" w:line="240" w:lineRule="auto"/>
              <w:jc w:val="right"/>
            </w:pPr>
            <w:r/>
            <w:r>
              <w:rPr>
                <w:sz w:val="17"/>
              </w:rPr>
              <w:t>125</w:t>
            </w:r>
          </w:p>
        </w:tc>
        <w:tc>
          <w:tcPr>
            <w:tcW w:type="dxa" w:w="1928"/>
          </w:tcPr>
          <w:p>
            <w:pPr>
              <w:spacing w:after="0" w:line="240" w:lineRule="auto"/>
              <w:jc w:val="right"/>
            </w:pPr>
            <w:r/>
            <w:r>
              <w:rPr>
                <w:sz w:val="17"/>
              </w:rPr>
              <w:t>236</w:t>
            </w:r>
          </w:p>
        </w:tc>
      </w:tr>
      <w:tr>
        <w:trPr>
          <w:cantSplit/>
        </w:trPr>
        <w:tc>
          <w:tcPr>
            <w:tcW w:type="dxa" w:w="3402"/>
            <w:shd w:val="clear" w:color="auto" w:fill="F2F4F7"/>
          </w:tcPr>
          <w:p>
            <w:pPr>
              <w:spacing w:after="0" w:line="240" w:lineRule="auto"/>
            </w:pPr>
            <w:r/>
            <w:r>
              <w:rPr>
                <w:sz w:val="17"/>
              </w:rPr>
              <w:t>Collections slip 4 quarters</w:t>
            </w:r>
          </w:p>
        </w:tc>
        <w:tc>
          <w:tcPr>
            <w:tcW w:type="dxa" w:w="1928"/>
            <w:shd w:val="clear" w:color="auto" w:fill="F2F4F7"/>
          </w:tcPr>
          <w:p>
            <w:pPr>
              <w:spacing w:after="0" w:line="240" w:lineRule="auto"/>
              <w:jc w:val="right"/>
            </w:pPr>
            <w:r/>
            <w:r>
              <w:rPr>
                <w:sz w:val="17"/>
              </w:rPr>
              <w:t>375</w:t>
            </w:r>
          </w:p>
        </w:tc>
        <w:tc>
          <w:tcPr>
            <w:tcW w:type="dxa" w:w="1984"/>
            <w:shd w:val="clear" w:color="auto" w:fill="F2F4F7"/>
          </w:tcPr>
          <w:p>
            <w:pPr>
              <w:spacing w:after="0" w:line="240" w:lineRule="auto"/>
              <w:jc w:val="right"/>
            </w:pPr>
            <w:r/>
            <w:r>
              <w:rPr>
                <w:sz w:val="17"/>
              </w:rPr>
              <w:t>41</w:t>
            </w:r>
          </w:p>
        </w:tc>
        <w:tc>
          <w:tcPr>
            <w:tcW w:type="dxa" w:w="1928"/>
            <w:shd w:val="clear" w:color="auto" w:fill="F2F4F7"/>
          </w:tcPr>
          <w:p>
            <w:pPr>
              <w:spacing w:after="0" w:line="240" w:lineRule="auto"/>
              <w:jc w:val="right"/>
            </w:pPr>
            <w:r/>
            <w:r>
              <w:rPr>
                <w:sz w:val="17"/>
              </w:rPr>
              <w:t>440</w:t>
            </w:r>
          </w:p>
        </w:tc>
      </w:tr>
    </w:tbl>
    <w:p>
      <w:pPr>
        <w:spacing w:after="80"/>
      </w:pPr>
    </w:p>
    <w:p>
      <w:pPr>
        <w:keepNext/>
        <w:jc w:val="center"/>
      </w:pPr>
      <w:r>
        <w:drawing>
          <wp:inline xmlns:a="http://schemas.openxmlformats.org/drawingml/2006/main" xmlns:pic="http://schemas.openxmlformats.org/drawingml/2006/picture">
            <wp:extent cx="5580000" cy="2557500"/>
            <wp:docPr id="5" name="Picture 5"/>
            <wp:cNvGraphicFramePr>
              <a:graphicFrameLocks noChangeAspect="1"/>
            </wp:cNvGraphicFramePr>
            <a:graphic>
              <a:graphicData uri="http://schemas.openxmlformats.org/drawingml/2006/picture">
                <pic:pic>
                  <pic:nvPicPr>
                    <pic:cNvPr id="0" name="fig_sens.png"/>
                    <pic:cNvPicPr/>
                  </pic:nvPicPr>
                  <pic:blipFill>
                    <a:blip r:embed="rId15"/>
                    <a:stretch>
                      <a:fillRect/>
                    </a:stretch>
                  </pic:blipFill>
                  <pic:spPr>
                    <a:xfrm>
                      <a:off x="0" y="0"/>
                      <a:ext cx="5580000" cy="2557500"/>
                    </a:xfrm>
                    <a:prstGeom prst="rect"/>
                  </pic:spPr>
                </pic:pic>
              </a:graphicData>
            </a:graphic>
          </wp:inline>
        </w:drawing>
      </w:r>
    </w:p>
    <w:p>
      <w:pPr>
        <w:jc w:val="center"/>
      </w:pPr>
      <w:r>
        <w:rPr>
          <w:b/>
          <w:color w:val="17324D"/>
          <w:sz w:val="18"/>
        </w:rPr>
        <w:t xml:space="preserve">Figure 5: Green Square: project NPV by case. </w:t>
      </w:r>
      <w:r>
        <w:rPr>
          <w:i/>
          <w:color w:val="6B7280"/>
          <w:sz w:val="18"/>
        </w:rPr>
        <w:t>Source: Financial Annex, Scenarios and Sensitivity sheets</w:t>
      </w:r>
    </w:p>
    <w:p>
      <w:pPr>
        <w:keepNext/>
        <w:spacing w:after="60"/>
      </w:pPr>
      <w:r>
        <w:rPr>
          <w:b/>
          <w:color w:val="17324D"/>
          <w:sz w:val="19"/>
        </w:rPr>
        <w:t>Table 34: L'avenir: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7"/>
              </w:rPr>
              <w:t>Case</w:t>
            </w:r>
          </w:p>
        </w:tc>
        <w:tc>
          <w:tcPr>
            <w:tcW w:type="dxa" w:w="1928"/>
            <w:shd w:val="clear" w:color="auto" w:fill="17324D"/>
          </w:tcPr>
          <w:p>
            <w:pPr>
              <w:spacing w:after="0" w:line="240" w:lineRule="auto"/>
              <w:jc w:val="right"/>
            </w:pPr>
            <w:r/>
            <w:r>
              <w:rPr>
                <w:b/>
                <w:color w:val="FFFFFF"/>
                <w:sz w:val="17"/>
              </w:rPr>
              <w:t>Net cash flow (EGP m)</w:t>
            </w:r>
          </w:p>
        </w:tc>
        <w:tc>
          <w:tcPr>
            <w:tcW w:type="dxa" w:w="1984"/>
            <w:shd w:val="clear" w:color="auto" w:fill="17324D"/>
          </w:tcPr>
          <w:p>
            <w:pPr>
              <w:spacing w:after="0" w:line="240" w:lineRule="auto"/>
              <w:jc w:val="right"/>
            </w:pPr>
            <w:r/>
            <w:r>
              <w:rPr>
                <w:b/>
                <w:color w:val="FFFFFF"/>
                <w:sz w:val="17"/>
              </w:rPr>
              <w:t>NPV at 14% (EGP m)</w:t>
            </w:r>
          </w:p>
        </w:tc>
        <w:tc>
          <w:tcPr>
            <w:tcW w:type="dxa" w:w="1928"/>
            <w:shd w:val="clear" w:color="auto" w:fill="17324D"/>
          </w:tcPr>
          <w:p>
            <w:pPr>
              <w:spacing w:after="0" w:line="240" w:lineRule="auto"/>
              <w:jc w:val="right"/>
            </w:pPr>
            <w:r/>
            <w:r>
              <w:rPr>
                <w:b/>
                <w:color w:val="FFFFFF"/>
                <w:sz w:val="17"/>
              </w:rPr>
              <w:t>Peak shortage (EGP m)</w:t>
            </w:r>
          </w:p>
        </w:tc>
      </w:tr>
      <w:tr>
        <w:trPr>
          <w:cantSplit/>
        </w:trPr>
        <w:tc>
          <w:tcPr>
            <w:tcW w:type="dxa" w:w="3402"/>
          </w:tcPr>
          <w:p>
            <w:pPr>
              <w:spacing w:after="0" w:line="240" w:lineRule="auto"/>
            </w:pPr>
            <w:r/>
            <w:r>
              <w:rPr>
                <w:sz w:val="17"/>
              </w:rPr>
              <w:t>Base</w:t>
            </w:r>
          </w:p>
        </w:tc>
        <w:tc>
          <w:tcPr>
            <w:tcW w:type="dxa" w:w="1928"/>
          </w:tcPr>
          <w:p>
            <w:pPr>
              <w:spacing w:after="0" w:line="240" w:lineRule="auto"/>
              <w:jc w:val="right"/>
            </w:pPr>
            <w:r/>
            <w:r>
              <w:rPr>
                <w:sz w:val="17"/>
              </w:rPr>
              <w:t>595</w:t>
            </w:r>
          </w:p>
        </w:tc>
        <w:tc>
          <w:tcPr>
            <w:tcW w:type="dxa" w:w="1984"/>
          </w:tcPr>
          <w:p>
            <w:pPr>
              <w:spacing w:after="0" w:line="240" w:lineRule="auto"/>
              <w:jc w:val="right"/>
            </w:pPr>
            <w:r/>
            <w:r>
              <w:rPr>
                <w:sz w:val="17"/>
              </w:rPr>
              <w:t>308</w:t>
            </w:r>
          </w:p>
        </w:tc>
        <w:tc>
          <w:tcPr>
            <w:tcW w:type="dxa" w:w="1928"/>
          </w:tcPr>
          <w:p>
            <w:pPr>
              <w:spacing w:after="0" w:line="240" w:lineRule="auto"/>
              <w:jc w:val="right"/>
            </w:pPr>
            <w:r/>
            <w:r>
              <w:rPr>
                <w:sz w:val="17"/>
              </w:rPr>
              <w:t>102</w:t>
            </w:r>
          </w:p>
        </w:tc>
      </w:tr>
      <w:tr>
        <w:trPr>
          <w:cantSplit/>
        </w:trPr>
        <w:tc>
          <w:tcPr>
            <w:tcW w:type="dxa" w:w="3402"/>
            <w:shd w:val="clear" w:color="auto" w:fill="F2F4F7"/>
          </w:tcPr>
          <w:p>
            <w:pPr>
              <w:spacing w:after="0" w:line="240" w:lineRule="auto"/>
            </w:pPr>
            <w:r/>
            <w:r>
              <w:rPr>
                <w:sz w:val="17"/>
              </w:rPr>
              <w:t>Prices -19%</w:t>
            </w:r>
          </w:p>
        </w:tc>
        <w:tc>
          <w:tcPr>
            <w:tcW w:type="dxa" w:w="1928"/>
            <w:shd w:val="clear" w:color="auto" w:fill="F2F4F7"/>
          </w:tcPr>
          <w:p>
            <w:pPr>
              <w:spacing w:after="0" w:line="240" w:lineRule="auto"/>
              <w:jc w:val="right"/>
            </w:pPr>
            <w:r/>
            <w:r>
              <w:rPr>
                <w:sz w:val="17"/>
              </w:rPr>
              <w:t>316</w:t>
            </w:r>
          </w:p>
        </w:tc>
        <w:tc>
          <w:tcPr>
            <w:tcW w:type="dxa" w:w="1984"/>
            <w:shd w:val="clear" w:color="auto" w:fill="F2F4F7"/>
          </w:tcPr>
          <w:p>
            <w:pPr>
              <w:spacing w:after="0" w:line="240" w:lineRule="auto"/>
              <w:jc w:val="right"/>
            </w:pPr>
            <w:r/>
            <w:r>
              <w:rPr>
                <w:sz w:val="17"/>
              </w:rPr>
              <w:t>100</w:t>
            </w:r>
          </w:p>
        </w:tc>
        <w:tc>
          <w:tcPr>
            <w:tcW w:type="dxa" w:w="1928"/>
            <w:shd w:val="clear" w:color="auto" w:fill="F2F4F7"/>
          </w:tcPr>
          <w:p>
            <w:pPr>
              <w:spacing w:after="0" w:line="240" w:lineRule="auto"/>
              <w:jc w:val="right"/>
            </w:pPr>
            <w:r/>
            <w:r>
              <w:rPr>
                <w:sz w:val="17"/>
              </w:rPr>
              <w:t>175</w:t>
            </w:r>
          </w:p>
        </w:tc>
      </w:tr>
      <w:tr>
        <w:trPr>
          <w:cantSplit/>
        </w:trPr>
        <w:tc>
          <w:tcPr>
            <w:tcW w:type="dxa" w:w="3402"/>
          </w:tcPr>
          <w:p>
            <w:pPr>
              <w:spacing w:after="0" w:line="240" w:lineRule="auto"/>
            </w:pPr>
            <w:r/>
            <w:r>
              <w:rPr>
                <w:sz w:val="17"/>
              </w:rPr>
              <w:t>Prices -9%</w:t>
            </w:r>
          </w:p>
        </w:tc>
        <w:tc>
          <w:tcPr>
            <w:tcW w:type="dxa" w:w="1928"/>
          </w:tcPr>
          <w:p>
            <w:pPr>
              <w:spacing w:after="0" w:line="240" w:lineRule="auto"/>
              <w:jc w:val="right"/>
            </w:pPr>
            <w:r/>
            <w:r>
              <w:rPr>
                <w:sz w:val="17"/>
              </w:rPr>
              <w:t>456</w:t>
            </w:r>
          </w:p>
        </w:tc>
        <w:tc>
          <w:tcPr>
            <w:tcW w:type="dxa" w:w="1984"/>
          </w:tcPr>
          <w:p>
            <w:pPr>
              <w:spacing w:after="0" w:line="240" w:lineRule="auto"/>
              <w:jc w:val="right"/>
            </w:pPr>
            <w:r/>
            <w:r>
              <w:rPr>
                <w:sz w:val="17"/>
              </w:rPr>
              <w:t>204</w:t>
            </w:r>
          </w:p>
        </w:tc>
        <w:tc>
          <w:tcPr>
            <w:tcW w:type="dxa" w:w="1928"/>
          </w:tcPr>
          <w:p>
            <w:pPr>
              <w:spacing w:after="0" w:line="240" w:lineRule="auto"/>
              <w:jc w:val="right"/>
            </w:pPr>
            <w:r/>
            <w:r>
              <w:rPr>
                <w:sz w:val="17"/>
              </w:rPr>
              <w:t>138</w:t>
            </w:r>
          </w:p>
        </w:tc>
      </w:tr>
      <w:tr>
        <w:trPr>
          <w:cantSplit/>
        </w:trPr>
        <w:tc>
          <w:tcPr>
            <w:tcW w:type="dxa" w:w="3402"/>
            <w:shd w:val="clear" w:color="auto" w:fill="F2F4F7"/>
          </w:tcPr>
          <w:p>
            <w:pPr>
              <w:spacing w:after="0" w:line="240" w:lineRule="auto"/>
            </w:pPr>
            <w:r/>
            <w:r>
              <w:rPr>
                <w:sz w:val="17"/>
              </w:rPr>
              <w:t>Prices +10%</w:t>
            </w:r>
          </w:p>
        </w:tc>
        <w:tc>
          <w:tcPr>
            <w:tcW w:type="dxa" w:w="1928"/>
            <w:shd w:val="clear" w:color="auto" w:fill="F2F4F7"/>
          </w:tcPr>
          <w:p>
            <w:pPr>
              <w:spacing w:after="0" w:line="240" w:lineRule="auto"/>
              <w:jc w:val="right"/>
            </w:pPr>
            <w:r/>
            <w:r>
              <w:rPr>
                <w:sz w:val="17"/>
              </w:rPr>
              <w:t>735</w:t>
            </w:r>
          </w:p>
        </w:tc>
        <w:tc>
          <w:tcPr>
            <w:tcW w:type="dxa" w:w="1984"/>
            <w:shd w:val="clear" w:color="auto" w:fill="F2F4F7"/>
          </w:tcPr>
          <w:p>
            <w:pPr>
              <w:spacing w:after="0" w:line="240" w:lineRule="auto"/>
              <w:jc w:val="right"/>
            </w:pPr>
            <w:r/>
            <w:r>
              <w:rPr>
                <w:sz w:val="17"/>
              </w:rPr>
              <w:t>412</w:t>
            </w:r>
          </w:p>
        </w:tc>
        <w:tc>
          <w:tcPr>
            <w:tcW w:type="dxa" w:w="1928"/>
            <w:shd w:val="clear" w:color="auto" w:fill="F2F4F7"/>
          </w:tcPr>
          <w:p>
            <w:pPr>
              <w:spacing w:after="0" w:line="240" w:lineRule="auto"/>
              <w:jc w:val="right"/>
            </w:pPr>
            <w:r/>
            <w:r>
              <w:rPr>
                <w:sz w:val="17"/>
              </w:rPr>
              <w:t>88</w:t>
            </w:r>
          </w:p>
        </w:tc>
      </w:tr>
      <w:tr>
        <w:trPr>
          <w:cantSplit/>
        </w:trPr>
        <w:tc>
          <w:tcPr>
            <w:tcW w:type="dxa" w:w="3402"/>
          </w:tcPr>
          <w:p>
            <w:pPr>
              <w:spacing w:after="0" w:line="240" w:lineRule="auto"/>
            </w:pPr>
            <w:r/>
            <w:r>
              <w:rPr>
                <w:sz w:val="17"/>
              </w:rPr>
              <w:t>Prices +19%</w:t>
            </w:r>
          </w:p>
        </w:tc>
        <w:tc>
          <w:tcPr>
            <w:tcW w:type="dxa" w:w="1928"/>
          </w:tcPr>
          <w:p>
            <w:pPr>
              <w:spacing w:after="0" w:line="240" w:lineRule="auto"/>
              <w:jc w:val="right"/>
            </w:pPr>
            <w:r/>
            <w:r>
              <w:rPr>
                <w:sz w:val="17"/>
              </w:rPr>
              <w:t>875</w:t>
            </w:r>
          </w:p>
        </w:tc>
        <w:tc>
          <w:tcPr>
            <w:tcW w:type="dxa" w:w="1984"/>
          </w:tcPr>
          <w:p>
            <w:pPr>
              <w:spacing w:after="0" w:line="240" w:lineRule="auto"/>
              <w:jc w:val="right"/>
            </w:pPr>
            <w:r/>
            <w:r>
              <w:rPr>
                <w:sz w:val="17"/>
              </w:rPr>
              <w:t>516</w:t>
            </w:r>
          </w:p>
        </w:tc>
        <w:tc>
          <w:tcPr>
            <w:tcW w:type="dxa" w:w="1928"/>
          </w:tcPr>
          <w:p>
            <w:pPr>
              <w:spacing w:after="0" w:line="240" w:lineRule="auto"/>
              <w:jc w:val="right"/>
            </w:pPr>
            <w:r/>
            <w:r>
              <w:rPr>
                <w:sz w:val="17"/>
              </w:rPr>
              <w:t>86</w:t>
            </w:r>
          </w:p>
        </w:tc>
      </w:tr>
      <w:tr>
        <w:trPr>
          <w:cantSplit/>
        </w:trPr>
        <w:tc>
          <w:tcPr>
            <w:tcW w:type="dxa" w:w="3402"/>
            <w:shd w:val="clear" w:color="auto" w:fill="F2F4F7"/>
          </w:tcPr>
          <w:p>
            <w:pPr>
              <w:spacing w:after="0" w:line="240" w:lineRule="auto"/>
            </w:pPr>
            <w:r/>
            <w:r>
              <w:rPr>
                <w:sz w:val="17"/>
              </w:rPr>
              <w:t>Sales delayed 6 months</w:t>
            </w:r>
          </w:p>
        </w:tc>
        <w:tc>
          <w:tcPr>
            <w:tcW w:type="dxa" w:w="1928"/>
            <w:shd w:val="clear" w:color="auto" w:fill="F2F4F7"/>
          </w:tcPr>
          <w:p>
            <w:pPr>
              <w:spacing w:after="0" w:line="240" w:lineRule="auto"/>
              <w:jc w:val="right"/>
            </w:pPr>
            <w:r/>
            <w:r>
              <w:rPr>
                <w:sz w:val="17"/>
              </w:rPr>
              <w:t>595</w:t>
            </w:r>
          </w:p>
        </w:tc>
        <w:tc>
          <w:tcPr>
            <w:tcW w:type="dxa" w:w="1984"/>
            <w:shd w:val="clear" w:color="auto" w:fill="F2F4F7"/>
          </w:tcPr>
          <w:p>
            <w:pPr>
              <w:spacing w:after="0" w:line="240" w:lineRule="auto"/>
              <w:jc w:val="right"/>
            </w:pPr>
            <w:r/>
            <w:r>
              <w:rPr>
                <w:sz w:val="17"/>
              </w:rPr>
              <w:t>214</w:t>
            </w:r>
          </w:p>
        </w:tc>
        <w:tc>
          <w:tcPr>
            <w:tcW w:type="dxa" w:w="1928"/>
            <w:shd w:val="clear" w:color="auto" w:fill="F2F4F7"/>
          </w:tcPr>
          <w:p>
            <w:pPr>
              <w:spacing w:after="0" w:line="240" w:lineRule="auto"/>
              <w:jc w:val="right"/>
            </w:pPr>
            <w:r/>
            <w:r>
              <w:rPr>
                <w:sz w:val="17"/>
              </w:rPr>
              <w:t>366</w:t>
            </w:r>
          </w:p>
        </w:tc>
      </w:tr>
      <w:tr>
        <w:trPr>
          <w:cantSplit/>
        </w:trPr>
        <w:tc>
          <w:tcPr>
            <w:tcW w:type="dxa" w:w="3402"/>
          </w:tcPr>
          <w:p>
            <w:pPr>
              <w:spacing w:after="0" w:line="240" w:lineRule="auto"/>
            </w:pPr>
            <w:r/>
            <w:r>
              <w:rPr>
                <w:sz w:val="17"/>
              </w:rPr>
              <w:t>Sales delayed 12 months</w:t>
            </w:r>
          </w:p>
        </w:tc>
        <w:tc>
          <w:tcPr>
            <w:tcW w:type="dxa" w:w="1928"/>
          </w:tcPr>
          <w:p>
            <w:pPr>
              <w:spacing w:after="0" w:line="240" w:lineRule="auto"/>
              <w:jc w:val="right"/>
            </w:pPr>
            <w:r/>
            <w:r>
              <w:rPr>
                <w:sz w:val="17"/>
              </w:rPr>
              <w:t>595</w:t>
            </w:r>
          </w:p>
        </w:tc>
        <w:tc>
          <w:tcPr>
            <w:tcW w:type="dxa" w:w="1984"/>
          </w:tcPr>
          <w:p>
            <w:pPr>
              <w:spacing w:after="0" w:line="240" w:lineRule="auto"/>
              <w:jc w:val="right"/>
            </w:pPr>
            <w:r/>
            <w:r>
              <w:rPr>
                <w:sz w:val="17"/>
              </w:rPr>
              <w:t>126</w:t>
            </w:r>
          </w:p>
        </w:tc>
        <w:tc>
          <w:tcPr>
            <w:tcW w:type="dxa" w:w="1928"/>
          </w:tcPr>
          <w:p>
            <w:pPr>
              <w:spacing w:after="0" w:line="240" w:lineRule="auto"/>
              <w:jc w:val="right"/>
            </w:pPr>
            <w:r/>
            <w:r>
              <w:rPr>
                <w:sz w:val="17"/>
              </w:rPr>
              <w:t>779</w:t>
            </w:r>
          </w:p>
        </w:tc>
      </w:tr>
      <w:tr>
        <w:trPr>
          <w:cantSplit/>
        </w:trPr>
        <w:tc>
          <w:tcPr>
            <w:tcW w:type="dxa" w:w="3402"/>
            <w:shd w:val="clear" w:color="auto" w:fill="F2F4F7"/>
          </w:tcPr>
          <w:p>
            <w:pPr>
              <w:spacing w:after="0" w:line="240" w:lineRule="auto"/>
            </w:pPr>
            <w:r/>
            <w:r>
              <w:rPr>
                <w:sz w:val="17"/>
              </w:rPr>
              <w:t>Sales delayed 18 months</w:t>
            </w:r>
          </w:p>
        </w:tc>
        <w:tc>
          <w:tcPr>
            <w:tcW w:type="dxa" w:w="1928"/>
            <w:shd w:val="clear" w:color="auto" w:fill="F2F4F7"/>
          </w:tcPr>
          <w:p>
            <w:pPr>
              <w:spacing w:after="0" w:line="240" w:lineRule="auto"/>
              <w:jc w:val="right"/>
            </w:pPr>
            <w:r/>
            <w:r>
              <w:rPr>
                <w:sz w:val="17"/>
              </w:rPr>
              <w:t>595</w:t>
            </w:r>
          </w:p>
        </w:tc>
        <w:tc>
          <w:tcPr>
            <w:tcW w:type="dxa" w:w="1984"/>
            <w:shd w:val="clear" w:color="auto" w:fill="F2F4F7"/>
          </w:tcPr>
          <w:p>
            <w:pPr>
              <w:spacing w:after="0" w:line="240" w:lineRule="auto"/>
              <w:jc w:val="right"/>
            </w:pPr>
            <w:r/>
            <w:r>
              <w:rPr>
                <w:sz w:val="17"/>
              </w:rPr>
              <w:t>43</w:t>
            </w:r>
          </w:p>
        </w:tc>
        <w:tc>
          <w:tcPr>
            <w:tcW w:type="dxa" w:w="1928"/>
            <w:shd w:val="clear" w:color="auto" w:fill="F2F4F7"/>
          </w:tcPr>
          <w:p>
            <w:pPr>
              <w:spacing w:after="0" w:line="240" w:lineRule="auto"/>
              <w:jc w:val="right"/>
            </w:pPr>
            <w:r/>
            <w:r>
              <w:rPr>
                <w:sz w:val="17"/>
              </w:rPr>
              <w:t>1,004</w:t>
            </w:r>
          </w:p>
        </w:tc>
      </w:tr>
      <w:tr>
        <w:trPr>
          <w:cantSplit/>
        </w:trPr>
        <w:tc>
          <w:tcPr>
            <w:tcW w:type="dxa" w:w="3402"/>
          </w:tcPr>
          <w:p>
            <w:pPr>
              <w:spacing w:after="0" w:line="240" w:lineRule="auto"/>
            </w:pPr>
            <w:r/>
            <w:r>
              <w:rPr>
                <w:sz w:val="17"/>
              </w:rPr>
              <w:t>Sales delayed 24 months</w:t>
            </w:r>
          </w:p>
        </w:tc>
        <w:tc>
          <w:tcPr>
            <w:tcW w:type="dxa" w:w="1928"/>
          </w:tcPr>
          <w:p>
            <w:pPr>
              <w:spacing w:after="0" w:line="240" w:lineRule="auto"/>
              <w:jc w:val="right"/>
            </w:pPr>
            <w:r/>
            <w:r>
              <w:rPr>
                <w:sz w:val="17"/>
              </w:rPr>
              <w:t>595</w:t>
            </w:r>
          </w:p>
        </w:tc>
        <w:tc>
          <w:tcPr>
            <w:tcW w:type="dxa" w:w="1984"/>
          </w:tcPr>
          <w:p>
            <w:pPr>
              <w:spacing w:after="0" w:line="240" w:lineRule="auto"/>
              <w:jc w:val="right"/>
            </w:pPr>
            <w:r/>
            <w:r>
              <w:rPr>
                <w:sz w:val="17"/>
              </w:rPr>
              <w:t>-34</w:t>
            </w:r>
          </w:p>
        </w:tc>
        <w:tc>
          <w:tcPr>
            <w:tcW w:type="dxa" w:w="1928"/>
          </w:tcPr>
          <w:p>
            <w:pPr>
              <w:spacing w:after="0" w:line="240" w:lineRule="auto"/>
              <w:jc w:val="right"/>
            </w:pPr>
            <w:r/>
            <w:r>
              <w:rPr>
                <w:sz w:val="17"/>
              </w:rPr>
              <w:t>1,179</w:t>
            </w:r>
          </w:p>
        </w:tc>
      </w:tr>
      <w:tr>
        <w:trPr>
          <w:cantSplit/>
        </w:trPr>
        <w:tc>
          <w:tcPr>
            <w:tcW w:type="dxa" w:w="3402"/>
            <w:shd w:val="clear" w:color="auto" w:fill="F2F4F7"/>
          </w:tcPr>
          <w:p>
            <w:pPr>
              <w:spacing w:after="0" w:line="240" w:lineRule="auto"/>
            </w:pPr>
            <w:r/>
            <w:r>
              <w:rPr>
                <w:sz w:val="17"/>
              </w:rPr>
              <w:t>Construction cost +10%</w:t>
            </w:r>
          </w:p>
        </w:tc>
        <w:tc>
          <w:tcPr>
            <w:tcW w:type="dxa" w:w="1928"/>
            <w:shd w:val="clear" w:color="auto" w:fill="F2F4F7"/>
          </w:tcPr>
          <w:p>
            <w:pPr>
              <w:spacing w:after="0" w:line="240" w:lineRule="auto"/>
              <w:jc w:val="right"/>
            </w:pPr>
            <w:r/>
            <w:r>
              <w:rPr>
                <w:sz w:val="17"/>
              </w:rPr>
              <w:t>515</w:t>
            </w:r>
          </w:p>
        </w:tc>
        <w:tc>
          <w:tcPr>
            <w:tcW w:type="dxa" w:w="1984"/>
            <w:shd w:val="clear" w:color="auto" w:fill="F2F4F7"/>
          </w:tcPr>
          <w:p>
            <w:pPr>
              <w:spacing w:after="0" w:line="240" w:lineRule="auto"/>
              <w:jc w:val="right"/>
            </w:pPr>
            <w:r/>
            <w:r>
              <w:rPr>
                <w:sz w:val="17"/>
              </w:rPr>
              <w:t>258</w:t>
            </w:r>
          </w:p>
        </w:tc>
        <w:tc>
          <w:tcPr>
            <w:tcW w:type="dxa" w:w="1928"/>
            <w:shd w:val="clear" w:color="auto" w:fill="F2F4F7"/>
          </w:tcPr>
          <w:p>
            <w:pPr>
              <w:spacing w:after="0" w:line="240" w:lineRule="auto"/>
              <w:jc w:val="right"/>
            </w:pPr>
            <w:r/>
            <w:r>
              <w:rPr>
                <w:sz w:val="17"/>
              </w:rPr>
              <w:t>117</w:t>
            </w:r>
          </w:p>
        </w:tc>
      </w:tr>
      <w:tr>
        <w:trPr>
          <w:cantSplit/>
        </w:trPr>
        <w:tc>
          <w:tcPr>
            <w:tcW w:type="dxa" w:w="3402"/>
          </w:tcPr>
          <w:p>
            <w:pPr>
              <w:spacing w:after="0" w:line="240" w:lineRule="auto"/>
            </w:pPr>
            <w:r/>
            <w:r>
              <w:rPr>
                <w:sz w:val="17"/>
              </w:rPr>
              <w:t>Construction cost +19%</w:t>
            </w:r>
          </w:p>
        </w:tc>
        <w:tc>
          <w:tcPr>
            <w:tcW w:type="dxa" w:w="1928"/>
          </w:tcPr>
          <w:p>
            <w:pPr>
              <w:spacing w:after="0" w:line="240" w:lineRule="auto"/>
              <w:jc w:val="right"/>
            </w:pPr>
            <w:r/>
            <w:r>
              <w:rPr>
                <w:sz w:val="17"/>
              </w:rPr>
              <w:t>435</w:t>
            </w:r>
          </w:p>
        </w:tc>
        <w:tc>
          <w:tcPr>
            <w:tcW w:type="dxa" w:w="1984"/>
          </w:tcPr>
          <w:p>
            <w:pPr>
              <w:spacing w:after="0" w:line="240" w:lineRule="auto"/>
              <w:jc w:val="right"/>
            </w:pPr>
            <w:r/>
            <w:r>
              <w:rPr>
                <w:sz w:val="17"/>
              </w:rPr>
              <w:t>208</w:t>
            </w:r>
          </w:p>
        </w:tc>
        <w:tc>
          <w:tcPr>
            <w:tcW w:type="dxa" w:w="1928"/>
          </w:tcPr>
          <w:p>
            <w:pPr>
              <w:spacing w:after="0" w:line="240" w:lineRule="auto"/>
              <w:jc w:val="right"/>
            </w:pPr>
            <w:r/>
            <w:r>
              <w:rPr>
                <w:sz w:val="17"/>
              </w:rPr>
              <w:t>133</w:t>
            </w:r>
          </w:p>
        </w:tc>
      </w:tr>
      <w:tr>
        <w:trPr>
          <w:cantSplit/>
        </w:trPr>
        <w:tc>
          <w:tcPr>
            <w:tcW w:type="dxa" w:w="3402"/>
            <w:shd w:val="clear" w:color="auto" w:fill="F2F4F7"/>
          </w:tcPr>
          <w:p>
            <w:pPr>
              <w:spacing w:after="0" w:line="240" w:lineRule="auto"/>
            </w:pPr>
            <w:r/>
            <w:r>
              <w:rPr>
                <w:sz w:val="17"/>
              </w:rPr>
              <w:t>Collections slip 1 quarter</w:t>
            </w:r>
          </w:p>
        </w:tc>
        <w:tc>
          <w:tcPr>
            <w:tcW w:type="dxa" w:w="1928"/>
            <w:shd w:val="clear" w:color="auto" w:fill="F2F4F7"/>
          </w:tcPr>
          <w:p>
            <w:pPr>
              <w:spacing w:after="0" w:line="240" w:lineRule="auto"/>
              <w:jc w:val="right"/>
            </w:pPr>
            <w:r/>
            <w:r>
              <w:rPr>
                <w:sz w:val="17"/>
              </w:rPr>
              <w:t>595</w:t>
            </w:r>
          </w:p>
        </w:tc>
        <w:tc>
          <w:tcPr>
            <w:tcW w:type="dxa" w:w="1984"/>
            <w:shd w:val="clear" w:color="auto" w:fill="F2F4F7"/>
          </w:tcPr>
          <w:p>
            <w:pPr>
              <w:spacing w:after="0" w:line="240" w:lineRule="auto"/>
              <w:jc w:val="right"/>
            </w:pPr>
            <w:r/>
            <w:r>
              <w:rPr>
                <w:sz w:val="17"/>
              </w:rPr>
              <w:t>258</w:t>
            </w:r>
          </w:p>
        </w:tc>
        <w:tc>
          <w:tcPr>
            <w:tcW w:type="dxa" w:w="1928"/>
            <w:shd w:val="clear" w:color="auto" w:fill="F2F4F7"/>
          </w:tcPr>
          <w:p>
            <w:pPr>
              <w:spacing w:after="0" w:line="240" w:lineRule="auto"/>
              <w:jc w:val="right"/>
            </w:pPr>
            <w:r/>
            <w:r>
              <w:rPr>
                <w:sz w:val="17"/>
              </w:rPr>
              <w:t>190</w:t>
            </w:r>
          </w:p>
        </w:tc>
      </w:tr>
      <w:tr>
        <w:trPr>
          <w:cantSplit/>
        </w:trPr>
        <w:tc>
          <w:tcPr>
            <w:tcW w:type="dxa" w:w="3402"/>
          </w:tcPr>
          <w:p>
            <w:pPr>
              <w:spacing w:after="0" w:line="240" w:lineRule="auto"/>
            </w:pPr>
            <w:r/>
            <w:r>
              <w:rPr>
                <w:sz w:val="17"/>
              </w:rPr>
              <w:t>Collections slip 2 quarters</w:t>
            </w:r>
          </w:p>
        </w:tc>
        <w:tc>
          <w:tcPr>
            <w:tcW w:type="dxa" w:w="1928"/>
          </w:tcPr>
          <w:p>
            <w:pPr>
              <w:spacing w:after="0" w:line="240" w:lineRule="auto"/>
              <w:jc w:val="right"/>
            </w:pPr>
            <w:r/>
            <w:r>
              <w:rPr>
                <w:sz w:val="17"/>
              </w:rPr>
              <w:t>595</w:t>
            </w:r>
          </w:p>
        </w:tc>
        <w:tc>
          <w:tcPr>
            <w:tcW w:type="dxa" w:w="1984"/>
          </w:tcPr>
          <w:p>
            <w:pPr>
              <w:spacing w:after="0" w:line="240" w:lineRule="auto"/>
              <w:jc w:val="right"/>
            </w:pPr>
            <w:r/>
            <w:r>
              <w:rPr>
                <w:sz w:val="17"/>
              </w:rPr>
              <w:t>209</w:t>
            </w:r>
          </w:p>
        </w:tc>
        <w:tc>
          <w:tcPr>
            <w:tcW w:type="dxa" w:w="1928"/>
          </w:tcPr>
          <w:p>
            <w:pPr>
              <w:spacing w:after="0" w:line="240" w:lineRule="auto"/>
              <w:jc w:val="right"/>
            </w:pPr>
            <w:r/>
            <w:r>
              <w:rPr>
                <w:sz w:val="17"/>
              </w:rPr>
              <w:t>381</w:t>
            </w:r>
          </w:p>
        </w:tc>
      </w:tr>
      <w:tr>
        <w:trPr>
          <w:cantSplit/>
        </w:trPr>
        <w:tc>
          <w:tcPr>
            <w:tcW w:type="dxa" w:w="3402"/>
            <w:shd w:val="clear" w:color="auto" w:fill="F2F4F7"/>
          </w:tcPr>
          <w:p>
            <w:pPr>
              <w:spacing w:after="0" w:line="240" w:lineRule="auto"/>
            </w:pPr>
            <w:r/>
            <w:r>
              <w:rPr>
                <w:sz w:val="17"/>
              </w:rPr>
              <w:t>Collections slip 4 quarters</w:t>
            </w:r>
          </w:p>
        </w:tc>
        <w:tc>
          <w:tcPr>
            <w:tcW w:type="dxa" w:w="1928"/>
            <w:shd w:val="clear" w:color="auto" w:fill="F2F4F7"/>
          </w:tcPr>
          <w:p>
            <w:pPr>
              <w:spacing w:after="0" w:line="240" w:lineRule="auto"/>
              <w:jc w:val="right"/>
            </w:pPr>
            <w:r/>
            <w:r>
              <w:rPr>
                <w:sz w:val="17"/>
              </w:rPr>
              <w:t>595</w:t>
            </w:r>
          </w:p>
        </w:tc>
        <w:tc>
          <w:tcPr>
            <w:tcW w:type="dxa" w:w="1984"/>
            <w:shd w:val="clear" w:color="auto" w:fill="F2F4F7"/>
          </w:tcPr>
          <w:p>
            <w:pPr>
              <w:spacing w:after="0" w:line="240" w:lineRule="auto"/>
              <w:jc w:val="right"/>
            </w:pPr>
            <w:r/>
            <w:r>
              <w:rPr>
                <w:sz w:val="17"/>
              </w:rPr>
              <w:t>117</w:t>
            </w:r>
          </w:p>
        </w:tc>
        <w:tc>
          <w:tcPr>
            <w:tcW w:type="dxa" w:w="1928"/>
            <w:shd w:val="clear" w:color="auto" w:fill="F2F4F7"/>
          </w:tcPr>
          <w:p>
            <w:pPr>
              <w:spacing w:after="0" w:line="240" w:lineRule="auto"/>
              <w:jc w:val="right"/>
            </w:pPr>
            <w:r/>
            <w:r>
              <w:rPr>
                <w:sz w:val="17"/>
              </w:rPr>
              <w:t>811</w:t>
            </w:r>
          </w:p>
        </w:tc>
      </w:tr>
    </w:tbl>
    <w:p>
      <w:pPr>
        <w:spacing w:after="80"/>
      </w:pPr>
    </w:p>
    <w:p>
      <w:pPr>
        <w:keepNext/>
        <w:jc w:val="center"/>
      </w:pPr>
      <w:r>
        <w:drawing>
          <wp:inline xmlns:a="http://schemas.openxmlformats.org/drawingml/2006/main" xmlns:pic="http://schemas.openxmlformats.org/drawingml/2006/picture">
            <wp:extent cx="5580000" cy="2557500"/>
            <wp:docPr id="6" name="Picture 6"/>
            <wp:cNvGraphicFramePr>
              <a:graphicFrameLocks noChangeAspect="1"/>
            </wp:cNvGraphicFramePr>
            <a:graphic>
              <a:graphicData uri="http://schemas.openxmlformats.org/drawingml/2006/picture">
                <pic:pic>
                  <pic:nvPicPr>
                    <pic:cNvPr id="0" name="fig_sens.png"/>
                    <pic:cNvPicPr/>
                  </pic:nvPicPr>
                  <pic:blipFill>
                    <a:blip r:embed="rId16"/>
                    <a:stretch>
                      <a:fillRect/>
                    </a:stretch>
                  </pic:blipFill>
                  <pic:spPr>
                    <a:xfrm>
                      <a:off x="0" y="0"/>
                      <a:ext cx="5580000" cy="2557500"/>
                    </a:xfrm>
                    <a:prstGeom prst="rect"/>
                  </pic:spPr>
                </pic:pic>
              </a:graphicData>
            </a:graphic>
          </wp:inline>
        </w:drawing>
      </w:r>
    </w:p>
    <w:p>
      <w:pPr>
        <w:jc w:val="center"/>
      </w:pPr>
      <w:r>
        <w:rPr>
          <w:b/>
          <w:color w:val="17324D"/>
          <w:sz w:val="18"/>
        </w:rPr>
        <w:t xml:space="preserve">Figure 6: L'avenir: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 Each project has its own security; there is no cross-collateral and no cross-default.</w:t>
      </w:r>
    </w:p>
    <w:p>
      <w:pPr>
        <w:pStyle w:val="Heading2"/>
      </w:pPr>
      <w:r>
        <w:t>14.1 Base package, in each project</w:t>
      </w:r>
    </w:p>
    <w:p>
      <w:pPr>
        <w:keepNext/>
        <w:spacing w:after="60"/>
      </w:pPr>
      <w:r>
        <w:rPr>
          <w:b/>
          <w:color w:val="17324D"/>
          <w:sz w:val="19"/>
        </w:rPr>
        <w:t>Table 35: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 Jalour retained units not used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in each project the investor's entitlement ranks as an obligation of that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for each project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 and the combined position of the two projects.</w:t>
      </w:r>
    </w:p>
    <w:p>
      <w:pPr>
        <w:pStyle w:val="ListBullet"/>
        <w:spacing w:after="60"/>
      </w:pPr>
      <w:r>
        <w:rPr>
          <w:b/>
          <w:i w:val="0"/>
        </w:rPr>
        <w:t>Annual audited accounts</w:t>
      </w:r>
      <w:r>
        <w:rPr>
          <w:b w:val="0"/>
          <w:i w:val="0"/>
        </w:rPr>
        <w:t xml:space="preserve"> of each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sites.</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a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a construction programme, any payment overdue to the investor.</w:t>
      </w:r>
    </w:p>
    <w:p>
      <w:pPr>
        <w:pStyle w:val="ListBullet"/>
        <w:spacing w:after="60"/>
      </w:pPr>
      <w:r>
        <w:rPr>
          <w:b/>
          <w:i w:val="0"/>
        </w:rPr>
        <w:t>Confidentiality:</w:t>
      </w:r>
      <w:r>
        <w:rPr>
          <w:b w:val="0"/>
          <w:i w:val="0"/>
        </w:rPr>
        <w:t xml:space="preserve"> all reports and information are confidential under the non-disclosure agreement.</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48 (Green Square) and 54 (L'avenir); units can be registered and sold from handover. The base case assumes sale over four quarters from three months after handover.</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w:t>
      </w:r>
    </w:p>
    <w:p>
      <w:pPr>
        <w:pStyle w:val="Heading2"/>
      </w:pPr>
      <w:r>
        <w:t>16.2 Option B</w:t>
      </w:r>
    </w:p>
    <w:p>
      <w:r>
        <w:rPr>
          <w:b w:val="0"/>
          <w:i w:val="0"/>
        </w:rPr>
        <w:t>Cash is returned through the instalments in section 12.2. There is no market for the entitlement. Transfer to a third party requires Jalour's consent. Combined payback (cumulative cash returned equals the combined tickets) occurs in month 48 for Option B and month 57 for Option A in the base case.</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plans, or fall. Option A returns depend on resale value; with no appreciation the combined MOIC falls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project NPV falls to EGP 49 million (Green Square) and EGP 126 million (L'avenir), and peak funding needs rise to EGP 408 and 779 million. Mitigant: Jalour funding undertaking; phased sales.</w:t>
      </w:r>
    </w:p>
    <w:p>
      <w:pPr>
        <w:pStyle w:val="Heading3"/>
      </w:pPr>
      <w:r>
        <w:t>Both projects short at once</w:t>
      </w:r>
    </w:p>
    <w:p>
      <w:r>
        <w:rPr>
          <w:b w:val="0"/>
          <w:i w:val="0"/>
        </w:rPr>
        <w:t>In stress cases the two projects need funding at the same time: combined peak EGP 318 million with delivery payments at handover and EGP 1,089 million in the downside. Mitigant: combined view disclosed; Jalour's reserves and other projects' cash; evidence after the non-disclosure agreement.</w:t>
      </w:r>
    </w:p>
    <w:p>
      <w:pPr>
        <w:pStyle w:val="Heading3"/>
      </w:pPr>
      <w:r>
        <w:t>Inflation and cost risk</w:t>
      </w:r>
    </w:p>
    <w:p>
      <w:r>
        <w:rPr>
          <w:b w:val="0"/>
          <w:i w:val="0"/>
        </w:rPr>
        <w:t>Construction cost is flat in the models. A 10% overrun lowers combined NPV by EGP 103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Each development must be built in 36 months. Delay delays resale of units and the collection of delivery payments. Mitigant: independent engineer (optional); reporting; Jalour funding undertaking.</w:t>
      </w:r>
    </w:p>
    <w:p>
      <w:pPr>
        <w:pStyle w:val="Heading3"/>
      </w:pPr>
      <w:r>
        <w:t>Delivery-payment timing</w:t>
      </w:r>
    </w:p>
    <w:p>
      <w:r>
        <w:rPr>
          <w:b w:val="0"/>
          <w:i w:val="0"/>
        </w:rPr>
        <w:t>The plans collect delivery payments ahead of handover under the sale contracts. If buyers do not pay until handover, peak funding needs are EGP 269 and 244 million. Mitigant: contractual milestone; Jalour funding.</w:t>
      </w:r>
    </w:p>
    <w:p>
      <w:pPr>
        <w:pStyle w:val="Heading3"/>
      </w:pPr>
      <w:r>
        <w:t>Landlord risk</w:t>
      </w:r>
    </w:p>
    <w:p>
      <w:r>
        <w:rPr>
          <w:b w:val="0"/>
          <w:i w:val="0"/>
        </w:rPr>
        <w:t>The landlord guarantees are payable regardless of sales and its consent is required for allocations and encumbrances. A dispute could delay or prevent the allocation. Mitigant: consent as a condition precedent; guarantee schedules funded in the plans.</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each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two projects in one city, on land of one landowner, in two property types. Each project has its own company, security and reporting, with no cross-collateral or cross-default.</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3"/>
      </w:pPr>
      <w:r>
        <w:t>Confidentiality</w:t>
      </w:r>
    </w:p>
    <w:p>
      <w:r>
        <w:rPr>
          <w:b w:val="0"/>
          <w:i w:val="0"/>
        </w:rPr>
        <w:t>The pack contains the financial information of both projects. Disclosure outside the non-disclosure agreement is prohibited and may cause Jalour loss; the investor's own advisers must be bound by the same terms.</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companies.</w:t>
      </w:r>
    </w:p>
    <w:p>
      <w:pPr>
        <w:pStyle w:val="ListBullet"/>
        <w:spacing w:after="60"/>
      </w:pPr>
      <w:r>
        <w:rPr>
          <w:b w:val="0"/>
          <w:i w:val="0"/>
        </w:rPr>
        <w:t>Terms, governing law and forum of the non-disclosure agreement.</w:t>
      </w:r>
    </w:p>
    <w:p>
      <w:pPr>
        <w:pStyle w:val="Heading1"/>
        <w:pageBreakBefore/>
      </w:pPr>
      <w:r>
        <w:t>Appendices</w:t>
      </w:r>
    </w:p>
    <w:p>
      <w:pPr>
        <w:pStyle w:val="Heading2"/>
      </w:pPr>
      <w:r>
        <w:t>Appendix A: Definitions</w:t>
      </w:r>
    </w:p>
    <w:p>
      <w:pPr>
        <w:keepNext/>
        <w:spacing w:after="60"/>
      </w:pPr>
      <w:r>
        <w:rPr>
          <w:b/>
          <w:color w:val="17324D"/>
          <w:sz w:val="19"/>
        </w:rPr>
        <w:t>Table 36: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of each project</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(Combined_Summary and the project sheets prefixed GS_ and LA_). The Combined_Reconciliation sheet ties each project cash flow to the Jalour model and to an independent recomputation; all differences are zero.</w:t>
      </w:r>
    </w:p>
    <w:p>
      <w:pPr>
        <w:keepNext/>
        <w:spacing w:after="60"/>
      </w:pPr>
      <w:r>
        <w:rPr>
          <w:b/>
          <w:color w:val="17324D"/>
          <w:sz w:val="19"/>
        </w:rPr>
        <w:t>Table 37: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 GS / LA</w:t>
            </w:r>
          </w:p>
        </w:tc>
        <w:tc>
          <w:tcPr>
            <w:tcW w:type="dxa" w:w="2268"/>
          </w:tcPr>
          <w:p>
            <w:pPr>
              <w:spacing w:after="0" w:line="240" w:lineRule="auto"/>
              <w:jc w:val="right"/>
            </w:pPr>
            <w:r/>
            <w:r>
              <w:rPr>
                <w:sz w:val="19"/>
              </w:rPr>
              <w:t>375.4 / 595.3</w:t>
            </w:r>
          </w:p>
        </w:tc>
        <w:tc>
          <w:tcPr>
            <w:tcW w:type="dxa" w:w="2721"/>
          </w:tcPr>
          <w:p>
            <w:pPr>
              <w:spacing w:after="0" w:line="240" w:lineRule="auto"/>
              <w:jc w:val="right"/>
            </w:pPr>
            <w:r/>
            <w:r>
              <w:rPr>
                <w:sz w:val="19"/>
              </w:rPr>
              <w:t>GS_Project_CF; LA_Project_CF</w:t>
            </w:r>
          </w:p>
        </w:tc>
      </w:tr>
      <w:tr>
        <w:trPr>
          <w:cantSplit/>
        </w:trPr>
        <w:tc>
          <w:tcPr>
            <w:tcW w:type="dxa" w:w="4252"/>
            <w:shd w:val="clear" w:color="auto" w:fill="F2F4F7"/>
          </w:tcPr>
          <w:p>
            <w:pPr>
              <w:spacing w:after="0" w:line="240" w:lineRule="auto"/>
            </w:pPr>
            <w:r/>
            <w:r>
              <w:rPr>
                <w:sz w:val="19"/>
              </w:rPr>
              <w:t>NPV at 14% (EGP m), GS / LA</w:t>
            </w:r>
          </w:p>
        </w:tc>
        <w:tc>
          <w:tcPr>
            <w:tcW w:type="dxa" w:w="2268"/>
            <w:shd w:val="clear" w:color="auto" w:fill="F2F4F7"/>
          </w:tcPr>
          <w:p>
            <w:pPr>
              <w:spacing w:after="0" w:line="240" w:lineRule="auto"/>
              <w:jc w:val="right"/>
            </w:pPr>
            <w:r/>
            <w:r>
              <w:rPr>
                <w:sz w:val="19"/>
              </w:rPr>
              <w:t>215.3 / 307.5</w:t>
            </w:r>
          </w:p>
        </w:tc>
        <w:tc>
          <w:tcPr>
            <w:tcW w:type="dxa" w:w="2721"/>
            <w:shd w:val="clear" w:color="auto" w:fill="F2F4F7"/>
          </w:tcPr>
          <w:p>
            <w:pPr>
              <w:spacing w:after="0" w:line="240" w:lineRule="auto"/>
              <w:jc w:val="right"/>
            </w:pPr>
            <w:r/>
            <w:r>
              <w:rPr>
                <w:sz w:val="19"/>
              </w:rPr>
              <w:t>GS_Project_CF; LA_Project_CF</w:t>
            </w:r>
          </w:p>
        </w:tc>
      </w:tr>
      <w:tr>
        <w:trPr>
          <w:cantSplit/>
        </w:trPr>
        <w:tc>
          <w:tcPr>
            <w:tcW w:type="dxa" w:w="4252"/>
          </w:tcPr>
          <w:p>
            <w:pPr>
              <w:spacing w:after="0" w:line="240" w:lineRule="auto"/>
            </w:pPr>
            <w:r/>
            <w:r>
              <w:rPr>
                <w:sz w:val="19"/>
              </w:rPr>
              <w:t>Peak shortage (EGP m), GS / LA</w:t>
            </w:r>
          </w:p>
        </w:tc>
        <w:tc>
          <w:tcPr>
            <w:tcW w:type="dxa" w:w="2268"/>
          </w:tcPr>
          <w:p>
            <w:pPr>
              <w:spacing w:after="0" w:line="240" w:lineRule="auto"/>
              <w:jc w:val="right"/>
            </w:pPr>
            <w:r/>
            <w:r>
              <w:rPr>
                <w:sz w:val="19"/>
              </w:rPr>
              <w:t>102.5 / 102.0</w:t>
            </w:r>
          </w:p>
        </w:tc>
        <w:tc>
          <w:tcPr>
            <w:tcW w:type="dxa" w:w="2721"/>
          </w:tcPr>
          <w:p>
            <w:pPr>
              <w:spacing w:after="0" w:line="240" w:lineRule="auto"/>
              <w:jc w:val="right"/>
            </w:pPr>
            <w:r/>
            <w:r>
              <w:rPr>
                <w:sz w:val="19"/>
              </w:rPr>
              <w:t>GS_Sources_Uses; LA_Sources_Uses</w:t>
            </w:r>
          </w:p>
        </w:tc>
      </w:tr>
      <w:tr>
        <w:trPr>
          <w:cantSplit/>
        </w:trPr>
        <w:tc>
          <w:tcPr>
            <w:tcW w:type="dxa" w:w="4252"/>
            <w:shd w:val="clear" w:color="auto" w:fill="F2F4F7"/>
          </w:tcPr>
          <w:p>
            <w:pPr>
              <w:spacing w:after="0" w:line="240" w:lineRule="auto"/>
            </w:pPr>
            <w:r/>
            <w:r>
              <w:rPr>
                <w:sz w:val="19"/>
              </w:rPr>
              <w:t>Combined lowest position, base (EGP m)</w:t>
            </w:r>
          </w:p>
        </w:tc>
        <w:tc>
          <w:tcPr>
            <w:tcW w:type="dxa" w:w="2268"/>
            <w:shd w:val="clear" w:color="auto" w:fill="F2F4F7"/>
          </w:tcPr>
          <w:p>
            <w:pPr>
              <w:spacing w:after="0" w:line="240" w:lineRule="auto"/>
              <w:jc w:val="right"/>
            </w:pPr>
            <w:r/>
            <w:r>
              <w:rPr>
                <w:sz w:val="19"/>
              </w:rPr>
              <w:t>-168.0</w:t>
            </w:r>
          </w:p>
        </w:tc>
        <w:tc>
          <w:tcPr>
            <w:tcW w:type="dxa" w:w="2721"/>
            <w:shd w:val="clear" w:color="auto" w:fill="F2F4F7"/>
          </w:tcPr>
          <w:p>
            <w:pPr>
              <w:spacing w:after="0" w:line="240" w:lineRule="auto"/>
              <w:jc w:val="right"/>
            </w:pPr>
            <w:r/>
            <w:r>
              <w:rPr>
                <w:sz w:val="19"/>
              </w:rPr>
              <w:t>Combined_Position</w:t>
            </w:r>
          </w:p>
        </w:tc>
      </w:tr>
      <w:tr>
        <w:trPr>
          <w:cantSplit/>
        </w:trPr>
        <w:tc>
          <w:tcPr>
            <w:tcW w:type="dxa" w:w="4252"/>
          </w:tcPr>
          <w:p>
            <w:pPr>
              <w:spacing w:after="0" w:line="240" w:lineRule="auto"/>
            </w:pPr>
            <w:r/>
            <w:r>
              <w:rPr>
                <w:sz w:val="19"/>
              </w:rPr>
              <w:t>Option A investor IRR / MOIC (combined)</w:t>
            </w:r>
          </w:p>
        </w:tc>
        <w:tc>
          <w:tcPr>
            <w:tcW w:type="dxa" w:w="2268"/>
          </w:tcPr>
          <w:p>
            <w:pPr>
              <w:spacing w:after="0" w:line="240" w:lineRule="auto"/>
              <w:jc w:val="right"/>
            </w:pPr>
            <w:r/>
            <w:r>
              <w:rPr>
                <w:sz w:val="19"/>
              </w:rPr>
              <w:t>27.7% / 2.83x</w:t>
            </w:r>
          </w:p>
        </w:tc>
        <w:tc>
          <w:tcPr>
            <w:tcW w:type="dxa" w:w="2721"/>
          </w:tcPr>
          <w:p>
            <w:pPr>
              <w:spacing w:after="0" w:line="240" w:lineRule="auto"/>
              <w:jc w:val="right"/>
            </w:pPr>
            <w:r/>
            <w:r>
              <w:rPr>
                <w:sz w:val="19"/>
              </w:rPr>
              <w:t>Combined_Summary</w:t>
            </w:r>
          </w:p>
        </w:tc>
      </w:tr>
      <w:tr>
        <w:trPr>
          <w:cantSplit/>
        </w:trPr>
        <w:tc>
          <w:tcPr>
            <w:tcW w:type="dxa" w:w="4252"/>
            <w:shd w:val="clear" w:color="auto" w:fill="F2F4F7"/>
          </w:tcPr>
          <w:p>
            <w:pPr>
              <w:spacing w:after="0" w:line="240" w:lineRule="auto"/>
            </w:pPr>
            <w:r/>
            <w:r>
              <w:rPr>
                <w:sz w:val="19"/>
              </w:rPr>
              <w:t>Option A Jalour cost of capital (combined)</w:t>
            </w:r>
          </w:p>
        </w:tc>
        <w:tc>
          <w:tcPr>
            <w:tcW w:type="dxa" w:w="2268"/>
            <w:shd w:val="clear" w:color="auto" w:fill="F2F4F7"/>
          </w:tcPr>
          <w:p>
            <w:pPr>
              <w:spacing w:after="0" w:line="240" w:lineRule="auto"/>
              <w:jc w:val="right"/>
            </w:pPr>
            <w:r/>
            <w:r>
              <w:rPr>
                <w:sz w:val="19"/>
              </w:rPr>
              <w:t>21.6%</w:t>
            </w:r>
          </w:p>
        </w:tc>
        <w:tc>
          <w:tcPr>
            <w:tcW w:type="dxa" w:w="2721"/>
            <w:shd w:val="clear" w:color="auto" w:fill="F2F4F7"/>
          </w:tcPr>
          <w:p>
            <w:pPr>
              <w:spacing w:after="0" w:line="240" w:lineRule="auto"/>
              <w:jc w:val="right"/>
            </w:pPr>
            <w:r/>
            <w:r>
              <w:rPr>
                <w:sz w:val="19"/>
              </w:rPr>
              <w:t>Combined_Summary</w:t>
            </w:r>
          </w:p>
        </w:tc>
      </w:tr>
      <w:tr>
        <w:trPr>
          <w:cantSplit/>
        </w:trPr>
        <w:tc>
          <w:tcPr>
            <w:tcW w:type="dxa" w:w="4252"/>
          </w:tcPr>
          <w:p>
            <w:pPr>
              <w:spacing w:after="0" w:line="240" w:lineRule="auto"/>
            </w:pPr>
            <w:r/>
            <w:r>
              <w:rPr>
                <w:sz w:val="19"/>
              </w:rPr>
              <w:t>Option B investor IRR / MOIC (combined)</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Combined_Summary</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-43.0</w:t>
            </w:r>
          </w:p>
        </w:tc>
        <w:tc>
          <w:tcPr>
            <w:tcW w:type="dxa" w:w="2721"/>
            <w:shd w:val="clear" w:color="auto" w:fill="F2F4F7"/>
          </w:tcPr>
          <w:p>
            <w:pPr>
              <w:spacing w:after="0" w:line="240" w:lineRule="auto"/>
              <w:jc w:val="right"/>
            </w:pPr>
            <w:r/>
            <w:r>
              <w:rPr>
                <w:sz w:val="19"/>
              </w:rPr>
              <w:t>Combined_Summary</w:t>
            </w:r>
          </w:p>
        </w:tc>
      </w:tr>
    </w:tbl>
    <w:p>
      <w:pPr>
        <w:spacing w:after="80"/>
      </w:pPr>
    </w:p>
    <w:p>
      <w:pPr>
        <w:pStyle w:val="Heading2"/>
      </w:pPr>
      <w:r>
        <w:t>Appendix C: Financial Annex contents</w:t>
      </w:r>
    </w:p>
    <w:p>
      <w:r>
        <w:rPr>
          <w:b w:val="0"/>
          <w:i w:val="0"/>
        </w:rPr>
        <w:t>Cover, Combined_Summary, Combined_Position, Combined_Reconciliation, and for each project (prefixes GS_ and LA_) Summary, Inputs, Source_Data, Project_CF, Sources_Uses, Option_A, Option_B, Scenarios, Sensitivity and Reconciliation. Inputs are in blue; every calculation is a formula.</w:t>
      </w:r>
    </w:p>
    <w:p>
      <w:pPr>
        <w:pStyle w:val="Heading2"/>
      </w:pPr>
      <w:r>
        <w:t>Appendix D: Market sources</w:t>
      </w:r>
    </w:p>
    <w:p>
      <w:pPr>
        <w:keepNext/>
        <w:spacing w:after="60"/>
      </w:pPr>
      <w:r>
        <w:rPr>
          <w:b/>
          <w:color w:val="17324D"/>
          <w:sz w:val="19"/>
        </w:rPr>
        <w:t>Table 38: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and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and L'avenir - Investment Memorandum (EGP 125 million combined)</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