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100 million (USD 2.1 million at EGP 48 per USD)</w:t>
      </w:r>
    </w:p>
    <w:p>
      <w:pPr>
        <w:spacing w:after="720"/>
      </w:pPr>
      <w:r>
        <w:rPr>
          <w:b w:val="0"/>
          <w:i w:val="0"/>
          <w:sz w:val="24"/>
        </w:rPr>
        <w:t>Option A: units. Option B: cash.</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100 million from a single investor to part-fund Green Square, a 13,023 m2 commercial and office development of G+2 buildings on a 14,470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800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200 million, twice the ticket, priced at the launch list (retail EGP 225,000 per m2, offices EGP 135,000 per m2), allocated from the first two sales tranches. At the model's delivery list prices the units are worth EGP 287 million. Projected investor IRR: 26.4% base, 18.6% downside, 29.2% upside.</w:t>
      </w:r>
    </w:p>
    <w:p>
      <w:pPr>
        <w:pStyle w:val="ListBullet"/>
        <w:spacing w:after="60"/>
      </w:pPr>
      <w:r>
        <w:rPr>
          <w:b/>
          <w:i w:val="0"/>
        </w:rPr>
        <w:t>Option B, cash.</w:t>
      </w:r>
      <w:r>
        <w:rPr>
          <w:b w:val="0"/>
          <w:i w:val="0"/>
        </w:rPr>
        <w:t xml:space="preserve"> EGP 230 million (2.3x the ticket) in 12 equal quarterly instalments of EGP 19.17 million after a 24-month grace period, from month 30 to month 63.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100.0</w:t>
            </w:r>
          </w:p>
        </w:tc>
      </w:tr>
      <w:tr>
        <w:trPr>
          <w:cantSplit/>
        </w:trPr>
        <w:tc>
          <w:tcPr>
            <w:tcW w:type="dxa" w:w="6236"/>
            <w:shd w:val="clear" w:color="auto" w:fill="F2F4F7"/>
          </w:tcPr>
          <w:p>
            <w:pPr>
              <w:spacing w:after="0" w:line="240" w:lineRule="auto"/>
            </w:pPr>
            <w:r/>
            <w:r>
              <w:rPr>
                <w:sz w:val="19"/>
              </w:rPr>
              <w:t>Modelled peak cumulative cash shortage (month 6)</w:t>
            </w:r>
          </w:p>
        </w:tc>
        <w:tc>
          <w:tcPr>
            <w:tcW w:type="dxa" w:w="3005"/>
            <w:shd w:val="clear" w:color="auto" w:fill="F2F4F7"/>
          </w:tcPr>
          <w:p>
            <w:pPr>
              <w:spacing w:after="0" w:line="240" w:lineRule="auto"/>
              <w:jc w:val="right"/>
            </w:pPr>
            <w:r/>
            <w:r>
              <w:rPr>
                <w:sz w:val="19"/>
              </w:rPr>
              <w:t>102.5</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113.0</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2,253</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375.4</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215.3</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48</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200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230</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225,000 to 300,000 per m2 for retail (+33%) and from 135,000 to 200,000 for offices (+48%)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269 million instead of EGP 102.5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39 to 48, inside the payout window), so quarter-by-quarter coverage of instalments is below 1.5x in 9 of 12 quarters. Pooled cash including the ticket covers every instalment at least 3.0x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100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3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13,023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800 million over six years) is payable even if sales are slow.</w:t>
            </w:r>
          </w:p>
        </w:tc>
      </w:tr>
      <w:tr>
        <w:trPr>
          <w:cantSplit/>
        </w:trPr>
        <w:tc>
          <w:tcPr>
            <w:tcW w:type="dxa" w:w="4706"/>
          </w:tcPr>
          <w:p>
            <w:pPr>
              <w:spacing w:after="0" w:line="240" w:lineRule="auto"/>
            </w:pPr>
            <w:r/>
            <w:r>
              <w:rPr>
                <w:sz w:val="19"/>
              </w:rPr>
              <w:t>Sales begin at a launch list of EGP 225,000 (retail) and 135,000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102.5 million in the base case and the project generates EGP 375 million of net cash flow before the value of retained units.</w:t>
            </w:r>
          </w:p>
        </w:tc>
        <w:tc>
          <w:tcPr>
            <w:tcW w:type="dxa" w:w="4535"/>
            <w:shd w:val="clear" w:color="auto" w:fill="F2F4F7"/>
          </w:tcPr>
          <w:p>
            <w:pPr>
              <w:spacing w:after="0" w:line="240" w:lineRule="auto"/>
            </w:pPr>
            <w:r/>
            <w:r>
              <w:rPr>
                <w:sz w:val="19"/>
              </w:rPr>
              <w:t>Funding peak is EGP 269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135,000</w:t>
            </w:r>
          </w:p>
        </w:tc>
        <w:tc>
          <w:tcPr>
            <w:tcW w:type="dxa" w:w="1417"/>
          </w:tcPr>
          <w:p>
            <w:pPr>
              <w:spacing w:after="0" w:line="240" w:lineRule="auto"/>
              <w:jc w:val="right"/>
            </w:pPr>
            <w:r/>
            <w:r>
              <w:rPr>
                <w:sz w:val="18"/>
              </w:rPr>
              <w:t>200,000</w:t>
            </w:r>
          </w:p>
        </w:tc>
        <w:tc>
          <w:tcPr>
            <w:tcW w:type="dxa" w:w="1417"/>
          </w:tcPr>
          <w:p>
            <w:pPr>
              <w:spacing w:after="0" w:line="240" w:lineRule="auto"/>
              <w:jc w:val="right"/>
            </w:pPr>
            <w:r/>
            <w:r>
              <w:rPr>
                <w:sz w:val="18"/>
              </w:rPr>
              <w:t>163,125</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225,000</w:t>
            </w:r>
          </w:p>
        </w:tc>
        <w:tc>
          <w:tcPr>
            <w:tcW w:type="dxa" w:w="1417"/>
            <w:shd w:val="clear" w:color="auto" w:fill="F2F4F7"/>
          </w:tcPr>
          <w:p>
            <w:pPr>
              <w:spacing w:after="0" w:line="240" w:lineRule="auto"/>
              <w:jc w:val="right"/>
            </w:pPr>
            <w:r/>
            <w:r>
              <w:rPr>
                <w:sz w:val="18"/>
              </w:rPr>
              <w:t>300,000</w:t>
            </w:r>
          </w:p>
        </w:tc>
        <w:tc>
          <w:tcPr>
            <w:tcW w:type="dxa" w:w="1417"/>
            <w:shd w:val="clear" w:color="auto" w:fill="F2F4F7"/>
          </w:tcPr>
          <w:p>
            <w:pPr>
              <w:spacing w:after="0" w:line="240" w:lineRule="auto"/>
              <w:jc w:val="right"/>
            </w:pPr>
            <w:r/>
            <w:r>
              <w:rPr>
                <w:sz w:val="18"/>
              </w:rPr>
              <w:t>268,125</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135,000</w:t>
            </w:r>
          </w:p>
        </w:tc>
        <w:tc>
          <w:tcPr>
            <w:tcW w:type="dxa" w:w="964"/>
          </w:tcPr>
          <w:p>
            <w:pPr>
              <w:spacing w:after="0" w:line="240" w:lineRule="auto"/>
              <w:jc w:val="right"/>
            </w:pPr>
            <w:r/>
            <w:r>
              <w:rPr>
                <w:sz w:val="16"/>
              </w:rPr>
              <w:t>163,125</w:t>
            </w:r>
          </w:p>
        </w:tc>
        <w:tc>
          <w:tcPr>
            <w:tcW w:type="dxa" w:w="907"/>
          </w:tcPr>
          <w:p>
            <w:pPr>
              <w:spacing w:after="0" w:line="240" w:lineRule="auto"/>
              <w:jc w:val="right"/>
            </w:pPr>
            <w:r/>
            <w:r>
              <w:rPr>
                <w:sz w:val="16"/>
              </w:rPr>
              <w:t>200,000</w:t>
            </w:r>
          </w:p>
        </w:tc>
        <w:tc>
          <w:tcPr>
            <w:tcW w:type="dxa" w:w="964"/>
          </w:tcPr>
          <w:p>
            <w:pPr>
              <w:spacing w:after="0" w:line="240" w:lineRule="auto"/>
              <w:jc w:val="right"/>
            </w:pPr>
            <w:r/>
            <w:r>
              <w:rPr>
                <w:sz w:val="16"/>
              </w:rPr>
              <w:t>+48%</w:t>
            </w:r>
          </w:p>
        </w:tc>
        <w:tc>
          <w:tcPr>
            <w:tcW w:type="dxa" w:w="964"/>
          </w:tcPr>
          <w:p>
            <w:pPr>
              <w:spacing w:after="0" w:line="240" w:lineRule="auto"/>
              <w:jc w:val="right"/>
            </w:pPr>
            <w:r/>
            <w:r>
              <w:rPr>
                <w:sz w:val="16"/>
              </w:rPr>
              <w:t>+21%</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+77% (mid-point 113,000)</w:t>
            </w:r>
          </w:p>
        </w:tc>
        <w:tc>
          <w:tcPr>
            <w:tcW w:type="dxa" w:w="907"/>
          </w:tcPr>
          <w:p>
            <w:pPr>
              <w:spacing w:after="0" w:line="240" w:lineRule="auto"/>
              <w:jc w:val="right"/>
            </w:pPr>
            <w:r/>
            <w:r>
              <w:rPr>
                <w:sz w:val="16"/>
              </w:rPr>
              <w:t>14.7%</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225,000</w:t>
            </w:r>
          </w:p>
        </w:tc>
        <w:tc>
          <w:tcPr>
            <w:tcW w:type="dxa" w:w="964"/>
            <w:shd w:val="clear" w:color="auto" w:fill="F2F4F7"/>
          </w:tcPr>
          <w:p>
            <w:pPr>
              <w:spacing w:after="0" w:line="240" w:lineRule="auto"/>
              <w:jc w:val="right"/>
            </w:pPr>
            <w:r/>
            <w:r>
              <w:rPr>
                <w:sz w:val="16"/>
              </w:rPr>
              <w:t>268,125</w:t>
            </w:r>
          </w:p>
        </w:tc>
        <w:tc>
          <w:tcPr>
            <w:tcW w:type="dxa" w:w="907"/>
            <w:shd w:val="clear" w:color="auto" w:fill="F2F4F7"/>
          </w:tcPr>
          <w:p>
            <w:pPr>
              <w:spacing w:after="0" w:line="240" w:lineRule="auto"/>
              <w:jc w:val="right"/>
            </w:pPr>
            <w:r/>
            <w:r>
              <w:rPr>
                <w:sz w:val="16"/>
              </w:rPr>
              <w:t>300,000</w:t>
            </w:r>
          </w:p>
        </w:tc>
        <w:tc>
          <w:tcPr>
            <w:tcW w:type="dxa" w:w="964"/>
            <w:shd w:val="clear" w:color="auto" w:fill="F2F4F7"/>
          </w:tcPr>
          <w:p>
            <w:pPr>
              <w:spacing w:after="0" w:line="240" w:lineRule="auto"/>
              <w:jc w:val="right"/>
            </w:pPr>
            <w:r/>
            <w:r>
              <w:rPr>
                <w:sz w:val="16"/>
              </w:rPr>
              <w:t>+33%</w:t>
            </w:r>
          </w:p>
        </w:tc>
        <w:tc>
          <w:tcPr>
            <w:tcW w:type="dxa" w:w="964"/>
            <w:shd w:val="clear" w:color="auto" w:fill="F2F4F7"/>
          </w:tcPr>
          <w:p>
            <w:pPr>
              <w:spacing w:after="0" w:line="240" w:lineRule="auto"/>
              <w:jc w:val="right"/>
            </w:pPr>
            <w:r/>
            <w:r>
              <w:rPr>
                <w:sz w:val="16"/>
              </w:rPr>
              <w:t>+19%</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48). Measured from launch it is +33% for retail and +48% for offices (43% weighted by the launch tranches), against the 40% to 60% range Jalour expects. Measured from today's office asking prices, the delivery list is +77%, or about 15% a year over 4.2 years if the model timeline starts in December 2026.</w:t>
      </w:r>
    </w:p>
    <w:p>
      <w:r>
        <w:rPr>
          <w:b w:val="0"/>
          <w:i w:val="0"/>
        </w:rPr>
        <w:t>The plan's launch price for offices (135,000) is above current Mostakbal City asking prices, and it then rises by 48%.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14,470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8,682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13,023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7</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13 to 48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48</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10,129 m2, which is larger than the 8,682 m2 of office built-up area. The area schedule that reconciles the two is provided after the investor signs a non-disclosure agreement; the investor should require it in due diligence.</w:t>
      </w:r>
    </w:p>
    <w:p>
      <w:r>
        <w:rPr>
          <w:b w:val="0"/>
          <w:i w:val="0"/>
        </w:rPr>
        <w:t>Phasing: sales launch in project month 7, construction starts in month 13 and runs 36 months to handover in month 48.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800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80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48</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80</w:t>
            </w:r>
          </w:p>
        </w:tc>
        <w:tc>
          <w:tcPr>
            <w:tcW w:type="dxa" w:w="850"/>
          </w:tcPr>
          <w:p>
            <w:pPr>
              <w:spacing w:after="0" w:line="240" w:lineRule="auto"/>
              <w:jc w:val="right"/>
            </w:pPr>
            <w:r/>
            <w:r>
              <w:rPr>
                <w:sz w:val="18"/>
              </w:rPr>
              <w:t>45</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135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800</w:t>
            </w:r>
          </w:p>
        </w:tc>
      </w:tr>
    </w:tbl>
    <w:p>
      <w:pPr>
        <w:spacing w:after="80"/>
      </w:pPr>
    </w:p>
    <w:p>
      <w:r>
        <w:rPr>
          <w:b w:val="0"/>
          <w:i w:val="0"/>
        </w:rPr>
        <w:t>In the plan the landlord receives EGP 986 million in total, equal to 35% of the value of all units at modelled prices, including the 20% retained by Jalour. EGP 186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7 to 36</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225,000; offices 135,000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300,000; offices 200,000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3</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11: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97.7</w:t>
            </w:r>
          </w:p>
        </w:tc>
        <w:tc>
          <w:tcPr>
            <w:tcW w:type="dxa" w:w="1814"/>
          </w:tcPr>
          <w:p>
            <w:pPr>
              <w:spacing w:after="0" w:line="240" w:lineRule="auto"/>
              <w:jc w:val="right"/>
            </w:pPr>
            <w:r/>
            <w:r>
              <w:rPr>
                <w:sz w:val="18"/>
              </w:rPr>
              <w:t>205.1</w:t>
            </w:r>
          </w:p>
        </w:tc>
        <w:tc>
          <w:tcPr>
            <w:tcW w:type="dxa" w:w="1928"/>
          </w:tcPr>
          <w:p>
            <w:pPr>
              <w:spacing w:after="0" w:line="240" w:lineRule="auto"/>
              <w:jc w:val="right"/>
            </w:pPr>
            <w:r/>
            <w:r>
              <w:rPr>
                <w:sz w:val="18"/>
              </w:rPr>
              <w:t>225</w:t>
            </w:r>
          </w:p>
        </w:tc>
        <w:tc>
          <w:tcPr>
            <w:tcW w:type="dxa" w:w="1871"/>
          </w:tcPr>
          <w:p>
            <w:pPr>
              <w:spacing w:after="0" w:line="240" w:lineRule="auto"/>
              <w:jc w:val="right"/>
            </w:pPr>
            <w:r/>
            <w:r>
              <w:rPr>
                <w:sz w:val="18"/>
              </w:rPr>
              <w:t>135</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97.7</w:t>
            </w:r>
          </w:p>
        </w:tc>
        <w:tc>
          <w:tcPr>
            <w:tcW w:type="dxa" w:w="1814"/>
            <w:shd w:val="clear" w:color="auto" w:fill="F2F4F7"/>
          </w:tcPr>
          <w:p>
            <w:pPr>
              <w:spacing w:after="0" w:line="240" w:lineRule="auto"/>
              <w:jc w:val="right"/>
            </w:pPr>
            <w:r/>
            <w:r>
              <w:rPr>
                <w:sz w:val="18"/>
              </w:rPr>
              <w:t>205.1</w:t>
            </w:r>
          </w:p>
        </w:tc>
        <w:tc>
          <w:tcPr>
            <w:tcW w:type="dxa" w:w="1928"/>
            <w:shd w:val="clear" w:color="auto" w:fill="F2F4F7"/>
          </w:tcPr>
          <w:p>
            <w:pPr>
              <w:spacing w:after="0" w:line="240" w:lineRule="auto"/>
              <w:jc w:val="right"/>
            </w:pPr>
            <w:r/>
            <w:r>
              <w:rPr>
                <w:sz w:val="18"/>
              </w:rPr>
              <w:t>225</w:t>
            </w:r>
          </w:p>
        </w:tc>
        <w:tc>
          <w:tcPr>
            <w:tcW w:type="dxa" w:w="1871"/>
            <w:shd w:val="clear" w:color="auto" w:fill="F2F4F7"/>
          </w:tcPr>
          <w:p>
            <w:pPr>
              <w:spacing w:after="0" w:line="240" w:lineRule="auto"/>
              <w:jc w:val="right"/>
            </w:pPr>
            <w:r/>
            <w:r>
              <w:rPr>
                <w:sz w:val="18"/>
              </w:rPr>
              <w:t>135</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76.0</w:t>
            </w:r>
          </w:p>
        </w:tc>
        <w:tc>
          <w:tcPr>
            <w:tcW w:type="dxa" w:w="1814"/>
          </w:tcPr>
          <w:p>
            <w:pPr>
              <w:spacing w:after="0" w:line="240" w:lineRule="auto"/>
              <w:jc w:val="right"/>
            </w:pPr>
            <w:r/>
            <w:r>
              <w:rPr>
                <w:sz w:val="18"/>
              </w:rPr>
              <w:t>162.1</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76.0</w:t>
            </w:r>
          </w:p>
        </w:tc>
        <w:tc>
          <w:tcPr>
            <w:tcW w:type="dxa" w:w="1814"/>
            <w:shd w:val="clear" w:color="auto" w:fill="F2F4F7"/>
          </w:tcPr>
          <w:p>
            <w:pPr>
              <w:spacing w:after="0" w:line="240" w:lineRule="auto"/>
              <w:jc w:val="right"/>
            </w:pPr>
            <w:r/>
            <w:r>
              <w:rPr>
                <w:sz w:val="18"/>
              </w:rPr>
              <w:t>162.1</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83.6</w:t>
            </w:r>
          </w:p>
        </w:tc>
        <w:tc>
          <w:tcPr>
            <w:tcW w:type="dxa" w:w="1814"/>
          </w:tcPr>
          <w:p>
            <w:pPr>
              <w:spacing w:after="0" w:line="240" w:lineRule="auto"/>
              <w:jc w:val="right"/>
            </w:pPr>
            <w:r/>
            <w:r>
              <w:rPr>
                <w:sz w:val="18"/>
              </w:rPr>
              <w:t>91.2</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83.6</w:t>
            </w:r>
          </w:p>
        </w:tc>
        <w:tc>
          <w:tcPr>
            <w:tcW w:type="dxa" w:w="1814"/>
            <w:shd w:val="clear" w:color="auto" w:fill="F2F4F7"/>
          </w:tcPr>
          <w:p>
            <w:pPr>
              <w:spacing w:after="0" w:line="240" w:lineRule="auto"/>
              <w:jc w:val="right"/>
            </w:pPr>
            <w:r/>
            <w:r>
              <w:rPr>
                <w:sz w:val="18"/>
              </w:rPr>
              <w:t>91.2</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91.2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130.2</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130.2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65.1</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931.1</w:t>
            </w:r>
          </w:p>
        </w:tc>
        <w:tc>
          <w:tcPr>
            <w:tcW w:type="dxa" w:w="1814"/>
          </w:tcPr>
          <w:p>
            <w:pPr>
              <w:spacing w:after="0" w:line="240" w:lineRule="auto"/>
              <w:jc w:val="right"/>
            </w:pPr>
            <w:r/>
            <w:r>
              <w:rPr>
                <w:b/>
                <w:sz w:val="18"/>
              </w:rPr>
              <w:t>1,321.8</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2,816 million at modelled prices; the plan sells 80%, EGP 2,253 million. The first two tranches (months 9 and 12) carry the launch list and total EGP 606 million; Option A units come from these.</w:t>
      </w:r>
    </w:p>
    <w:p>
      <w:pPr>
        <w:keepNext/>
        <w:spacing w:after="60"/>
      </w:pPr>
      <w:r>
        <w:rPr>
          <w:b/>
          <w:color w:val="17324D"/>
          <w:sz w:val="19"/>
        </w:rPr>
        <w:t>Table 12: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45.4</w:t>
            </w:r>
          </w:p>
        </w:tc>
        <w:tc>
          <w:tcPr>
            <w:tcW w:type="dxa" w:w="1644"/>
          </w:tcPr>
          <w:p>
            <w:pPr>
              <w:spacing w:after="0" w:line="240" w:lineRule="auto"/>
              <w:jc w:val="right"/>
            </w:pPr>
            <w:r/>
            <w:r>
              <w:rPr>
                <w:sz w:val="18"/>
              </w:rPr>
              <w:t>-125.0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-79.6</w:t>
            </w:r>
          </w:p>
        </w:tc>
        <w:tc>
          <w:tcPr>
            <w:tcW w:type="dxa" w:w="1361"/>
          </w:tcPr>
          <w:p>
            <w:pPr>
              <w:spacing w:after="0" w:line="240" w:lineRule="auto"/>
              <w:jc w:val="right"/>
            </w:pPr>
            <w:r/>
            <w:r>
              <w:rPr>
                <w:sz w:val="18"/>
              </w:rPr>
              <w:t>-79.6</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235.1</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-153.9</w:t>
            </w:r>
          </w:p>
        </w:tc>
        <w:tc>
          <w:tcPr>
            <w:tcW w:type="dxa" w:w="1417"/>
            <w:shd w:val="clear" w:color="auto" w:fill="F2F4F7"/>
          </w:tcPr>
          <w:p>
            <w:pPr>
              <w:spacing w:after="0" w:line="240" w:lineRule="auto"/>
              <w:jc w:val="right"/>
            </w:pPr>
            <w:r/>
            <w:r>
              <w:rPr>
                <w:sz w:val="18"/>
              </w:rPr>
              <w:t>-8.8</w:t>
            </w:r>
          </w:p>
        </w:tc>
        <w:tc>
          <w:tcPr>
            <w:tcW w:type="dxa" w:w="1361"/>
            <w:shd w:val="clear" w:color="auto" w:fill="F2F4F7"/>
          </w:tcPr>
          <w:p>
            <w:pPr>
              <w:spacing w:after="0" w:line="240" w:lineRule="auto"/>
              <w:jc w:val="right"/>
            </w:pPr>
            <w:r/>
            <w:r>
              <w:rPr>
                <w:sz w:val="18"/>
              </w:rPr>
              <w:t>-88.4</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937.7</w:t>
            </w:r>
          </w:p>
        </w:tc>
        <w:tc>
          <w:tcPr>
            <w:tcW w:type="dxa" w:w="1644"/>
          </w:tcPr>
          <w:p>
            <w:pPr>
              <w:spacing w:after="0" w:line="240" w:lineRule="auto"/>
              <w:jc w:val="right"/>
            </w:pPr>
            <w:r/>
            <w:r>
              <w:rPr>
                <w:sz w:val="18"/>
              </w:rPr>
              <w:t>-135.0</w:t>
            </w:r>
          </w:p>
        </w:tc>
        <w:tc>
          <w:tcPr>
            <w:tcW w:type="dxa" w:w="2041"/>
          </w:tcPr>
          <w:p>
            <w:pPr>
              <w:spacing w:after="0" w:line="240" w:lineRule="auto"/>
              <w:jc w:val="right"/>
            </w:pPr>
            <w:r/>
            <w:r>
              <w:rPr>
                <w:sz w:val="18"/>
              </w:rPr>
              <w:t>-105.9</w:t>
            </w:r>
          </w:p>
        </w:tc>
        <w:tc>
          <w:tcPr>
            <w:tcW w:type="dxa" w:w="1417"/>
          </w:tcPr>
          <w:p>
            <w:pPr>
              <w:spacing w:after="0" w:line="240" w:lineRule="auto"/>
              <w:jc w:val="right"/>
            </w:pPr>
            <w:r/>
            <w:r>
              <w:rPr>
                <w:sz w:val="18"/>
              </w:rPr>
              <w:t>696.8</w:t>
            </w:r>
          </w:p>
        </w:tc>
        <w:tc>
          <w:tcPr>
            <w:tcW w:type="dxa" w:w="1361"/>
          </w:tcPr>
          <w:p>
            <w:pPr>
              <w:spacing w:after="0" w:line="240" w:lineRule="auto"/>
              <w:jc w:val="right"/>
            </w:pPr>
            <w:r/>
            <w:r>
              <w:rPr>
                <w:sz w:val="18"/>
              </w:rPr>
              <w:t>608.4</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308.0</w:t>
            </w:r>
          </w:p>
        </w:tc>
        <w:tc>
          <w:tcPr>
            <w:tcW w:type="dxa" w:w="1644"/>
            <w:shd w:val="clear" w:color="auto" w:fill="F2F4F7"/>
          </w:tcPr>
          <w:p>
            <w:pPr>
              <w:spacing w:after="0" w:line="240" w:lineRule="auto"/>
              <w:jc w:val="right"/>
            </w:pPr>
            <w:r/>
            <w:r>
              <w:rPr>
                <w:sz w:val="18"/>
              </w:rPr>
              <w:t>-180.0</w:t>
            </w:r>
          </w:p>
        </w:tc>
        <w:tc>
          <w:tcPr>
            <w:tcW w:type="dxa" w:w="2041"/>
            <w:shd w:val="clear" w:color="auto" w:fill="F2F4F7"/>
          </w:tcPr>
          <w:p>
            <w:pPr>
              <w:spacing w:after="0" w:line="240" w:lineRule="auto"/>
              <w:jc w:val="right"/>
            </w:pPr>
            <w:r/>
            <w:r>
              <w:rPr>
                <w:sz w:val="18"/>
              </w:rPr>
              <w:t>-632.0</w:t>
            </w:r>
          </w:p>
        </w:tc>
        <w:tc>
          <w:tcPr>
            <w:tcW w:type="dxa" w:w="1417"/>
            <w:shd w:val="clear" w:color="auto" w:fill="F2F4F7"/>
          </w:tcPr>
          <w:p>
            <w:pPr>
              <w:spacing w:after="0" w:line="240" w:lineRule="auto"/>
              <w:jc w:val="right"/>
            </w:pPr>
            <w:r/>
            <w:r>
              <w:rPr>
                <w:sz w:val="18"/>
              </w:rPr>
              <w:t>-504.1</w:t>
            </w:r>
          </w:p>
        </w:tc>
        <w:tc>
          <w:tcPr>
            <w:tcW w:type="dxa" w:w="1361"/>
            <w:shd w:val="clear" w:color="auto" w:fill="F2F4F7"/>
          </w:tcPr>
          <w:p>
            <w:pPr>
              <w:spacing w:after="0" w:line="240" w:lineRule="auto"/>
              <w:jc w:val="right"/>
            </w:pPr>
            <w:r/>
            <w:r>
              <w:rPr>
                <w:sz w:val="18"/>
              </w:rPr>
              <w:t>104.3</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224.0</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44.0</w:t>
            </w:r>
          </w:p>
        </w:tc>
        <w:tc>
          <w:tcPr>
            <w:tcW w:type="dxa" w:w="1361"/>
          </w:tcPr>
          <w:p>
            <w:pPr>
              <w:spacing w:after="0" w:line="240" w:lineRule="auto"/>
              <w:jc w:val="right"/>
            </w:pPr>
            <w:r/>
            <w:r>
              <w:rPr>
                <w:sz w:val="18"/>
              </w:rPr>
              <w:t>148.4</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175.7</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85.7</w:t>
            </w:r>
          </w:p>
        </w:tc>
        <w:tc>
          <w:tcPr>
            <w:tcW w:type="dxa" w:w="1361"/>
            <w:shd w:val="clear" w:color="auto" w:fill="F2F4F7"/>
          </w:tcPr>
          <w:p>
            <w:pPr>
              <w:spacing w:after="0" w:line="240" w:lineRule="auto"/>
              <w:jc w:val="right"/>
            </w:pPr>
            <w:r/>
            <w:r>
              <w:rPr>
                <w:sz w:val="18"/>
              </w:rPr>
              <w:t>234.1</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123.9</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123.9</w:t>
            </w:r>
          </w:p>
        </w:tc>
        <w:tc>
          <w:tcPr>
            <w:tcW w:type="dxa" w:w="1361"/>
          </w:tcPr>
          <w:p>
            <w:pPr>
              <w:spacing w:after="0" w:line="240" w:lineRule="auto"/>
              <w:jc w:val="right"/>
            </w:pPr>
            <w:r/>
            <w:r>
              <w:rPr>
                <w:sz w:val="18"/>
              </w:rPr>
              <w:t>357.9</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100.4</w:t>
            </w:r>
          </w:p>
        </w:tc>
        <w:tc>
          <w:tcPr>
            <w:tcW w:type="dxa" w:w="1644"/>
            <w:shd w:val="clear" w:color="auto" w:fill="F2F4F7"/>
          </w:tcPr>
          <w:p>
            <w:pPr>
              <w:spacing w:after="0" w:line="240" w:lineRule="auto"/>
              <w:jc w:val="right"/>
            </w:pPr>
            <w:r/>
            <w:r>
              <w:rPr>
                <w:sz w:val="18"/>
              </w:rPr>
              <w:t>-140.7</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-40.3</w:t>
            </w:r>
          </w:p>
        </w:tc>
        <w:tc>
          <w:tcPr>
            <w:tcW w:type="dxa" w:w="1361"/>
            <w:shd w:val="clear" w:color="auto" w:fill="F2F4F7"/>
          </w:tcPr>
          <w:p>
            <w:pPr>
              <w:spacing w:after="0" w:line="240" w:lineRule="auto"/>
              <w:jc w:val="right"/>
            </w:pPr>
            <w:r/>
            <w:r>
              <w:rPr>
                <w:sz w:val="18"/>
              </w:rPr>
              <w:t>317.6</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89.6</w:t>
            </w:r>
          </w:p>
        </w:tc>
        <w:tc>
          <w:tcPr>
            <w:tcW w:type="dxa" w:w="1644"/>
          </w:tcPr>
          <w:p>
            <w:pPr>
              <w:spacing w:after="0" w:line="240" w:lineRule="auto"/>
              <w:jc w:val="right"/>
            </w:pPr>
            <w:r/>
            <w:r>
              <w:rPr>
                <w:sz w:val="18"/>
              </w:rPr>
              <w:t>-39.2</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50.4</w:t>
            </w:r>
          </w:p>
        </w:tc>
        <w:tc>
          <w:tcPr>
            <w:tcW w:type="dxa" w:w="1361"/>
          </w:tcPr>
          <w:p>
            <w:pPr>
              <w:spacing w:after="0" w:line="240" w:lineRule="auto"/>
              <w:jc w:val="right"/>
            </w:pPr>
            <w:r/>
            <w:r>
              <w:rPr>
                <w:sz w:val="18"/>
              </w:rPr>
              <w:t>368.0</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13.2</w:t>
            </w:r>
          </w:p>
        </w:tc>
        <w:tc>
          <w:tcPr>
            <w:tcW w:type="dxa" w:w="1644"/>
            <w:shd w:val="clear" w:color="auto" w:fill="F2F4F7"/>
          </w:tcPr>
          <w:p>
            <w:pPr>
              <w:spacing w:after="0" w:line="240" w:lineRule="auto"/>
              <w:jc w:val="right"/>
            </w:pPr>
            <w:r/>
            <w:r>
              <w:rPr>
                <w:sz w:val="18"/>
              </w:rPr>
              <w:t>-5.8</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7.4</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375.4</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2,253.0</w:t>
            </w:r>
          </w:p>
        </w:tc>
        <w:tc>
          <w:tcPr>
            <w:tcW w:type="dxa" w:w="1644"/>
            <w:shd w:val="clear" w:color="auto" w:fill="F2F4F7"/>
          </w:tcPr>
          <w:p>
            <w:pPr>
              <w:spacing w:after="0" w:line="240" w:lineRule="auto"/>
              <w:jc w:val="right"/>
            </w:pPr>
            <w:r/>
            <w:r>
              <w:rPr>
                <w:b/>
                <w:sz w:val="18"/>
              </w:rPr>
              <w:t>-985.7</w:t>
            </w:r>
          </w:p>
        </w:tc>
        <w:tc>
          <w:tcPr>
            <w:tcW w:type="dxa" w:w="2041"/>
            <w:shd w:val="clear" w:color="auto" w:fill="F2F4F7"/>
          </w:tcPr>
          <w:p>
            <w:pPr>
              <w:spacing w:after="0" w:line="240" w:lineRule="auto"/>
              <w:jc w:val="right"/>
            </w:pPr>
            <w:r/>
            <w:r>
              <w:rPr>
                <w:b/>
                <w:sz w:val="18"/>
              </w:rPr>
              <w:t>-891.9</w:t>
            </w:r>
          </w:p>
        </w:tc>
        <w:tc>
          <w:tcPr>
            <w:tcW w:type="dxa" w:w="1417"/>
            <w:shd w:val="clear" w:color="auto" w:fill="F2F4F7"/>
          </w:tcPr>
          <w:p>
            <w:pPr>
              <w:spacing w:after="0" w:line="240" w:lineRule="auto"/>
              <w:jc w:val="right"/>
            </w:pPr>
            <w:r/>
            <w:r>
              <w:rPr>
                <w:b/>
                <w:sz w:val="18"/>
              </w:rPr>
              <w:t>375.4</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30.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53.5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90.1</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891.9</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215 million to EGP 162 million; a 20% overrun to EGP 109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80.0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22.5</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113.0</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100.0</w:t>
            </w:r>
          </w:p>
        </w:tc>
        <w:tc>
          <w:tcPr>
            <w:tcW w:type="dxa" w:w="2098"/>
          </w:tcPr>
          <w:p>
            <w:pPr>
              <w:spacing w:after="0" w:line="240" w:lineRule="auto"/>
              <w:jc w:val="right"/>
            </w:pPr>
            <w:r/>
            <w:r>
              <w:rPr>
                <w:sz w:val="19"/>
              </w:rPr>
              <w:t>89%</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13.0</w:t>
            </w:r>
          </w:p>
        </w:tc>
        <w:tc>
          <w:tcPr>
            <w:tcW w:type="dxa" w:w="2098"/>
            <w:shd w:val="clear" w:color="auto" w:fill="F2F4F7"/>
          </w:tcPr>
          <w:p>
            <w:pPr>
              <w:spacing w:after="0" w:line="240" w:lineRule="auto"/>
              <w:jc w:val="right"/>
            </w:pPr>
            <w:r/>
            <w:r>
              <w:rPr>
                <w:sz w:val="19"/>
              </w:rPr>
              <w:t>11%</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113.0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98% of the modelled peak cumulative shortage of EGP 102.5 million (month 6).</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215</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441</w:t>
            </w:r>
          </w:p>
        </w:tc>
        <w:tc>
          <w:tcPr>
            <w:tcW w:type="dxa" w:w="1984"/>
            <w:shd w:val="clear" w:color="auto" w:fill="F2F4F7"/>
          </w:tcPr>
          <w:p>
            <w:pPr>
              <w:spacing w:after="0" w:line="240" w:lineRule="auto"/>
              <w:jc w:val="right"/>
            </w:pPr>
            <w:r/>
            <w:r>
              <w:rPr>
                <w:sz w:val="18"/>
              </w:rPr>
              <w:t>-34</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315</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102</w:t>
            </w:r>
          </w:p>
        </w:tc>
        <w:tc>
          <w:tcPr>
            <w:tcW w:type="dxa" w:w="1984"/>
            <w:shd w:val="clear" w:color="auto" w:fill="F2F4F7"/>
          </w:tcPr>
          <w:p>
            <w:pPr>
              <w:spacing w:after="0" w:line="240" w:lineRule="auto"/>
              <w:jc w:val="right"/>
            </w:pPr>
            <w:r/>
            <w:r>
              <w:rPr>
                <w:sz w:val="18"/>
              </w:rPr>
              <w:t>162</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236</w:t>
            </w:r>
          </w:p>
        </w:tc>
        <w:tc>
          <w:tcPr>
            <w:tcW w:type="dxa" w:w="1984"/>
          </w:tcPr>
          <w:p>
            <w:pPr>
              <w:spacing w:after="0" w:line="240" w:lineRule="auto"/>
              <w:jc w:val="right"/>
            </w:pPr>
            <w:r/>
            <w:r>
              <w:rPr>
                <w:sz w:val="18"/>
              </w:rPr>
              <w:t>125</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269</w:t>
            </w:r>
          </w:p>
        </w:tc>
        <w:tc>
          <w:tcPr>
            <w:tcW w:type="dxa" w:w="1984"/>
            <w:shd w:val="clear" w:color="auto" w:fill="F2F4F7"/>
          </w:tcPr>
          <w:p>
            <w:pPr>
              <w:spacing w:after="0" w:line="240" w:lineRule="auto"/>
              <w:jc w:val="right"/>
            </w:pPr>
            <w:r/>
            <w:r>
              <w:rPr>
                <w:sz w:val="18"/>
              </w:rPr>
              <w:t>155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729</w:t>
            </w:r>
          </w:p>
        </w:tc>
        <w:tc>
          <w:tcPr>
            <w:tcW w:type="dxa" w:w="1984"/>
          </w:tcPr>
          <w:p>
            <w:pPr>
              <w:spacing w:after="0" w:line="240" w:lineRule="auto"/>
              <w:jc w:val="right"/>
            </w:pPr>
            <w:r/>
            <w:r>
              <w:rPr>
                <w:sz w:val="18"/>
              </w:rPr>
              <w:t>-81</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200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9 and 12), EGP 606 million at list; the investor receives 33.0%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64.5 million (287 m2) and offices EGP 135.5 million (1,004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287 million (1.434x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70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48; resale over four quarters from month 51;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230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19.17 million in months 30 to 63</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30</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19.17</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33</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38.33</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36</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57.50</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39</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76.67</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42</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95.83</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45</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115.00</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48</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134.17</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51</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153.33</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54</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172.50</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57</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191.67</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60</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210.83</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63</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230.00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3.</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26.4%</w:t>
            </w:r>
          </w:p>
        </w:tc>
        <w:tc>
          <w:tcPr>
            <w:tcW w:type="dxa" w:w="1701"/>
          </w:tcPr>
          <w:p>
            <w:pPr>
              <w:spacing w:after="0" w:line="240" w:lineRule="auto"/>
              <w:jc w:val="right"/>
            </w:pPr>
            <w:r/>
            <w:r>
              <w:rPr>
                <w:sz w:val="19"/>
              </w:rPr>
              <w:t>2.78x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18.6%</w:t>
            </w:r>
          </w:p>
        </w:tc>
        <w:tc>
          <w:tcPr>
            <w:tcW w:type="dxa" w:w="1701"/>
            <w:shd w:val="clear" w:color="auto" w:fill="F2F4F7"/>
          </w:tcPr>
          <w:p>
            <w:pPr>
              <w:spacing w:after="0" w:line="240" w:lineRule="auto"/>
              <w:jc w:val="right"/>
            </w:pPr>
            <w:r/>
            <w:r>
              <w:rPr>
                <w:sz w:val="19"/>
              </w:rPr>
              <w:t>2.50x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3.06x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25.7%</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29.6%</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16.4%</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36% of the delivery list price before the investor loses money on the ticket. The base case relies on list prices rising by 33% (retail) and 48%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18.3%</w:t>
            </w:r>
          </w:p>
        </w:tc>
        <w:tc>
          <w:tcPr>
            <w:tcW w:type="dxa" w:w="2324"/>
          </w:tcPr>
          <w:p>
            <w:pPr>
              <w:spacing w:after="0" w:line="240" w:lineRule="auto"/>
              <w:jc w:val="right"/>
            </w:pPr>
            <w:r/>
            <w:r>
              <w:rPr>
                <w:sz w:val="19"/>
              </w:rPr>
              <w:t>2.09x</w:t>
            </w:r>
          </w:p>
        </w:tc>
        <w:tc>
          <w:tcPr>
            <w:tcW w:type="dxa" w:w="2665"/>
          </w:tcPr>
          <w:p>
            <w:pPr>
              <w:spacing w:after="0" w:line="240" w:lineRule="auto"/>
              <w:jc w:val="right"/>
            </w:pPr>
            <w:r/>
            <w:r>
              <w:rPr>
                <w:sz w:val="19"/>
              </w:rPr>
              <w:t>10.4%</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22.6%</w:t>
            </w:r>
          </w:p>
        </w:tc>
        <w:tc>
          <w:tcPr>
            <w:tcW w:type="dxa" w:w="2324"/>
            <w:shd w:val="clear" w:color="auto" w:fill="F2F4F7"/>
          </w:tcPr>
          <w:p>
            <w:pPr>
              <w:spacing w:after="0" w:line="240" w:lineRule="auto"/>
              <w:jc w:val="right"/>
            </w:pPr>
            <w:r/>
            <w:r>
              <w:rPr>
                <w:sz w:val="19"/>
              </w:rPr>
              <w:t>2.43x</w:t>
            </w:r>
          </w:p>
        </w:tc>
        <w:tc>
          <w:tcPr>
            <w:tcW w:type="dxa" w:w="2665"/>
            <w:shd w:val="clear" w:color="auto" w:fill="F2F4F7"/>
          </w:tcPr>
          <w:p>
            <w:pPr>
              <w:spacing w:after="0" w:line="240" w:lineRule="auto"/>
              <w:jc w:val="right"/>
            </w:pPr>
            <w:r/>
            <w:r>
              <w:rPr>
                <w:sz w:val="19"/>
              </w:rPr>
              <w:t>15.7%</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26.4%</w:t>
            </w:r>
          </w:p>
        </w:tc>
        <w:tc>
          <w:tcPr>
            <w:tcW w:type="dxa" w:w="2324"/>
          </w:tcPr>
          <w:p>
            <w:pPr>
              <w:spacing w:after="0" w:line="240" w:lineRule="auto"/>
              <w:jc w:val="right"/>
            </w:pPr>
            <w:r/>
            <w:r>
              <w:rPr>
                <w:sz w:val="19"/>
              </w:rPr>
              <w:t>2.78x</w:t>
            </w:r>
          </w:p>
        </w:tc>
        <w:tc>
          <w:tcPr>
            <w:tcW w:type="dxa" w:w="2665"/>
          </w:tcPr>
          <w:p>
            <w:pPr>
              <w:spacing w:after="0" w:line="240" w:lineRule="auto"/>
              <w:jc w:val="right"/>
            </w:pPr>
            <w:r/>
            <w:r>
              <w:rPr>
                <w:sz w:val="19"/>
              </w:rPr>
              <w:t>20.7%</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29.9%</w:t>
            </w:r>
          </w:p>
        </w:tc>
        <w:tc>
          <w:tcPr>
            <w:tcW w:type="dxa" w:w="2324"/>
            <w:shd w:val="clear" w:color="auto" w:fill="F2F4F7"/>
          </w:tcPr>
          <w:p>
            <w:pPr>
              <w:spacing w:after="0" w:line="240" w:lineRule="auto"/>
              <w:jc w:val="right"/>
            </w:pPr>
            <w:r/>
            <w:r>
              <w:rPr>
                <w:sz w:val="19"/>
              </w:rPr>
              <w:t>3.13x</w:t>
            </w:r>
          </w:p>
        </w:tc>
        <w:tc>
          <w:tcPr>
            <w:tcW w:type="dxa" w:w="2665"/>
            <w:shd w:val="clear" w:color="auto" w:fill="F2F4F7"/>
          </w:tcPr>
          <w:p>
            <w:pPr>
              <w:spacing w:after="0" w:line="240" w:lineRule="auto"/>
              <w:jc w:val="right"/>
            </w:pPr>
            <w:r/>
            <w:r>
              <w:rPr>
                <w:sz w:val="19"/>
              </w:rPr>
              <w:t>25.7%</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33.0%</w:t>
            </w:r>
          </w:p>
        </w:tc>
        <w:tc>
          <w:tcPr>
            <w:tcW w:type="dxa" w:w="2324"/>
          </w:tcPr>
          <w:p>
            <w:pPr>
              <w:spacing w:after="0" w:line="240" w:lineRule="auto"/>
              <w:jc w:val="right"/>
            </w:pPr>
            <w:r/>
            <w:r>
              <w:rPr>
                <w:sz w:val="19"/>
              </w:rPr>
              <w:t>3.48x</w:t>
            </w:r>
          </w:p>
        </w:tc>
        <w:tc>
          <w:tcPr>
            <w:tcW w:type="dxa" w:w="2665"/>
          </w:tcPr>
          <w:p>
            <w:pPr>
              <w:spacing w:after="0" w:line="240" w:lineRule="auto"/>
              <w:jc w:val="right"/>
            </w:pPr>
            <w:r/>
            <w:r>
              <w:rPr>
                <w:sz w:val="19"/>
              </w:rPr>
              <w:t>30.6%</w:t>
            </w:r>
          </w:p>
        </w:tc>
      </w:tr>
    </w:tbl>
    <w:p>
      <w:pPr>
        <w:spacing w:after="80"/>
      </w:pPr>
    </w:p>
    <w:p>
      <w:r>
        <w:rPr>
          <w:b/>
          <w:i w:val="0"/>
        </w:rPr>
        <w:t>Cost to Jalour.</w:t>
      </w:r>
      <w:r>
        <w:rPr>
          <w:b w:val="0"/>
          <w:i w:val="0"/>
        </w:rPr>
        <w:t xml:space="preserve"> Giving the investor units from the first two sales tranches removes 33% of those tranches' collections. Jalour receives the ticket at funding and forgoes those collections (the units' face value of EGP 200 million at list) as they would have been received, partly offset by commission saved. The landlord share is unchanged. On this basis Jalour's cost of capital is 20.7%; the NPV effect at 14% is EGP -19.1 million and the project NPV after the deal is EGP 196 million (before: 215). Peak cumulative shortage before the ticket rises to EGP 117.9 million. If the same area were taken pro rata from all tranches (at higher average prices) the cost would be 30.7%.</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-2</w:t>
            </w:r>
          </w:p>
        </w:tc>
        <w:tc>
          <w:tcPr>
            <w:tcW w:type="dxa" w:w="1474"/>
            <w:shd w:val="clear" w:color="auto" w:fill="F2F4F7"/>
          </w:tcPr>
          <w:p>
            <w:pPr>
              <w:spacing w:after="0" w:line="240" w:lineRule="auto"/>
              <w:jc w:val="right"/>
            </w:pPr>
            <w:r/>
            <w:r>
              <w:rPr>
                <w:sz w:val="19"/>
              </w:rPr>
              <w:t>-418</w:t>
            </w:r>
          </w:p>
        </w:tc>
        <w:tc>
          <w:tcPr>
            <w:tcW w:type="dxa" w:w="1474"/>
            <w:shd w:val="clear" w:color="auto" w:fill="F2F4F7"/>
          </w:tcPr>
          <w:p>
            <w:pPr>
              <w:spacing w:after="0" w:line="240" w:lineRule="auto"/>
              <w:jc w:val="right"/>
            </w:pPr>
            <w:r/>
            <w:r>
              <w:rPr>
                <w:sz w:val="19"/>
              </w:rPr>
              <w:t>-2</w:t>
            </w:r>
          </w:p>
        </w:tc>
        <w:tc>
          <w:tcPr>
            <w:tcW w:type="dxa" w:w="1474"/>
            <w:shd w:val="clear" w:color="auto" w:fill="F2F4F7"/>
          </w:tcPr>
          <w:p>
            <w:pPr>
              <w:spacing w:after="0" w:line="240" w:lineRule="auto"/>
              <w:jc w:val="right"/>
            </w:pPr>
            <w:r/>
            <w:r>
              <w:rPr>
                <w:sz w:val="19"/>
              </w:rPr>
              <w:t>-284</w:t>
            </w:r>
          </w:p>
        </w:tc>
      </w:tr>
    </w:tbl>
    <w:p>
      <w:pPr>
        <w:spacing w:after="80"/>
      </w:pPr>
    </w:p>
    <w:p>
      <w:r>
        <w:rPr>
          <w:b w:val="0"/>
          <w:i w:val="0"/>
        </w:rPr>
        <w:t>In the base case the lowest pooled cash of EGP -2.5 million arises in month 6,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30</w:t>
            </w:r>
          </w:p>
        </w:tc>
        <w:tc>
          <w:tcPr>
            <w:tcW w:type="dxa" w:w="2268"/>
          </w:tcPr>
          <w:p>
            <w:pPr>
              <w:spacing w:after="0" w:line="240" w:lineRule="auto"/>
              <w:jc w:val="right"/>
            </w:pPr>
            <w:r/>
            <w:r>
              <w:rPr>
                <w:sz w:val="18"/>
              </w:rPr>
              <w:t>421.6</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22.0x</w:t>
            </w:r>
          </w:p>
        </w:tc>
        <w:tc>
          <w:tcPr>
            <w:tcW w:type="dxa" w:w="2041"/>
          </w:tcPr>
          <w:p>
            <w:pPr>
              <w:spacing w:after="0" w:line="240" w:lineRule="auto"/>
              <w:jc w:val="right"/>
            </w:pPr>
            <w:r/>
            <w:r>
              <w:rPr>
                <w:sz w:val="18"/>
              </w:rPr>
              <w:t>23.0x</w:t>
            </w:r>
          </w:p>
        </w:tc>
      </w:tr>
      <w:tr>
        <w:trPr>
          <w:cantSplit/>
        </w:trPr>
        <w:tc>
          <w:tcPr>
            <w:tcW w:type="dxa" w:w="1134"/>
            <w:shd w:val="clear" w:color="auto" w:fill="F2F4F7"/>
          </w:tcPr>
          <w:p>
            <w:pPr>
              <w:spacing w:after="0" w:line="240" w:lineRule="auto"/>
            </w:pPr>
            <w:r/>
            <w:r>
              <w:rPr>
                <w:sz w:val="18"/>
              </w:rPr>
              <w:t>33</w:t>
            </w:r>
          </w:p>
        </w:tc>
        <w:tc>
          <w:tcPr>
            <w:tcW w:type="dxa" w:w="2268"/>
            <w:shd w:val="clear" w:color="auto" w:fill="F2F4F7"/>
          </w:tcPr>
          <w:p>
            <w:pPr>
              <w:spacing w:after="0" w:line="240" w:lineRule="auto"/>
              <w:jc w:val="right"/>
            </w:pPr>
            <w:r/>
            <w:r>
              <w:rPr>
                <w:sz w:val="18"/>
              </w:rPr>
              <w:t>138.8</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7.2x</w:t>
            </w:r>
          </w:p>
        </w:tc>
        <w:tc>
          <w:tcPr>
            <w:tcW w:type="dxa" w:w="2041"/>
            <w:shd w:val="clear" w:color="auto" w:fill="F2F4F7"/>
          </w:tcPr>
          <w:p>
            <w:pPr>
              <w:spacing w:after="0" w:line="240" w:lineRule="auto"/>
              <w:jc w:val="right"/>
            </w:pPr>
            <w:r/>
            <w:r>
              <w:rPr>
                <w:sz w:val="18"/>
              </w:rPr>
              <w:t>29.2x</w:t>
            </w:r>
          </w:p>
        </w:tc>
      </w:tr>
      <w:tr>
        <w:trPr>
          <w:cantSplit/>
        </w:trPr>
        <w:tc>
          <w:tcPr>
            <w:tcW w:type="dxa" w:w="1134"/>
          </w:tcPr>
          <w:p>
            <w:pPr>
              <w:spacing w:after="0" w:line="240" w:lineRule="auto"/>
            </w:pPr>
            <w:r/>
            <w:r>
              <w:rPr>
                <w:sz w:val="18"/>
              </w:rPr>
              <w:t>36</w:t>
            </w:r>
          </w:p>
        </w:tc>
        <w:tc>
          <w:tcPr>
            <w:tcW w:type="dxa" w:w="2268"/>
          </w:tcPr>
          <w:p>
            <w:pPr>
              <w:spacing w:after="0" w:line="240" w:lineRule="auto"/>
              <w:jc w:val="right"/>
            </w:pPr>
            <w:r/>
            <w:r>
              <w:rPr>
                <w:sz w:val="18"/>
              </w:rPr>
              <w:t>129.7</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6.8x</w:t>
            </w:r>
          </w:p>
        </w:tc>
        <w:tc>
          <w:tcPr>
            <w:tcW w:type="dxa" w:w="2041"/>
          </w:tcPr>
          <w:p>
            <w:pPr>
              <w:spacing w:after="0" w:line="240" w:lineRule="auto"/>
              <w:jc w:val="right"/>
            </w:pPr>
            <w:r/>
            <w:r>
              <w:rPr>
                <w:sz w:val="18"/>
              </w:rPr>
              <w:t>35.0x</w:t>
            </w:r>
          </w:p>
        </w:tc>
      </w:tr>
      <w:tr>
        <w:trPr>
          <w:cantSplit/>
        </w:trPr>
        <w:tc>
          <w:tcPr>
            <w:tcW w:type="dxa" w:w="1134"/>
            <w:shd w:val="clear" w:color="auto" w:fill="F2F4F7"/>
          </w:tcPr>
          <w:p>
            <w:pPr>
              <w:spacing w:after="0" w:line="240" w:lineRule="auto"/>
            </w:pPr>
            <w:r/>
            <w:r>
              <w:rPr>
                <w:sz w:val="18"/>
              </w:rPr>
              <w:t>39</w:t>
            </w:r>
          </w:p>
        </w:tc>
        <w:tc>
          <w:tcPr>
            <w:tcW w:type="dxa" w:w="2268"/>
            <w:shd w:val="clear" w:color="auto" w:fill="F2F4F7"/>
          </w:tcPr>
          <w:p>
            <w:pPr>
              <w:spacing w:after="0" w:line="240" w:lineRule="auto"/>
              <w:jc w:val="right"/>
            </w:pPr>
            <w:r/>
            <w:r>
              <w:rPr>
                <w:sz w:val="18"/>
              </w:rPr>
              <w:t>-93.4</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-4.9x</w:t>
            </w:r>
          </w:p>
        </w:tc>
        <w:tc>
          <w:tcPr>
            <w:tcW w:type="dxa" w:w="2041"/>
            <w:shd w:val="clear" w:color="auto" w:fill="F2F4F7"/>
          </w:tcPr>
          <w:p>
            <w:pPr>
              <w:spacing w:after="0" w:line="240" w:lineRule="auto"/>
              <w:jc w:val="right"/>
            </w:pPr>
            <w:r/>
            <w:r>
              <w:rPr>
                <w:sz w:val="18"/>
              </w:rPr>
              <w:t>29.1x</w:t>
            </w:r>
          </w:p>
        </w:tc>
      </w:tr>
      <w:tr>
        <w:trPr>
          <w:cantSplit/>
        </w:trPr>
        <w:tc>
          <w:tcPr>
            <w:tcW w:type="dxa" w:w="1134"/>
          </w:tcPr>
          <w:p>
            <w:pPr>
              <w:spacing w:after="0" w:line="240" w:lineRule="auto"/>
            </w:pPr>
            <w:r/>
            <w:r>
              <w:rPr>
                <w:sz w:val="18"/>
              </w:rPr>
              <w:t>42</w:t>
            </w:r>
          </w:p>
        </w:tc>
        <w:tc>
          <w:tcPr>
            <w:tcW w:type="dxa" w:w="2268"/>
          </w:tcPr>
          <w:p>
            <w:pPr>
              <w:spacing w:after="0" w:line="240" w:lineRule="auto"/>
              <w:jc w:val="right"/>
            </w:pPr>
            <w:r/>
            <w:r>
              <w:rPr>
                <w:sz w:val="18"/>
              </w:rPr>
              <w:t>-121.0</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-6.3x</w:t>
            </w:r>
          </w:p>
        </w:tc>
        <w:tc>
          <w:tcPr>
            <w:tcW w:type="dxa" w:w="2041"/>
          </w:tcPr>
          <w:p>
            <w:pPr>
              <w:spacing w:after="0" w:line="240" w:lineRule="auto"/>
              <w:jc w:val="right"/>
            </w:pPr>
            <w:r/>
            <w:r>
              <w:rPr>
                <w:sz w:val="18"/>
              </w:rPr>
              <w:t>21.8x</w:t>
            </w:r>
          </w:p>
        </w:tc>
      </w:tr>
      <w:tr>
        <w:trPr>
          <w:cantSplit/>
        </w:trPr>
        <w:tc>
          <w:tcPr>
            <w:tcW w:type="dxa" w:w="1134"/>
            <w:shd w:val="clear" w:color="auto" w:fill="F2F4F7"/>
          </w:tcPr>
          <w:p>
            <w:pPr>
              <w:spacing w:after="0" w:line="240" w:lineRule="auto"/>
            </w:pPr>
            <w:r/>
            <w:r>
              <w:rPr>
                <w:sz w:val="18"/>
              </w:rPr>
              <w:t>45</w:t>
            </w:r>
          </w:p>
        </w:tc>
        <w:tc>
          <w:tcPr>
            <w:tcW w:type="dxa" w:w="2268"/>
            <w:shd w:val="clear" w:color="auto" w:fill="F2F4F7"/>
          </w:tcPr>
          <w:p>
            <w:pPr>
              <w:spacing w:after="0" w:line="240" w:lineRule="auto"/>
              <w:jc w:val="right"/>
            </w:pPr>
            <w:r/>
            <w:r>
              <w:rPr>
                <w:sz w:val="18"/>
              </w:rPr>
              <w:t>-171.6</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-9.0x</w:t>
            </w:r>
          </w:p>
        </w:tc>
        <w:tc>
          <w:tcPr>
            <w:tcW w:type="dxa" w:w="2041"/>
            <w:shd w:val="clear" w:color="auto" w:fill="F2F4F7"/>
          </w:tcPr>
          <w:p>
            <w:pPr>
              <w:spacing w:after="0" w:line="240" w:lineRule="auto"/>
              <w:jc w:val="right"/>
            </w:pPr>
            <w:r/>
            <w:r>
              <w:rPr>
                <w:sz w:val="18"/>
              </w:rPr>
              <w:t>11.8x</w:t>
            </w:r>
          </w:p>
        </w:tc>
      </w:tr>
      <w:tr>
        <w:trPr>
          <w:cantSplit/>
        </w:trPr>
        <w:tc>
          <w:tcPr>
            <w:tcW w:type="dxa" w:w="1134"/>
          </w:tcPr>
          <w:p>
            <w:pPr>
              <w:spacing w:after="0" w:line="240" w:lineRule="auto"/>
            </w:pPr>
            <w:r/>
            <w:r>
              <w:rPr>
                <w:sz w:val="18"/>
              </w:rPr>
              <w:t>48</w:t>
            </w:r>
          </w:p>
        </w:tc>
        <w:tc>
          <w:tcPr>
            <w:tcW w:type="dxa" w:w="2268"/>
          </w:tcPr>
          <w:p>
            <w:pPr>
              <w:spacing w:after="0" w:line="240" w:lineRule="auto"/>
              <w:jc w:val="right"/>
            </w:pPr>
            <w:r/>
            <w:r>
              <w:rPr>
                <w:sz w:val="18"/>
              </w:rPr>
              <w:t>-118.2</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-6.2x</w:t>
            </w:r>
          </w:p>
        </w:tc>
        <w:tc>
          <w:tcPr>
            <w:tcW w:type="dxa" w:w="2041"/>
          </w:tcPr>
          <w:p>
            <w:pPr>
              <w:spacing w:after="0" w:line="240" w:lineRule="auto"/>
              <w:jc w:val="right"/>
            </w:pPr>
            <w:r/>
            <w:r>
              <w:rPr>
                <w:sz w:val="18"/>
              </w:rPr>
              <w:t>4.7x</w:t>
            </w:r>
          </w:p>
        </w:tc>
      </w:tr>
      <w:tr>
        <w:trPr>
          <w:cantSplit/>
        </w:trPr>
        <w:tc>
          <w:tcPr>
            <w:tcW w:type="dxa" w:w="1134"/>
            <w:shd w:val="clear" w:color="auto" w:fill="F2F4F7"/>
          </w:tcPr>
          <w:p>
            <w:pPr>
              <w:spacing w:after="0" w:line="240" w:lineRule="auto"/>
            </w:pPr>
            <w:r/>
            <w:r>
              <w:rPr>
                <w:sz w:val="18"/>
              </w:rPr>
              <w:t>51</w:t>
            </w:r>
          </w:p>
        </w:tc>
        <w:tc>
          <w:tcPr>
            <w:tcW w:type="dxa" w:w="2268"/>
            <w:shd w:val="clear" w:color="auto" w:fill="F2F4F7"/>
          </w:tcPr>
          <w:p>
            <w:pPr>
              <w:spacing w:after="0" w:line="240" w:lineRule="auto"/>
              <w:jc w:val="right"/>
            </w:pPr>
            <w:r/>
            <w:r>
              <w:rPr>
                <w:sz w:val="18"/>
              </w:rPr>
              <w:t>16.2</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0.8x</w:t>
            </w:r>
          </w:p>
        </w:tc>
        <w:tc>
          <w:tcPr>
            <w:tcW w:type="dxa" w:w="2041"/>
            <w:shd w:val="clear" w:color="auto" w:fill="F2F4F7"/>
          </w:tcPr>
          <w:p>
            <w:pPr>
              <w:spacing w:after="0" w:line="240" w:lineRule="auto"/>
              <w:jc w:val="right"/>
            </w:pPr>
            <w:r/>
            <w:r>
              <w:rPr>
                <w:sz w:val="18"/>
              </w:rPr>
              <w:t>4.5x</w:t>
            </w:r>
          </w:p>
        </w:tc>
      </w:tr>
      <w:tr>
        <w:trPr>
          <w:cantSplit/>
        </w:trPr>
        <w:tc>
          <w:tcPr>
            <w:tcW w:type="dxa" w:w="1134"/>
          </w:tcPr>
          <w:p>
            <w:pPr>
              <w:spacing w:after="0" w:line="240" w:lineRule="auto"/>
            </w:pPr>
            <w:r/>
            <w:r>
              <w:rPr>
                <w:sz w:val="18"/>
              </w:rPr>
              <w:t>54</w:t>
            </w:r>
          </w:p>
        </w:tc>
        <w:tc>
          <w:tcPr>
            <w:tcW w:type="dxa" w:w="2268"/>
          </w:tcPr>
          <w:p>
            <w:pPr>
              <w:spacing w:after="0" w:line="240" w:lineRule="auto"/>
              <w:jc w:val="right"/>
            </w:pPr>
            <w:r/>
            <w:r>
              <w:rPr>
                <w:sz w:val="18"/>
              </w:rPr>
              <w:t>14.7</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0.8x</w:t>
            </w:r>
          </w:p>
        </w:tc>
        <w:tc>
          <w:tcPr>
            <w:tcW w:type="dxa" w:w="2041"/>
          </w:tcPr>
          <w:p>
            <w:pPr>
              <w:spacing w:after="0" w:line="240" w:lineRule="auto"/>
              <w:jc w:val="right"/>
            </w:pPr>
            <w:r/>
            <w:r>
              <w:rPr>
                <w:sz w:val="18"/>
              </w:rPr>
              <w:t>4.3x</w:t>
            </w:r>
          </w:p>
        </w:tc>
      </w:tr>
      <w:tr>
        <w:trPr>
          <w:cantSplit/>
        </w:trPr>
        <w:tc>
          <w:tcPr>
            <w:tcW w:type="dxa" w:w="1134"/>
            <w:shd w:val="clear" w:color="auto" w:fill="F2F4F7"/>
          </w:tcPr>
          <w:p>
            <w:pPr>
              <w:spacing w:after="0" w:line="240" w:lineRule="auto"/>
            </w:pPr>
            <w:r/>
            <w:r>
              <w:rPr>
                <w:sz w:val="18"/>
              </w:rPr>
              <w:t>57</w:t>
            </w:r>
          </w:p>
        </w:tc>
        <w:tc>
          <w:tcPr>
            <w:tcW w:type="dxa" w:w="2268"/>
            <w:shd w:val="clear" w:color="auto" w:fill="F2F4F7"/>
          </w:tcPr>
          <w:p>
            <w:pPr>
              <w:spacing w:after="0" w:line="240" w:lineRule="auto"/>
              <w:jc w:val="right"/>
            </w:pPr>
            <w:r/>
            <w:r>
              <w:rPr>
                <w:sz w:val="18"/>
              </w:rPr>
              <w:t>8.7</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0.5x</w:t>
            </w:r>
          </w:p>
        </w:tc>
        <w:tc>
          <w:tcPr>
            <w:tcW w:type="dxa" w:w="2041"/>
            <w:shd w:val="clear" w:color="auto" w:fill="F2F4F7"/>
          </w:tcPr>
          <w:p>
            <w:pPr>
              <w:spacing w:after="0" w:line="240" w:lineRule="auto"/>
              <w:jc w:val="right"/>
            </w:pPr>
            <w:r/>
            <w:r>
              <w:rPr>
                <w:sz w:val="18"/>
              </w:rPr>
              <w:t>3.7x</w:t>
            </w:r>
          </w:p>
        </w:tc>
      </w:tr>
      <w:tr>
        <w:trPr>
          <w:cantSplit/>
        </w:trPr>
        <w:tc>
          <w:tcPr>
            <w:tcW w:type="dxa" w:w="1134"/>
          </w:tcPr>
          <w:p>
            <w:pPr>
              <w:spacing w:after="0" w:line="240" w:lineRule="auto"/>
            </w:pPr>
            <w:r/>
            <w:r>
              <w:rPr>
                <w:sz w:val="18"/>
              </w:rPr>
              <w:t>60</w:t>
            </w:r>
          </w:p>
        </w:tc>
        <w:tc>
          <w:tcPr>
            <w:tcW w:type="dxa" w:w="2268"/>
          </w:tcPr>
          <w:p>
            <w:pPr>
              <w:spacing w:after="0" w:line="240" w:lineRule="auto"/>
              <w:jc w:val="right"/>
            </w:pPr>
            <w:r/>
            <w:r>
              <w:rPr>
                <w:sz w:val="18"/>
              </w:rPr>
              <w:t>4.4</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0.2x</w:t>
            </w:r>
          </w:p>
        </w:tc>
        <w:tc>
          <w:tcPr>
            <w:tcW w:type="dxa" w:w="2041"/>
          </w:tcPr>
          <w:p>
            <w:pPr>
              <w:spacing w:after="0" w:line="240" w:lineRule="auto"/>
              <w:jc w:val="right"/>
            </w:pPr>
            <w:r/>
            <w:r>
              <w:rPr>
                <w:sz w:val="18"/>
              </w:rPr>
              <w:t>3.0x</w:t>
            </w:r>
          </w:p>
        </w:tc>
      </w:tr>
      <w:tr>
        <w:trPr>
          <w:cantSplit/>
        </w:trPr>
        <w:tc>
          <w:tcPr>
            <w:tcW w:type="dxa" w:w="1134"/>
            <w:shd w:val="clear" w:color="auto" w:fill="F2F4F7"/>
          </w:tcPr>
          <w:p>
            <w:pPr>
              <w:spacing w:after="0" w:line="240" w:lineRule="auto"/>
            </w:pPr>
            <w:r/>
            <w:r>
              <w:rPr>
                <w:sz w:val="18"/>
              </w:rPr>
              <w:t>63</w:t>
            </w:r>
          </w:p>
        </w:tc>
        <w:tc>
          <w:tcPr>
            <w:tcW w:type="dxa" w:w="2268"/>
            <w:shd w:val="clear" w:color="auto" w:fill="F2F4F7"/>
          </w:tcPr>
          <w:p>
            <w:pPr>
              <w:spacing w:after="0" w:line="240" w:lineRule="auto"/>
              <w:jc w:val="right"/>
            </w:pPr>
            <w:r/>
            <w:r>
              <w:rPr>
                <w:sz w:val="18"/>
              </w:rPr>
              <w:t>26.9</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1.4x</w:t>
            </w:r>
          </w:p>
        </w:tc>
        <w:tc>
          <w:tcPr>
            <w:tcW w:type="dxa" w:w="2041"/>
            <w:shd w:val="clear" w:color="auto" w:fill="F2F4F7"/>
          </w:tcPr>
          <w:p>
            <w:pPr>
              <w:spacing w:after="0" w:line="240" w:lineRule="auto"/>
              <w:jc w:val="right"/>
            </w:pPr>
            <w:r/>
            <w:r>
              <w:rPr>
                <w:sz w:val="18"/>
              </w:rPr>
              <w:t>3.4x</w:t>
            </w:r>
          </w:p>
        </w:tc>
      </w:tr>
    </w:tbl>
    <w:p>
      <w:pPr>
        <w:spacing w:after="80"/>
      </w:pPr>
    </w:p>
    <w:p>
      <w:r>
        <w:rPr>
          <w:b w:val="0"/>
          <w:i w:val="0"/>
        </w:rPr>
        <w:t>Coverage on net cash flow alone is below the 1.5x threshold in 9 of 12 quarters, because instalments fall in the construction peak and in the quarters after handover when collections are thin. "Cash available" adds pooled project cash, including the ticket and earlier collections, and is at least 3.0x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9 of 12</w:t>
            </w:r>
          </w:p>
        </w:tc>
        <w:tc>
          <w:tcPr>
            <w:tcW w:type="dxa" w:w="1587"/>
          </w:tcPr>
          <w:p>
            <w:pPr>
              <w:spacing w:after="0" w:line="240" w:lineRule="auto"/>
              <w:jc w:val="right"/>
            </w:pPr>
            <w:r/>
            <w:r>
              <w:rPr>
                <w:sz w:val="18"/>
              </w:rPr>
              <w:t>-418</w:t>
            </w:r>
          </w:p>
        </w:tc>
        <w:tc>
          <w:tcPr>
            <w:tcW w:type="dxa" w:w="1020"/>
          </w:tcPr>
          <w:p>
            <w:pPr>
              <w:spacing w:after="0" w:line="240" w:lineRule="auto"/>
              <w:jc w:val="right"/>
            </w:pPr>
            <w:r/>
            <w:r>
              <w:rPr>
                <w:sz w:val="18"/>
              </w:rPr>
              <w:t>63</w:t>
            </w:r>
          </w:p>
        </w:tc>
      </w:tr>
      <w:tr>
        <w:trPr>
          <w:cantSplit/>
        </w:trPr>
        <w:tc>
          <w:tcPr>
            <w:tcW w:type="dxa" w:w="3515"/>
            <w:shd w:val="clear" w:color="auto" w:fill="F2F4F7"/>
          </w:tcPr>
          <w:p>
            <w:pPr>
              <w:spacing w:after="0" w:line="240" w:lineRule="auto"/>
            </w:pPr>
            <w:r/>
            <w:r>
              <w:rPr>
                <w:sz w:val="18"/>
              </w:rPr>
              <w:t>S2 24.7% of collections, floor 0.4x, cap 1.5x of instalment</w:t>
            </w:r>
          </w:p>
        </w:tc>
        <w:tc>
          <w:tcPr>
            <w:tcW w:type="dxa" w:w="1417"/>
            <w:shd w:val="clear" w:color="auto" w:fill="F2F4F7"/>
          </w:tcPr>
          <w:p>
            <w:pPr>
              <w:spacing w:after="0" w:line="240" w:lineRule="auto"/>
              <w:jc w:val="right"/>
            </w:pPr>
            <w:r/>
            <w:r>
              <w:rPr>
                <w:sz w:val="18"/>
              </w:rPr>
              <w:t>29.0%</w:t>
            </w:r>
          </w:p>
        </w:tc>
        <w:tc>
          <w:tcPr>
            <w:tcW w:type="dxa" w:w="1701"/>
            <w:shd w:val="clear" w:color="auto" w:fill="F2F4F7"/>
          </w:tcPr>
          <w:p>
            <w:pPr>
              <w:spacing w:after="0" w:line="240" w:lineRule="auto"/>
              <w:jc w:val="right"/>
            </w:pPr>
            <w:r/>
            <w:r>
              <w:rPr>
                <w:sz w:val="18"/>
              </w:rPr>
              <w:t>8 of 12</w:t>
            </w:r>
          </w:p>
        </w:tc>
        <w:tc>
          <w:tcPr>
            <w:tcW w:type="dxa" w:w="1587"/>
            <w:shd w:val="clear" w:color="auto" w:fill="F2F4F7"/>
          </w:tcPr>
          <w:p>
            <w:pPr>
              <w:spacing w:after="0" w:line="240" w:lineRule="auto"/>
              <w:jc w:val="right"/>
            </w:pPr>
            <w:r/>
            <w:r>
              <w:rPr>
                <w:sz w:val="18"/>
              </w:rPr>
              <w:t>-401</w:t>
            </w:r>
          </w:p>
        </w:tc>
        <w:tc>
          <w:tcPr>
            <w:tcW w:type="dxa" w:w="1020"/>
            <w:shd w:val="clear" w:color="auto" w:fill="F2F4F7"/>
          </w:tcPr>
          <w:p>
            <w:pPr>
              <w:spacing w:after="0" w:line="240" w:lineRule="auto"/>
              <w:jc w:val="right"/>
            </w:pPr>
            <w:r/>
            <w:r>
              <w:rPr>
                <w:sz w:val="18"/>
              </w:rPr>
              <w:t>66</w:t>
            </w:r>
          </w:p>
        </w:tc>
      </w:tr>
      <w:tr>
        <w:trPr>
          <w:cantSplit/>
        </w:trPr>
        <w:tc>
          <w:tcPr>
            <w:tcW w:type="dxa" w:w="3515"/>
          </w:tcPr>
          <w:p>
            <w:pPr>
              <w:spacing w:after="0" w:line="240" w:lineRule="auto"/>
            </w:pPr>
            <w:r/>
            <w:r>
              <w:rPr>
                <w:sz w:val="18"/>
              </w:rPr>
              <w:t>S3 Fixed 1.8x plus 3.5% of collections, cap 2.8x</w:t>
            </w:r>
          </w:p>
        </w:tc>
        <w:tc>
          <w:tcPr>
            <w:tcW w:type="dxa" w:w="1417"/>
          </w:tcPr>
          <w:p>
            <w:pPr>
              <w:spacing w:after="0" w:line="240" w:lineRule="auto"/>
              <w:jc w:val="right"/>
            </w:pPr>
            <w:r/>
            <w:r>
              <w:rPr>
                <w:sz w:val="18"/>
              </w:rPr>
              <w:t>27.8%</w:t>
            </w:r>
          </w:p>
        </w:tc>
        <w:tc>
          <w:tcPr>
            <w:tcW w:type="dxa" w:w="1701"/>
          </w:tcPr>
          <w:p>
            <w:pPr>
              <w:spacing w:after="0" w:line="240" w:lineRule="auto"/>
              <w:jc w:val="right"/>
            </w:pPr>
            <w:r/>
            <w:r>
              <w:rPr>
                <w:sz w:val="18"/>
              </w:rPr>
              <w:t>8 of 12</w:t>
            </w:r>
          </w:p>
        </w:tc>
        <w:tc>
          <w:tcPr>
            <w:tcW w:type="dxa" w:w="1587"/>
          </w:tcPr>
          <w:p>
            <w:pPr>
              <w:spacing w:after="0" w:line="240" w:lineRule="auto"/>
              <w:jc w:val="right"/>
            </w:pPr>
            <w:r/>
            <w:r>
              <w:rPr>
                <w:sz w:val="18"/>
              </w:rPr>
              <w:t>-410</w:t>
            </w:r>
          </w:p>
        </w:tc>
        <w:tc>
          <w:tcPr>
            <w:tcW w:type="dxa" w:w="1020"/>
          </w:tcPr>
          <w:p>
            <w:pPr>
              <w:spacing w:after="0" w:line="240" w:lineRule="auto"/>
              <w:jc w:val="right"/>
            </w:pPr>
            <w:r/>
            <w:r>
              <w:rPr>
                <w:sz w:val="18"/>
              </w:rPr>
              <w:t>63</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215</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129</w:t>
            </w:r>
          </w:p>
        </w:tc>
        <w:tc>
          <w:tcPr>
            <w:tcW w:type="dxa" w:w="1984"/>
            <w:shd w:val="clear" w:color="auto" w:fill="F2F4F7"/>
          </w:tcPr>
          <w:p>
            <w:pPr>
              <w:spacing w:after="0" w:line="240" w:lineRule="auto"/>
              <w:jc w:val="right"/>
            </w:pPr>
            <w:r/>
            <w:r>
              <w:rPr>
                <w:sz w:val="18"/>
              </w:rPr>
              <w:t>13</w:t>
            </w:r>
          </w:p>
        </w:tc>
        <w:tc>
          <w:tcPr>
            <w:tcW w:type="dxa" w:w="1928"/>
            <w:shd w:val="clear" w:color="auto" w:fill="F2F4F7"/>
          </w:tcPr>
          <w:p>
            <w:pPr>
              <w:spacing w:after="0" w:line="240" w:lineRule="auto"/>
              <w:jc w:val="right"/>
            </w:pPr>
            <w:r/>
            <w:r>
              <w:rPr>
                <w:sz w:val="18"/>
              </w:rPr>
              <w:t>184</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258</w:t>
            </w:r>
          </w:p>
        </w:tc>
        <w:tc>
          <w:tcPr>
            <w:tcW w:type="dxa" w:w="1984"/>
          </w:tcPr>
          <w:p>
            <w:pPr>
              <w:spacing w:after="0" w:line="240" w:lineRule="auto"/>
              <w:jc w:val="right"/>
            </w:pPr>
            <w:r/>
            <w:r>
              <w:rPr>
                <w:sz w:val="18"/>
              </w:rPr>
              <w:t>116</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493</w:t>
            </w:r>
          </w:p>
        </w:tc>
        <w:tc>
          <w:tcPr>
            <w:tcW w:type="dxa" w:w="1984"/>
            <w:shd w:val="clear" w:color="auto" w:fill="F2F4F7"/>
          </w:tcPr>
          <w:p>
            <w:pPr>
              <w:spacing w:after="0" w:line="240" w:lineRule="auto"/>
              <w:jc w:val="right"/>
            </w:pPr>
            <w:r/>
            <w:r>
              <w:rPr>
                <w:sz w:val="18"/>
              </w:rPr>
              <w:t>315</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611</w:t>
            </w:r>
          </w:p>
        </w:tc>
        <w:tc>
          <w:tcPr>
            <w:tcW w:type="dxa" w:w="1984"/>
          </w:tcPr>
          <w:p>
            <w:pPr>
              <w:spacing w:after="0" w:line="240" w:lineRule="auto"/>
              <w:jc w:val="right"/>
            </w:pPr>
            <w:r/>
            <w:r>
              <w:rPr>
                <w:sz w:val="18"/>
              </w:rPr>
              <w:t>414</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129</w:t>
            </w:r>
          </w:p>
        </w:tc>
        <w:tc>
          <w:tcPr>
            <w:tcW w:type="dxa" w:w="1928"/>
            <w:shd w:val="clear" w:color="auto" w:fill="F2F4F7"/>
          </w:tcPr>
          <w:p>
            <w:pPr>
              <w:spacing w:after="0" w:line="240" w:lineRule="auto"/>
              <w:jc w:val="right"/>
            </w:pPr>
            <w:r/>
            <w:r>
              <w:rPr>
                <w:sz w:val="18"/>
              </w:rPr>
              <w:t>217</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49</w:t>
            </w:r>
          </w:p>
        </w:tc>
        <w:tc>
          <w:tcPr>
            <w:tcW w:type="dxa" w:w="1928"/>
          </w:tcPr>
          <w:p>
            <w:pPr>
              <w:spacing w:after="0" w:line="240" w:lineRule="auto"/>
              <w:jc w:val="right"/>
            </w:pPr>
            <w:r/>
            <w:r>
              <w:rPr>
                <w:sz w:val="18"/>
              </w:rPr>
              <w:t>408</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-26</w:t>
            </w:r>
          </w:p>
        </w:tc>
        <w:tc>
          <w:tcPr>
            <w:tcW w:type="dxa" w:w="1928"/>
            <w:shd w:val="clear" w:color="auto" w:fill="F2F4F7"/>
          </w:tcPr>
          <w:p>
            <w:pPr>
              <w:spacing w:after="0" w:line="240" w:lineRule="auto"/>
              <w:jc w:val="right"/>
            </w:pPr>
            <w:r/>
            <w:r>
              <w:rPr>
                <w:sz w:val="18"/>
              </w:rPr>
              <w:t>825</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-97</w:t>
            </w:r>
          </w:p>
        </w:tc>
        <w:tc>
          <w:tcPr>
            <w:tcW w:type="dxa" w:w="1928"/>
          </w:tcPr>
          <w:p>
            <w:pPr>
              <w:spacing w:after="0" w:line="240" w:lineRule="auto"/>
              <w:jc w:val="right"/>
            </w:pPr>
            <w:r/>
            <w:r>
              <w:rPr>
                <w:sz w:val="18"/>
              </w:rPr>
              <w:t>1,075</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295</w:t>
            </w:r>
          </w:p>
        </w:tc>
        <w:tc>
          <w:tcPr>
            <w:tcW w:type="dxa" w:w="1984"/>
            <w:shd w:val="clear" w:color="auto" w:fill="F2F4F7"/>
          </w:tcPr>
          <w:p>
            <w:pPr>
              <w:spacing w:after="0" w:line="240" w:lineRule="auto"/>
              <w:jc w:val="right"/>
            </w:pPr>
            <w:r/>
            <w:r>
              <w:rPr>
                <w:sz w:val="18"/>
              </w:rPr>
              <w:t>162</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215</w:t>
            </w:r>
          </w:p>
        </w:tc>
        <w:tc>
          <w:tcPr>
            <w:tcW w:type="dxa" w:w="1984"/>
          </w:tcPr>
          <w:p>
            <w:pPr>
              <w:spacing w:after="0" w:line="240" w:lineRule="auto"/>
              <w:jc w:val="right"/>
            </w:pPr>
            <w:r/>
            <w:r>
              <w:rPr>
                <w:sz w:val="18"/>
              </w:rPr>
              <w:t>109</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170</w:t>
            </w:r>
          </w:p>
        </w:tc>
        <w:tc>
          <w:tcPr>
            <w:tcW w:type="dxa" w:w="1928"/>
            <w:shd w:val="clear" w:color="auto" w:fill="F2F4F7"/>
          </w:tcPr>
          <w:p>
            <w:pPr>
              <w:spacing w:after="0" w:line="240" w:lineRule="auto"/>
              <w:jc w:val="right"/>
            </w:pPr>
            <w:r/>
            <w:r>
              <w:rPr>
                <w:sz w:val="18"/>
              </w:rPr>
              <w:t>162</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125</w:t>
            </w:r>
          </w:p>
        </w:tc>
        <w:tc>
          <w:tcPr>
            <w:tcW w:type="dxa" w:w="1928"/>
          </w:tcPr>
          <w:p>
            <w:pPr>
              <w:spacing w:after="0" w:line="240" w:lineRule="auto"/>
              <w:jc w:val="right"/>
            </w:pPr>
            <w:r/>
            <w:r>
              <w:rPr>
                <w:sz w:val="18"/>
              </w:rPr>
              <w:t>236</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41</w:t>
            </w:r>
          </w:p>
        </w:tc>
        <w:tc>
          <w:tcPr>
            <w:tcW w:type="dxa" w:w="1928"/>
            <w:shd w:val="clear" w:color="auto" w:fill="F2F4F7"/>
          </w:tcPr>
          <w:p>
            <w:pPr>
              <w:spacing w:after="0" w:line="240" w:lineRule="auto"/>
              <w:jc w:val="right"/>
            </w:pPr>
            <w:r/>
            <w:r>
              <w:rPr>
                <w:sz w:val="18"/>
              </w:rPr>
              <w:t>440</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48; units can be registered and sold from handover. The base case assumes sale over four quarters from month 51.</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27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27</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45; for Option A, payback in the base case is month 54.</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33% (retail) and 48%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49 million and the peak funding need rises to EGP 408 million. Mitigant: Jalour funding undertaking; phased sales.</w:t>
      </w:r>
    </w:p>
    <w:p>
      <w:pPr>
        <w:pStyle w:val="Heading3"/>
      </w:pPr>
      <w:r>
        <w:t>Inflation and cost risk</w:t>
      </w:r>
    </w:p>
    <w:p>
      <w:r>
        <w:rPr>
          <w:b w:val="0"/>
          <w:i w:val="0"/>
        </w:rPr>
        <w:t>Construction cost is flat in the model. A 10% overrun lowers NPV by EGP 53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13.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269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225,000, offices EGP 135,000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375.4</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215.3</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102.5</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113.0</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26.4% / 2.78x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20.7%</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-2.5</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441</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Investment Memorandum (EGP 100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