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100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-20.8</w:t>
            </w:r>
          </w:p>
        </w:tc>
        <w:tc>
          <w:tcPr>
            <w:tcW w:type="dxa" w:w="1984"/>
          </w:tcPr>
          <w:p>
            <w:pPr>
              <w:spacing w:after="0" w:line="240" w:lineRule="auto"/>
              <w:jc w:val="right"/>
            </w:pPr>
            <w:r/>
            <w:r>
              <w:rPr>
                <w:sz w:val="19"/>
              </w:rPr>
              <w:t>Removes 28%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-44.9</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4 of 12</w:t>
            </w:r>
          </w:p>
        </w:tc>
        <w:tc>
          <w:tcPr>
            <w:tcW w:type="dxa" w:w="1701"/>
          </w:tcPr>
          <w:p>
            <w:pPr>
              <w:spacing w:after="0" w:line="240" w:lineRule="auto"/>
              <w:jc w:val="right"/>
            </w:pPr>
            <w:r/>
            <w:r>
              <w:rPr>
                <w:sz w:val="18"/>
              </w:rPr>
              <w:t>-864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19.7%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2.9%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-854</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8 of 12 quarters; the minimum on net cash flow is -6.7x. Pooled cash covers at least 3.5x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28% of the launch-priced inventory, which raises the peak shortage before the ticket from EGP 102.0 million to EGP 137.4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