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50 million (USD 1.0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50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100 million, twice the ticket, priced at the launch list (retail EGP 225,000 per m2, offices EGP 135,000 per m2), allocated from the first two sales tranches. At the model's delivery list prices the units are worth EGP 143 million. Projected investor IRR: 26.4% base, 18.6% downside, 29.2% upside.</w:t>
      </w:r>
    </w:p>
    <w:p>
      <w:pPr>
        <w:pStyle w:val="ListBullet"/>
        <w:spacing w:after="60"/>
      </w:pPr>
      <w:r>
        <w:rPr>
          <w:b/>
          <w:i w:val="0"/>
        </w:rPr>
        <w:t>Option B, cash.</w:t>
      </w:r>
      <w:r>
        <w:rPr>
          <w:b w:val="0"/>
          <w:i w:val="0"/>
        </w:rPr>
        <w:t xml:space="preserve"> EGP 115 million (2.3x the ticket) in 12 equal quarterly instalments of EGP 9.58 million after a 24-month grace period, from month 24 to month 57.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50.0</w:t>
            </w:r>
          </w:p>
        </w:tc>
      </w:tr>
      <w:tr>
        <w:trPr>
          <w:cantSplit/>
        </w:trPr>
        <w:tc>
          <w:tcPr>
            <w:tcW w:type="dxa" w:w="6236"/>
            <w:shd w:val="clear" w:color="auto" w:fill="F2F4F7"/>
          </w:tcPr>
          <w:p>
            <w:pPr>
              <w:spacing w:after="0" w:line="240" w:lineRule="auto"/>
            </w:pPr>
            <w:r/>
            <w:r>
              <w:rPr>
                <w:sz w:val="19"/>
              </w:rPr>
              <w:t>Modelled peak cumulative cash shortage (month 0)</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in the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229.9</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42</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115</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33 to 42, inside the payout window), so quarter-by-quarter coverage of instalments is below 1.5x in 6 of 12 quarters. Pooled cash including the ticket covers every instalment at least 10.1x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50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42). Measured from launch it is +33% for retail and +48% for offices (43% weighted by the launch tranches), against the 40% to 60% range Jalour expects. Measured from today's office asking prices, the delivery list is +77%, or about 15% a year over 4.2 years measured from today (assumed to be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7 to 42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42</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1, construction starts in month 7 and runs 36 months to handover in month 42.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42</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calculated on the full project sales value of EGP 2,816 million at modelled prices. EGP 186 million of that is the excess over the guarantee, settled from year 8.</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EGP 2,253 million over the sales window</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 to 30</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sales launch of the project; the investor funds in month -3, when the landlord down payment falls due</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any financing costs and taxes, and any cost escalation.</w:t>
      </w:r>
    </w:p>
    <w:p>
      <w:pPr>
        <w:pStyle w:val="Heading1"/>
        <w:pageBreakBefore/>
      </w:pPr>
      <w:r>
        <w:t>9. Sales and collections model</w:t>
      </w:r>
    </w:p>
    <w:p>
      <w:pPr>
        <w:keepNext/>
        <w:spacing w:after="60"/>
      </w:pPr>
      <w:r>
        <w:rPr>
          <w:b/>
          <w:color w:val="17324D"/>
          <w:sz w:val="19"/>
        </w:rPr>
        <w:t>Table 11: Sales plan by tranche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3</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6</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The sales plan totals EGP 2,253 million at modelled prices; the landlord share is calculated on the full project sales value of EGP 2,816 million. The first two tranches (months 3 and 6) carry the launch list and total EGP 606 million; Option A units come from these.</w:t>
      </w:r>
    </w:p>
    <w:p>
      <w:pPr>
        <w:keepNext/>
        <w:spacing w:after="60"/>
      </w:pPr>
      <w:r>
        <w:rPr>
          <w:b/>
          <w:color w:val="17324D"/>
          <w:sz w:val="19"/>
        </w:rPr>
        <w:t>Table 12: Annual cash flow, EGP million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Before month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-102.5</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-102.5</w:t>
            </w:r>
          </w:p>
        </w:tc>
        <w:tc>
          <w:tcPr>
            <w:tcW w:type="dxa" w:w="1361"/>
          </w:tcPr>
          <w:p>
            <w:pPr>
              <w:spacing w:after="0" w:line="240" w:lineRule="auto"/>
              <w:jc w:val="right"/>
            </w:pPr>
            <w:r/>
            <w:r>
              <w:rPr>
                <w:sz w:val="18"/>
              </w:rPr>
              <w:t>-102.5</w:t>
            </w:r>
          </w:p>
        </w:tc>
      </w:tr>
      <w:tr>
        <w:trPr>
          <w:cantSplit/>
        </w:trPr>
        <w:tc>
          <w:tcPr>
            <w:tcW w:type="dxa" w:w="1361"/>
            <w:shd w:val="clear" w:color="auto" w:fill="F2F4F7"/>
          </w:tcPr>
          <w:p>
            <w:pPr>
              <w:spacing w:after="0" w:line="240" w:lineRule="auto"/>
            </w:pPr>
            <w:r/>
            <w:r>
              <w:rPr>
                <w:sz w:val="18"/>
              </w:rPr>
              <w:t>Year 1</w:t>
            </w:r>
          </w:p>
        </w:tc>
        <w:tc>
          <w:tcPr>
            <w:tcW w:type="dxa" w:w="1417"/>
            <w:shd w:val="clear" w:color="auto" w:fill="F2F4F7"/>
          </w:tcPr>
          <w:p>
            <w:pPr>
              <w:spacing w:after="0" w:line="240" w:lineRule="auto"/>
              <w:jc w:val="right"/>
            </w:pPr>
            <w:r/>
            <w:r>
              <w:rPr>
                <w:sz w:val="18"/>
              </w:rPr>
              <w:t>154.7</w:t>
            </w:r>
          </w:p>
        </w:tc>
        <w:tc>
          <w:tcPr>
            <w:tcW w:type="dxa" w:w="1644"/>
            <w:shd w:val="clear" w:color="auto" w:fill="F2F4F7"/>
          </w:tcPr>
          <w:p>
            <w:pPr>
              <w:spacing w:after="0" w:line="240" w:lineRule="auto"/>
              <w:jc w:val="right"/>
            </w:pPr>
            <w:r/>
            <w:r>
              <w:rPr>
                <w:sz w:val="18"/>
              </w:rPr>
              <w:t>-67.5</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33.8</w:t>
            </w:r>
          </w:p>
        </w:tc>
        <w:tc>
          <w:tcPr>
            <w:tcW w:type="dxa" w:w="1361"/>
            <w:shd w:val="clear" w:color="auto" w:fill="F2F4F7"/>
          </w:tcPr>
          <w:p>
            <w:pPr>
              <w:spacing w:after="0" w:line="240" w:lineRule="auto"/>
              <w:jc w:val="right"/>
            </w:pPr>
            <w:r/>
            <w:r>
              <w:rPr>
                <w:sz w:val="18"/>
              </w:rPr>
              <w:t>-68.7</w:t>
            </w:r>
          </w:p>
        </w:tc>
      </w:tr>
      <w:tr>
        <w:trPr>
          <w:cantSplit/>
        </w:trPr>
        <w:tc>
          <w:tcPr>
            <w:tcW w:type="dxa" w:w="1361"/>
          </w:tcPr>
          <w:p>
            <w:pPr>
              <w:spacing w:after="0" w:line="240" w:lineRule="auto"/>
            </w:pPr>
            <w:r/>
            <w:r>
              <w:rPr>
                <w:sz w:val="18"/>
              </w:rPr>
              <w:t>Year 2</w:t>
            </w:r>
          </w:p>
        </w:tc>
        <w:tc>
          <w:tcPr>
            <w:tcW w:type="dxa" w:w="1417"/>
          </w:tcPr>
          <w:p>
            <w:pPr>
              <w:spacing w:after="0" w:line="240" w:lineRule="auto"/>
              <w:jc w:val="right"/>
            </w:pPr>
            <w:r/>
            <w:r>
              <w:rPr>
                <w:sz w:val="18"/>
              </w:rPr>
              <w:t>701.4</w:t>
            </w:r>
          </w:p>
        </w:tc>
        <w:tc>
          <w:tcPr>
            <w:tcW w:type="dxa" w:w="1644"/>
          </w:tcPr>
          <w:p>
            <w:pPr>
              <w:spacing w:after="0" w:line="240" w:lineRule="auto"/>
              <w:jc w:val="right"/>
            </w:pPr>
            <w:r/>
            <w:r>
              <w:rPr>
                <w:sz w:val="18"/>
              </w:rPr>
              <w:t>-112.5</w:t>
            </w:r>
          </w:p>
        </w:tc>
        <w:tc>
          <w:tcPr>
            <w:tcW w:type="dxa" w:w="2041"/>
          </w:tcPr>
          <w:p>
            <w:pPr>
              <w:spacing w:after="0" w:line="240" w:lineRule="auto"/>
              <w:jc w:val="right"/>
            </w:pPr>
            <w:r/>
            <w:r>
              <w:rPr>
                <w:sz w:val="18"/>
              </w:rPr>
              <w:t>-180.3</w:t>
            </w:r>
          </w:p>
        </w:tc>
        <w:tc>
          <w:tcPr>
            <w:tcW w:type="dxa" w:w="1417"/>
          </w:tcPr>
          <w:p>
            <w:pPr>
              <w:spacing w:after="0" w:line="240" w:lineRule="auto"/>
              <w:jc w:val="right"/>
            </w:pPr>
            <w:r/>
            <w:r>
              <w:rPr>
                <w:sz w:val="18"/>
              </w:rPr>
              <w:t>408.6</w:t>
            </w:r>
          </w:p>
        </w:tc>
        <w:tc>
          <w:tcPr>
            <w:tcW w:type="dxa" w:w="1361"/>
          </w:tcPr>
          <w:p>
            <w:pPr>
              <w:spacing w:after="0" w:line="240" w:lineRule="auto"/>
              <w:jc w:val="right"/>
            </w:pPr>
            <w:r/>
            <w:r>
              <w:rPr>
                <w:sz w:val="18"/>
              </w:rPr>
              <w:t>339.9</w:t>
            </w:r>
          </w:p>
        </w:tc>
      </w:tr>
      <w:tr>
        <w:trPr>
          <w:cantSplit/>
        </w:trPr>
        <w:tc>
          <w:tcPr>
            <w:tcW w:type="dxa" w:w="1361"/>
            <w:shd w:val="clear" w:color="auto" w:fill="F2F4F7"/>
          </w:tcPr>
          <w:p>
            <w:pPr>
              <w:spacing w:after="0" w:line="240" w:lineRule="auto"/>
            </w:pPr>
            <w:r/>
            <w:r>
              <w:rPr>
                <w:sz w:val="18"/>
              </w:rPr>
              <w:t>Year 3</w:t>
            </w:r>
          </w:p>
        </w:tc>
        <w:tc>
          <w:tcPr>
            <w:tcW w:type="dxa" w:w="1417"/>
            <w:shd w:val="clear" w:color="auto" w:fill="F2F4F7"/>
          </w:tcPr>
          <w:p>
            <w:pPr>
              <w:spacing w:after="0" w:line="240" w:lineRule="auto"/>
              <w:jc w:val="right"/>
            </w:pPr>
            <w:r/>
            <w:r>
              <w:rPr>
                <w:sz w:val="18"/>
              </w:rPr>
              <w:t>530.7</w:t>
            </w:r>
          </w:p>
        </w:tc>
        <w:tc>
          <w:tcPr>
            <w:tcW w:type="dxa" w:w="1644"/>
            <w:shd w:val="clear" w:color="auto" w:fill="F2F4F7"/>
          </w:tcPr>
          <w:p>
            <w:pPr>
              <w:spacing w:after="0" w:line="240" w:lineRule="auto"/>
              <w:jc w:val="right"/>
            </w:pPr>
            <w:r/>
            <w:r>
              <w:rPr>
                <w:sz w:val="18"/>
              </w:rPr>
              <w:t>-157.5</w:t>
            </w:r>
          </w:p>
        </w:tc>
        <w:tc>
          <w:tcPr>
            <w:tcW w:type="dxa" w:w="2041"/>
            <w:shd w:val="clear" w:color="auto" w:fill="F2F4F7"/>
          </w:tcPr>
          <w:p>
            <w:pPr>
              <w:spacing w:after="0" w:line="240" w:lineRule="auto"/>
              <w:jc w:val="right"/>
            </w:pPr>
            <w:r/>
            <w:r>
              <w:rPr>
                <w:sz w:val="18"/>
              </w:rPr>
              <w:t>-319.1</w:t>
            </w:r>
          </w:p>
        </w:tc>
        <w:tc>
          <w:tcPr>
            <w:tcW w:type="dxa" w:w="1417"/>
            <w:shd w:val="clear" w:color="auto" w:fill="F2F4F7"/>
          </w:tcPr>
          <w:p>
            <w:pPr>
              <w:spacing w:after="0" w:line="240" w:lineRule="auto"/>
              <w:jc w:val="right"/>
            </w:pPr>
            <w:r/>
            <w:r>
              <w:rPr>
                <w:sz w:val="18"/>
              </w:rPr>
              <w:t>54.2</w:t>
            </w:r>
          </w:p>
        </w:tc>
        <w:tc>
          <w:tcPr>
            <w:tcW w:type="dxa" w:w="1361"/>
            <w:shd w:val="clear" w:color="auto" w:fill="F2F4F7"/>
          </w:tcPr>
          <w:p>
            <w:pPr>
              <w:spacing w:after="0" w:line="240" w:lineRule="auto"/>
              <w:jc w:val="right"/>
            </w:pPr>
            <w:r/>
            <w:r>
              <w:rPr>
                <w:sz w:val="18"/>
              </w:rPr>
              <w:t>394.0</w:t>
            </w:r>
          </w:p>
        </w:tc>
      </w:tr>
      <w:tr>
        <w:trPr>
          <w:cantSplit/>
        </w:trPr>
        <w:tc>
          <w:tcPr>
            <w:tcW w:type="dxa" w:w="1361"/>
          </w:tcPr>
          <w:p>
            <w:pPr>
              <w:spacing w:after="0" w:line="240" w:lineRule="auto"/>
            </w:pPr>
            <w:r/>
            <w:r>
              <w:rPr>
                <w:sz w:val="18"/>
              </w:rPr>
              <w:t>Year 4</w:t>
            </w:r>
          </w:p>
        </w:tc>
        <w:tc>
          <w:tcPr>
            <w:tcW w:type="dxa" w:w="1417"/>
          </w:tcPr>
          <w:p>
            <w:pPr>
              <w:spacing w:after="0" w:line="240" w:lineRule="auto"/>
              <w:jc w:val="right"/>
            </w:pPr>
            <w:r/>
            <w:r>
              <w:rPr>
                <w:sz w:val="18"/>
              </w:rPr>
              <w:t>260.3</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-339.1</w:t>
            </w:r>
          </w:p>
        </w:tc>
        <w:tc>
          <w:tcPr>
            <w:tcW w:type="dxa" w:w="1417"/>
          </w:tcPr>
          <w:p>
            <w:pPr>
              <w:spacing w:after="0" w:line="240" w:lineRule="auto"/>
              <w:jc w:val="right"/>
            </w:pPr>
            <w:r/>
            <w:r>
              <w:rPr>
                <w:sz w:val="18"/>
              </w:rPr>
              <w:t>-258.8</w:t>
            </w:r>
          </w:p>
        </w:tc>
        <w:tc>
          <w:tcPr>
            <w:tcW w:type="dxa" w:w="1361"/>
          </w:tcPr>
          <w:p>
            <w:pPr>
              <w:spacing w:after="0" w:line="240" w:lineRule="auto"/>
              <w:jc w:val="right"/>
            </w:pPr>
            <w:r/>
            <w:r>
              <w:rPr>
                <w:sz w:val="18"/>
              </w:rPr>
              <w:t>135.3</w:t>
            </w:r>
          </w:p>
        </w:tc>
      </w:tr>
      <w:tr>
        <w:trPr>
          <w:cantSplit/>
        </w:trPr>
        <w:tc>
          <w:tcPr>
            <w:tcW w:type="dxa" w:w="1361"/>
            <w:shd w:val="clear" w:color="auto" w:fill="F2F4F7"/>
          </w:tcPr>
          <w:p>
            <w:pPr>
              <w:spacing w:after="0" w:line="240" w:lineRule="auto"/>
            </w:pPr>
            <w:r/>
            <w:r>
              <w:rPr>
                <w:sz w:val="18"/>
              </w:rPr>
              <w:t>Year 5</w:t>
            </w:r>
          </w:p>
        </w:tc>
        <w:tc>
          <w:tcPr>
            <w:tcW w:type="dxa" w:w="1417"/>
            <w:shd w:val="clear" w:color="auto" w:fill="F2F4F7"/>
          </w:tcPr>
          <w:p>
            <w:pPr>
              <w:spacing w:after="0" w:line="240" w:lineRule="auto"/>
              <w:jc w:val="right"/>
            </w:pPr>
            <w:r/>
            <w:r>
              <w:rPr>
                <w:sz w:val="18"/>
              </w:rPr>
              <w:t>194.6</w:t>
            </w:r>
          </w:p>
        </w:tc>
        <w:tc>
          <w:tcPr>
            <w:tcW w:type="dxa" w:w="1644"/>
            <w:shd w:val="clear" w:color="auto" w:fill="F2F4F7"/>
          </w:tcPr>
          <w:p>
            <w:pPr>
              <w:spacing w:after="0" w:line="240" w:lineRule="auto"/>
              <w:jc w:val="right"/>
            </w:pPr>
            <w:r/>
            <w:r>
              <w:rPr>
                <w:sz w:val="18"/>
              </w:rPr>
              <w:t>-135.0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59.6</w:t>
            </w:r>
          </w:p>
        </w:tc>
        <w:tc>
          <w:tcPr>
            <w:tcW w:type="dxa" w:w="1361"/>
            <w:shd w:val="clear" w:color="auto" w:fill="F2F4F7"/>
          </w:tcPr>
          <w:p>
            <w:pPr>
              <w:spacing w:after="0" w:line="240" w:lineRule="auto"/>
              <w:jc w:val="right"/>
            </w:pPr>
            <w:r/>
            <w:r>
              <w:rPr>
                <w:sz w:val="18"/>
              </w:rPr>
              <w:t>194.9</w:t>
            </w:r>
          </w:p>
        </w:tc>
      </w:tr>
      <w:tr>
        <w:trPr>
          <w:cantSplit/>
        </w:trPr>
        <w:tc>
          <w:tcPr>
            <w:tcW w:type="dxa" w:w="1361"/>
          </w:tcPr>
          <w:p>
            <w:pPr>
              <w:spacing w:after="0" w:line="240" w:lineRule="auto"/>
            </w:pPr>
            <w:r/>
            <w:r>
              <w:rPr>
                <w:sz w:val="18"/>
              </w:rPr>
              <w:t>Year 6</w:t>
            </w:r>
          </w:p>
        </w:tc>
        <w:tc>
          <w:tcPr>
            <w:tcW w:type="dxa" w:w="1417"/>
          </w:tcPr>
          <w:p>
            <w:pPr>
              <w:spacing w:after="0" w:line="240" w:lineRule="auto"/>
              <w:jc w:val="right"/>
            </w:pPr>
            <w:r/>
            <w:r>
              <w:rPr>
                <w:sz w:val="18"/>
              </w:rPr>
              <w:t>153.6</w:t>
            </w:r>
          </w:p>
        </w:tc>
        <w:tc>
          <w:tcPr>
            <w:tcW w:type="dxa" w:w="1644"/>
          </w:tcPr>
          <w:p>
            <w:pPr>
              <w:spacing w:after="0" w:line="240" w:lineRule="auto"/>
              <w:jc w:val="right"/>
            </w:pPr>
            <w:r/>
            <w:r>
              <w:rPr>
                <w:sz w:val="18"/>
              </w:rPr>
              <w:t>-45.0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108.6</w:t>
            </w:r>
          </w:p>
        </w:tc>
        <w:tc>
          <w:tcPr>
            <w:tcW w:type="dxa" w:w="1361"/>
          </w:tcPr>
          <w:p>
            <w:pPr>
              <w:spacing w:after="0" w:line="240" w:lineRule="auto"/>
              <w:jc w:val="right"/>
            </w:pPr>
            <w:r/>
            <w:r>
              <w:rPr>
                <w:sz w:val="18"/>
              </w:rPr>
              <w:t>303.4</w:t>
            </w:r>
          </w:p>
        </w:tc>
      </w:tr>
      <w:tr>
        <w:trPr>
          <w:cantSplit/>
        </w:trPr>
        <w:tc>
          <w:tcPr>
            <w:tcW w:type="dxa" w:w="1361"/>
            <w:shd w:val="clear" w:color="auto" w:fill="F2F4F7"/>
          </w:tcPr>
          <w:p>
            <w:pPr>
              <w:spacing w:after="0" w:line="240" w:lineRule="auto"/>
            </w:pPr>
            <w:r/>
            <w:r>
              <w:rPr>
                <w:sz w:val="18"/>
              </w:rPr>
              <w:t>Year 7</w:t>
            </w:r>
          </w:p>
        </w:tc>
        <w:tc>
          <w:tcPr>
            <w:tcW w:type="dxa" w:w="1417"/>
            <w:shd w:val="clear" w:color="auto" w:fill="F2F4F7"/>
          </w:tcPr>
          <w:p>
            <w:pPr>
              <w:spacing w:after="0" w:line="240" w:lineRule="auto"/>
              <w:jc w:val="right"/>
            </w:pPr>
            <w:r/>
            <w:r>
              <w:rPr>
                <w:sz w:val="18"/>
              </w:rPr>
              <w:t>104.7</w:t>
            </w:r>
          </w:p>
        </w:tc>
        <w:tc>
          <w:tcPr>
            <w:tcW w:type="dxa" w:w="1644"/>
            <w:shd w:val="clear" w:color="auto" w:fill="F2F4F7"/>
          </w:tcPr>
          <w:p>
            <w:pPr>
              <w:spacing w:after="0" w:line="240" w:lineRule="auto"/>
              <w:jc w:val="right"/>
            </w:pPr>
            <w:r/>
            <w:r>
              <w:rPr>
                <w:sz w:val="18"/>
              </w:rPr>
              <w:t>-118.7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-14.0</w:t>
            </w:r>
          </w:p>
        </w:tc>
        <w:tc>
          <w:tcPr>
            <w:tcW w:type="dxa" w:w="1361"/>
            <w:shd w:val="clear" w:color="auto" w:fill="F2F4F7"/>
          </w:tcPr>
          <w:p>
            <w:pPr>
              <w:spacing w:after="0" w:line="240" w:lineRule="auto"/>
              <w:jc w:val="right"/>
            </w:pPr>
            <w:r/>
            <w:r>
              <w:rPr>
                <w:sz w:val="18"/>
              </w:rPr>
              <w:t>289.4</w:t>
            </w:r>
          </w:p>
        </w:tc>
      </w:tr>
      <w:tr>
        <w:trPr>
          <w:cantSplit/>
        </w:trPr>
        <w:tc>
          <w:tcPr>
            <w:tcW w:type="dxa" w:w="1361"/>
          </w:tcPr>
          <w:p>
            <w:pPr>
              <w:spacing w:after="0" w:line="240" w:lineRule="auto"/>
            </w:pPr>
            <w:r/>
            <w:r>
              <w:rPr>
                <w:sz w:val="18"/>
              </w:rPr>
              <w:t>Year 8</w:t>
            </w:r>
          </w:p>
        </w:tc>
        <w:tc>
          <w:tcPr>
            <w:tcW w:type="dxa" w:w="1417"/>
          </w:tcPr>
          <w:p>
            <w:pPr>
              <w:spacing w:after="0" w:line="240" w:lineRule="auto"/>
              <w:jc w:val="right"/>
            </w:pPr>
            <w:r/>
            <w:r>
              <w:rPr>
                <w:sz w:val="18"/>
              </w:rPr>
              <w:t>98.2</w:t>
            </w:r>
          </w:p>
        </w:tc>
        <w:tc>
          <w:tcPr>
            <w:tcW w:type="dxa" w:w="1644"/>
          </w:tcPr>
          <w:p>
            <w:pPr>
              <w:spacing w:after="0" w:line="240" w:lineRule="auto"/>
              <w:jc w:val="right"/>
            </w:pPr>
            <w:r/>
            <w:r>
              <w:rPr>
                <w:sz w:val="18"/>
              </w:rPr>
              <w:t>-43.0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55.2</w:t>
            </w:r>
          </w:p>
        </w:tc>
        <w:tc>
          <w:tcPr>
            <w:tcW w:type="dxa" w:w="1361"/>
          </w:tcPr>
          <w:p>
            <w:pPr>
              <w:spacing w:after="0" w:line="240" w:lineRule="auto"/>
              <w:jc w:val="right"/>
            </w:pPr>
            <w:r/>
            <w:r>
              <w:rPr>
                <w:sz w:val="18"/>
              </w:rPr>
              <w:t>344.6</w:t>
            </w:r>
          </w:p>
        </w:tc>
      </w:tr>
      <w:tr>
        <w:trPr>
          <w:cantSplit/>
        </w:trPr>
        <w:tc>
          <w:tcPr>
            <w:tcW w:type="dxa" w:w="1361"/>
            <w:shd w:val="clear" w:color="auto" w:fill="F2F4F7"/>
          </w:tcPr>
          <w:p>
            <w:pPr>
              <w:spacing w:after="0" w:line="240" w:lineRule="auto"/>
            </w:pPr>
            <w:r/>
            <w:r>
              <w:rPr>
                <w:sz w:val="18"/>
              </w:rPr>
              <w:t>Year 9</w:t>
            </w:r>
          </w:p>
        </w:tc>
        <w:tc>
          <w:tcPr>
            <w:tcW w:type="dxa" w:w="1417"/>
            <w:shd w:val="clear" w:color="auto" w:fill="F2F4F7"/>
          </w:tcPr>
          <w:p>
            <w:pPr>
              <w:spacing w:after="0" w:line="240" w:lineRule="auto"/>
              <w:jc w:val="right"/>
            </w:pPr>
            <w:r/>
            <w:r>
              <w:rPr>
                <w:sz w:val="18"/>
              </w:rPr>
              <w:t>54.8</w:t>
            </w:r>
          </w:p>
        </w:tc>
        <w:tc>
          <w:tcPr>
            <w:tcW w:type="dxa" w:w="1644"/>
            <w:shd w:val="clear" w:color="auto" w:fill="F2F4F7"/>
          </w:tcPr>
          <w:p>
            <w:pPr>
              <w:spacing w:after="0" w:line="240" w:lineRule="auto"/>
              <w:jc w:val="right"/>
            </w:pPr>
            <w:r/>
            <w:r>
              <w:rPr>
                <w:sz w:val="18"/>
              </w:rPr>
              <w:t>-24.0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30.8</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10</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sz w:val="18"/>
              </w:rPr>
              <w:t>Year 11</w:t>
            </w:r>
          </w:p>
        </w:tc>
        <w:tc>
          <w:tcPr>
            <w:tcW w:type="dxa" w:w="1417"/>
            <w:shd w:val="clear" w:color="auto" w:fill="F2F4F7"/>
          </w:tcPr>
          <w:p>
            <w:pPr>
              <w:spacing w:after="0" w:line="240" w:lineRule="auto"/>
              <w:jc w:val="right"/>
            </w:pPr>
            <w:r/>
            <w:r>
              <w:rPr>
                <w:sz w:val="18"/>
              </w:rPr>
              <w:t>0.0</w:t>
            </w:r>
          </w:p>
        </w:tc>
        <w:tc>
          <w:tcPr>
            <w:tcW w:type="dxa" w:w="1644"/>
            <w:shd w:val="clear" w:color="auto" w:fill="F2F4F7"/>
          </w:tcPr>
          <w:p>
            <w:pPr>
              <w:spacing w:after="0" w:line="240" w:lineRule="auto"/>
              <w:jc w:val="right"/>
            </w:pPr>
            <w:r/>
            <w:r>
              <w:rPr>
                <w:sz w:val="18"/>
              </w:rPr>
              <w:t>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0.0</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b/>
                <w:sz w:val="18"/>
              </w:rPr>
              <w:t>Total</w:t>
            </w:r>
          </w:p>
        </w:tc>
        <w:tc>
          <w:tcPr>
            <w:tcW w:type="dxa" w:w="1417"/>
          </w:tcPr>
          <w:p>
            <w:pPr>
              <w:spacing w:after="0" w:line="240" w:lineRule="auto"/>
              <w:jc w:val="right"/>
            </w:pPr>
            <w:r/>
            <w:r>
              <w:rPr>
                <w:b/>
                <w:sz w:val="18"/>
              </w:rPr>
              <w:t>2,253.0</w:t>
            </w:r>
          </w:p>
        </w:tc>
        <w:tc>
          <w:tcPr>
            <w:tcW w:type="dxa" w:w="1644"/>
          </w:tcPr>
          <w:p>
            <w:pPr>
              <w:spacing w:after="0" w:line="240" w:lineRule="auto"/>
              <w:jc w:val="right"/>
            </w:pPr>
            <w:r/>
            <w:r>
              <w:rPr>
                <w:b/>
                <w:sz w:val="18"/>
              </w:rPr>
              <w:t>-985.7</w:t>
            </w:r>
          </w:p>
        </w:tc>
        <w:tc>
          <w:tcPr>
            <w:tcW w:type="dxa" w:w="2041"/>
          </w:tcPr>
          <w:p>
            <w:pPr>
              <w:spacing w:after="0" w:line="240" w:lineRule="auto"/>
              <w:jc w:val="right"/>
            </w:pPr>
            <w:r/>
            <w:r>
              <w:rPr>
                <w:b/>
                <w:sz w:val="18"/>
              </w:rPr>
              <w:t>-891.9</w:t>
            </w:r>
          </w:p>
        </w:tc>
        <w:tc>
          <w:tcPr>
            <w:tcW w:type="dxa" w:w="1417"/>
          </w:tcPr>
          <w:p>
            <w:pPr>
              <w:spacing w:after="0" w:line="240" w:lineRule="auto"/>
              <w:jc w:val="right"/>
            </w:pPr>
            <w:r/>
            <w:r>
              <w:rPr>
                <w:b/>
                <w:sz w:val="18"/>
              </w:rPr>
              <w:t>375.4</w:t>
            </w:r>
          </w:p>
        </w:tc>
        <w:tc>
          <w:tcPr>
            <w:tcW w:type="dxa" w:w="1361"/>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24.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230 million to EGP 173 million; a 20% overrun to EGP 117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50.0</w:t>
            </w:r>
          </w:p>
        </w:tc>
        <w:tc>
          <w:tcPr>
            <w:tcW w:type="dxa" w:w="2098"/>
          </w:tcPr>
          <w:p>
            <w:pPr>
              <w:spacing w:after="0" w:line="240" w:lineRule="auto"/>
              <w:jc w:val="right"/>
            </w:pPr>
            <w:r/>
            <w:r>
              <w:rPr>
                <w:sz w:val="19"/>
              </w:rPr>
              <w:t>44%</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63.0</w:t>
            </w:r>
          </w:p>
        </w:tc>
        <w:tc>
          <w:tcPr>
            <w:tcW w:type="dxa" w:w="2098"/>
            <w:shd w:val="clear" w:color="auto" w:fill="F2F4F7"/>
          </w:tcPr>
          <w:p>
            <w:pPr>
              <w:spacing w:after="0" w:line="240" w:lineRule="auto"/>
              <w:jc w:val="right"/>
            </w:pPr>
            <w:r/>
            <w:r>
              <w:rPr>
                <w:sz w:val="19"/>
              </w:rPr>
              <w:t>56%</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49% of the modelled peak cumulative shortage of EGP 102.5 million (month 0).</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230</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-36</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336</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173</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134</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166</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-86</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3 and 6), EGP 606 million at list; the investor receives 16.5% of them.</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32.3 million (143 m2) and offices EGP 67.7 million (502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143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35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42; resale over four quarters from month 45;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115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9.58 million in months 24 to 57</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24</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9.58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27</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19.17</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28.75</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47.92</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67.08</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86.25</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105.42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115.00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17% of those tranches' collections. Jalour receives the ticket at funding and forgoes those collections (the units' face value of EGP 100 million at list) as they would have been received, partly offset by commission saved. The landlord share is unchanged. On this basis Jalour's cost of capital is 20.7%; the NPV effect at 14% is EGP -10.2 million and the project NPV after the deal is EGP 220 million (before: 230). Peak cumulative shortage before the ticket rises to EGP 103.2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-430</w:t>
            </w:r>
          </w:p>
        </w:tc>
        <w:tc>
          <w:tcPr>
            <w:tcW w:type="dxa" w:w="1474"/>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-277</w:t>
            </w:r>
          </w:p>
        </w:tc>
      </w:tr>
    </w:tbl>
    <w:p>
      <w:pPr>
        <w:spacing w:after="80"/>
      </w:pPr>
    </w:p>
    <w:p>
      <w:r>
        <w:rPr>
          <w:b w:val="0"/>
          <w:i w:val="0"/>
        </w:rPr>
        <w:t>In the base case the lowest pooled cash of EGP -52.5 million arises in month 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24</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44.0x</w:t>
            </w:r>
          </w:p>
        </w:tc>
        <w:tc>
          <w:tcPr>
            <w:tcW w:type="dxa" w:w="2041"/>
          </w:tcPr>
          <w:p>
            <w:pPr>
              <w:spacing w:after="0" w:line="240" w:lineRule="auto"/>
              <w:jc w:val="right"/>
            </w:pPr>
            <w:r/>
            <w:r>
              <w:rPr>
                <w:sz w:val="18"/>
              </w:rPr>
              <w:t>40.7x</w:t>
            </w:r>
          </w:p>
        </w:tc>
      </w:tr>
      <w:tr>
        <w:trPr>
          <w:cantSplit/>
        </w:trPr>
        <w:tc>
          <w:tcPr>
            <w:tcW w:type="dxa" w:w="1134"/>
            <w:shd w:val="clear" w:color="auto" w:fill="F2F4F7"/>
          </w:tcPr>
          <w:p>
            <w:pPr>
              <w:spacing w:after="0" w:line="240" w:lineRule="auto"/>
            </w:pPr>
            <w:r/>
            <w:r>
              <w:rPr>
                <w:sz w:val="18"/>
              </w:rPr>
              <w:t>27</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14.5x</w:t>
            </w:r>
          </w:p>
        </w:tc>
        <w:tc>
          <w:tcPr>
            <w:tcW w:type="dxa" w:w="2041"/>
            <w:shd w:val="clear" w:color="auto" w:fill="F2F4F7"/>
          </w:tcPr>
          <w:p>
            <w:pPr>
              <w:spacing w:after="0" w:line="240" w:lineRule="auto"/>
              <w:jc w:val="right"/>
            </w:pPr>
            <w:r/>
            <w:r>
              <w:rPr>
                <w:sz w:val="18"/>
              </w:rPr>
              <w:t>54.2x</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13.5x</w:t>
            </w:r>
          </w:p>
        </w:tc>
        <w:tc>
          <w:tcPr>
            <w:tcW w:type="dxa" w:w="2041"/>
          </w:tcPr>
          <w:p>
            <w:pPr>
              <w:spacing w:after="0" w:line="240" w:lineRule="auto"/>
              <w:jc w:val="right"/>
            </w:pPr>
            <w:r/>
            <w:r>
              <w:rPr>
                <w:sz w:val="18"/>
              </w:rPr>
              <w:t>66.7x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-9.7x</w:t>
            </w:r>
          </w:p>
        </w:tc>
        <w:tc>
          <w:tcPr>
            <w:tcW w:type="dxa" w:w="2041"/>
            <w:shd w:val="clear" w:color="auto" w:fill="F2F4F7"/>
          </w:tcPr>
          <w:p>
            <w:pPr>
              <w:spacing w:after="0" w:line="240" w:lineRule="auto"/>
              <w:jc w:val="right"/>
            </w:pPr>
            <w:r/>
            <w:r>
              <w:rPr>
                <w:sz w:val="18"/>
              </w:rPr>
              <w:t>56.0x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-12.6x</w:t>
            </w:r>
          </w:p>
        </w:tc>
        <w:tc>
          <w:tcPr>
            <w:tcW w:type="dxa" w:w="2041"/>
          </w:tcPr>
          <w:p>
            <w:pPr>
              <w:spacing w:after="0" w:line="240" w:lineRule="auto"/>
              <w:jc w:val="right"/>
            </w:pPr>
            <w:r/>
            <w:r>
              <w:rPr>
                <w:sz w:val="18"/>
              </w:rPr>
              <w:t>42.3x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-17.9x</w:t>
            </w:r>
          </w:p>
        </w:tc>
        <w:tc>
          <w:tcPr>
            <w:tcW w:type="dxa" w:w="2041"/>
            <w:shd w:val="clear" w:color="auto" w:fill="F2F4F7"/>
          </w:tcPr>
          <w:p>
            <w:pPr>
              <w:spacing w:after="0" w:line="240" w:lineRule="auto"/>
              <w:jc w:val="right"/>
            </w:pPr>
            <w:r/>
            <w:r>
              <w:rPr>
                <w:sz w:val="18"/>
              </w:rPr>
              <w:t>23.4x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-12.3x</w:t>
            </w:r>
          </w:p>
        </w:tc>
        <w:tc>
          <w:tcPr>
            <w:tcW w:type="dxa" w:w="2041"/>
          </w:tcPr>
          <w:p>
            <w:pPr>
              <w:spacing w:after="0" w:line="240" w:lineRule="auto"/>
              <w:jc w:val="right"/>
            </w:pPr>
            <w:r/>
            <w:r>
              <w:rPr>
                <w:sz w:val="18"/>
              </w:rPr>
              <w:t>10.1x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1.7x</w:t>
            </w:r>
          </w:p>
        </w:tc>
        <w:tc>
          <w:tcPr>
            <w:tcW w:type="dxa" w:w="2041"/>
            <w:shd w:val="clear" w:color="auto" w:fill="F2F4F7"/>
          </w:tcPr>
          <w:p>
            <w:pPr>
              <w:spacing w:after="0" w:line="240" w:lineRule="auto"/>
              <w:jc w:val="right"/>
            </w:pPr>
            <w:r/>
            <w:r>
              <w:rPr>
                <w:sz w:val="18"/>
              </w:rPr>
              <w:t>10.8x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1.5x</w:t>
            </w:r>
          </w:p>
        </w:tc>
        <w:tc>
          <w:tcPr>
            <w:tcW w:type="dxa" w:w="2041"/>
          </w:tcPr>
          <w:p>
            <w:pPr>
              <w:spacing w:after="0" w:line="240" w:lineRule="auto"/>
              <w:jc w:val="right"/>
            </w:pPr>
            <w:r/>
            <w:r>
              <w:rPr>
                <w:sz w:val="18"/>
              </w:rPr>
              <w:t>11.3x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0.9x</w:t>
            </w:r>
          </w:p>
        </w:tc>
        <w:tc>
          <w:tcPr>
            <w:tcW w:type="dxa" w:w="2041"/>
            <w:shd w:val="clear" w:color="auto" w:fill="F2F4F7"/>
          </w:tcPr>
          <w:p>
            <w:pPr>
              <w:spacing w:after="0" w:line="240" w:lineRule="auto"/>
              <w:jc w:val="right"/>
            </w:pPr>
            <w:r/>
            <w:r>
              <w:rPr>
                <w:sz w:val="18"/>
              </w:rPr>
              <w:t>11.2x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0.5x</w:t>
            </w:r>
          </w:p>
        </w:tc>
        <w:tc>
          <w:tcPr>
            <w:tcW w:type="dxa" w:w="2041"/>
          </w:tcPr>
          <w:p>
            <w:pPr>
              <w:spacing w:after="0" w:line="240" w:lineRule="auto"/>
              <w:jc w:val="right"/>
            </w:pPr>
            <w:r/>
            <w:r>
              <w:rPr>
                <w:sz w:val="18"/>
              </w:rPr>
              <w:t>10.7x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2.8x</w:t>
            </w:r>
          </w:p>
        </w:tc>
        <w:tc>
          <w:tcPr>
            <w:tcW w:type="dxa" w:w="2041"/>
            <w:shd w:val="clear" w:color="auto" w:fill="F2F4F7"/>
          </w:tcPr>
          <w:p>
            <w:pPr>
              <w:spacing w:after="0" w:line="240" w:lineRule="auto"/>
              <w:jc w:val="right"/>
            </w:pPr>
            <w:r/>
            <w:r>
              <w:rPr>
                <w:sz w:val="18"/>
              </w:rPr>
              <w:t>12.5x</w:t>
            </w:r>
          </w:p>
        </w:tc>
      </w:tr>
    </w:tbl>
    <w:p>
      <w:pPr>
        <w:spacing w:after="80"/>
      </w:pPr>
    </w:p>
    <w:p>
      <w:r>
        <w:rPr>
          <w:b w:val="0"/>
          <w:i w:val="0"/>
        </w:rPr>
        <w:t>Coverage on net cash flow alone is below the 1.5x threshold in 6 of 12 quarters, because instalments fall in the construction peak and in the quarters after handover when collections are thin. "Cash available" adds pooled project cash, including the ticket and earlier collections, and is at least 10.1x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6 of 12</w:t>
            </w:r>
          </w:p>
        </w:tc>
        <w:tc>
          <w:tcPr>
            <w:tcW w:type="dxa" w:w="1587"/>
          </w:tcPr>
          <w:p>
            <w:pPr>
              <w:spacing w:after="0" w:line="240" w:lineRule="auto"/>
              <w:jc w:val="right"/>
            </w:pPr>
            <w:r/>
            <w:r>
              <w:rPr>
                <w:sz w:val="18"/>
              </w:rPr>
              <w:t>-430</w:t>
            </w:r>
          </w:p>
        </w:tc>
        <w:tc>
          <w:tcPr>
            <w:tcW w:type="dxa" w:w="1020"/>
          </w:tcPr>
          <w:p>
            <w:pPr>
              <w:spacing w:after="0" w:line="240" w:lineRule="auto"/>
              <w:jc w:val="right"/>
            </w:pPr>
            <w:r/>
            <w:r>
              <w:rPr>
                <w:sz w:val="18"/>
              </w:rPr>
              <w:t>57</w:t>
            </w:r>
          </w:p>
        </w:tc>
      </w:tr>
      <w:tr>
        <w:trPr>
          <w:cantSplit/>
        </w:trPr>
        <w:tc>
          <w:tcPr>
            <w:tcW w:type="dxa" w:w="3515"/>
            <w:shd w:val="clear" w:color="auto" w:fill="F2F4F7"/>
          </w:tcPr>
          <w:p>
            <w:pPr>
              <w:spacing w:after="0" w:line="240" w:lineRule="auto"/>
            </w:pPr>
            <w:r/>
            <w:r>
              <w:rPr>
                <w:sz w:val="18"/>
              </w:rPr>
              <w:t>S2 12.4%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6 of 12</w:t>
            </w:r>
          </w:p>
        </w:tc>
        <w:tc>
          <w:tcPr>
            <w:tcW w:type="dxa" w:w="1587"/>
            <w:shd w:val="clear" w:color="auto" w:fill="F2F4F7"/>
          </w:tcPr>
          <w:p>
            <w:pPr>
              <w:spacing w:after="0" w:line="240" w:lineRule="auto"/>
              <w:jc w:val="right"/>
            </w:pPr>
            <w:r/>
            <w:r>
              <w:rPr>
                <w:sz w:val="18"/>
              </w:rPr>
              <w:t>-421</w:t>
            </w:r>
          </w:p>
        </w:tc>
        <w:tc>
          <w:tcPr>
            <w:tcW w:type="dxa" w:w="1020"/>
            <w:shd w:val="clear" w:color="auto" w:fill="F2F4F7"/>
          </w:tcPr>
          <w:p>
            <w:pPr>
              <w:spacing w:after="0" w:line="240" w:lineRule="auto"/>
              <w:jc w:val="right"/>
            </w:pPr>
            <w:r/>
            <w:r>
              <w:rPr>
                <w:sz w:val="18"/>
              </w:rPr>
              <w:t>60</w:t>
            </w:r>
          </w:p>
        </w:tc>
      </w:tr>
      <w:tr>
        <w:trPr>
          <w:cantSplit/>
        </w:trPr>
        <w:tc>
          <w:tcPr>
            <w:tcW w:type="dxa" w:w="3515"/>
          </w:tcPr>
          <w:p>
            <w:pPr>
              <w:spacing w:after="0" w:line="240" w:lineRule="auto"/>
            </w:pPr>
            <w:r/>
            <w:r>
              <w:rPr>
                <w:sz w:val="18"/>
              </w:rPr>
              <w:t>S3 Fixed 1.8x plus 1.7%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6 of 12</w:t>
            </w:r>
          </w:p>
        </w:tc>
        <w:tc>
          <w:tcPr>
            <w:tcW w:type="dxa" w:w="1587"/>
          </w:tcPr>
          <w:p>
            <w:pPr>
              <w:spacing w:after="0" w:line="240" w:lineRule="auto"/>
              <w:jc w:val="right"/>
            </w:pPr>
            <w:r/>
            <w:r>
              <w:rPr>
                <w:sz w:val="18"/>
              </w:rPr>
              <w:t>-425</w:t>
            </w:r>
          </w:p>
        </w:tc>
        <w:tc>
          <w:tcPr>
            <w:tcW w:type="dxa" w:w="1020"/>
          </w:tcPr>
          <w:p>
            <w:pPr>
              <w:spacing w:after="0" w:line="240" w:lineRule="auto"/>
              <w:jc w:val="right"/>
            </w:pPr>
            <w:r/>
            <w:r>
              <w:rPr>
                <w:sz w:val="18"/>
              </w:rPr>
              <w:t>57</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230</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124</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336</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442</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138</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52</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-28</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-103</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173</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117</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181</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134</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44</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42; units can be registered and sold from handover. The base case assumes sale over four quarters from month 45.</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21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21</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39; for Option A, payback in the base case is month 48.</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52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57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7.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229.9</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-52.5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