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in the plan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124</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336</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138</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52</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-103</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166</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-15.3</w:t>
            </w:r>
          </w:p>
        </w:tc>
        <w:tc>
          <w:tcPr>
            <w:tcW w:type="dxa" w:w="1984"/>
          </w:tcPr>
          <w:p>
            <w:pPr>
              <w:spacing w:after="0" w:line="240" w:lineRule="auto"/>
              <w:jc w:val="right"/>
            </w:pPr>
            <w:r/>
            <w:r>
              <w:rPr>
                <w:sz w:val="19"/>
              </w:rPr>
              <w:t>Removes 25%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-38.3</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-424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18.5%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-411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2.6%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24,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4 of 12 quarters; the minimum on net cash flow is -11.9x. Pooled cash covers at least 5.5x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-424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25% of the launch-priced inventory, which raises the peak shortage before the ticket from EGP 102.5 million to EGP 110.6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