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75 million (USD 1.6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75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150 million, twice the ticket, priced at the launch list (retail EGP 250,000 per m2, offices EGP 160,000 per m2), allocated from the first two sales tranches. At the model's delivery list prices the units are worth EGP 222 million. Projected investor IRR: 29.2% base, 20.4% downside, 32.3% upside.</w:t>
      </w:r>
    </w:p>
    <w:p>
      <w:pPr>
        <w:pStyle w:val="ListBullet"/>
        <w:spacing w:after="60"/>
      </w:pPr>
      <w:r>
        <w:rPr>
          <w:b/>
          <w:i w:val="0"/>
        </w:rPr>
        <w:t>Option B, cash.</w:t>
      </w:r>
      <w:r>
        <w:rPr>
          <w:b w:val="0"/>
          <w:i w:val="0"/>
        </w:rPr>
        <w:t xml:space="preserve"> EGP 172 million (2.3x the ticket) in 12 equal quarterly instalments of EGP 14.38 million after a 24-month grace period, from month 27 to month 60.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75.0</w:t>
            </w:r>
          </w:p>
        </w:tc>
      </w:tr>
      <w:tr>
        <w:trPr>
          <w:cantSplit/>
        </w:trPr>
        <w:tc>
          <w:tcPr>
            <w:tcW w:type="dxa" w:w="6236"/>
            <w:shd w:val="clear" w:color="auto" w:fill="F2F4F7"/>
          </w:tcPr>
          <w:p>
            <w:pPr>
              <w:spacing w:after="0" w:line="240" w:lineRule="auto"/>
            </w:pPr>
            <w:r/>
            <w:r>
              <w:rPr>
                <w:sz w:val="19"/>
              </w:rPr>
              <w:t>Modelled peak cumulative cash shortage (month 18)</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in the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350.6</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42</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172</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36 to 42, inside the payout window), so quarter-by-quarter coverage of instalments is below 1.5x in 3 of 12 quarters. Pooled cash including the ticket covers every instalment at least 2.9x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75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0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42). Measured from launch it is +44% for retail and +50% for offices (48% weighted by the launch tranches), against the 40% to 60% range Jalour expects. Measured from today's office asking prices, the delivery list is +112%, or about 18% a year over 4.7 years measured from today (assumed to be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7 to 42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42</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 construction starts in month 7 and runs 36 months to handover in month 42.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42</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calculated on the full project sales value of EGP 3,342 million at modelled prices. EGP 320 million of that is the excess over the guarantee, settled from year 8.</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EGP 2,674 million over the sales window</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sales launch of the project; the investor funds in month 0, when the landlord down payment falls due</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any financing costs and taxes, and any cost escalation.</w:t>
      </w:r>
    </w:p>
    <w:p>
      <w:pPr>
        <w:pStyle w:val="Heading1"/>
        <w:pageBreakBefore/>
      </w:pPr>
      <w:r>
        <w:t>9. Sales and collections model</w:t>
      </w:r>
    </w:p>
    <w:p>
      <w:pPr>
        <w:keepNext/>
        <w:spacing w:after="60"/>
      </w:pPr>
      <w:r>
        <w:rPr>
          <w:b/>
          <w:color w:val="17324D"/>
          <w:sz w:val="19"/>
        </w:rPr>
        <w:t>Table 11: Sales plan by tranche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3</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6</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The sales plan totals EGP 2,674 million at modelled prices; the landlord share is calculated on the full project sales value of EGP 3,342 million. The first two tranches (months 3 and 6) carry the launch list and total EGP 725 million; Option A units come from these.</w:t>
      </w:r>
    </w:p>
    <w:p>
      <w:pPr>
        <w:keepNext/>
        <w:spacing w:after="60"/>
      </w:pPr>
      <w:r>
        <w:rPr>
          <w:b/>
          <w:color w:val="17324D"/>
          <w:sz w:val="19"/>
        </w:rPr>
        <w:t>Table 12: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Before month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1</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2</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3</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4</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5</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6</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7</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8</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9</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10</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sz w:val="18"/>
              </w:rPr>
              <w:t>Year 11</w:t>
            </w:r>
          </w:p>
        </w:tc>
        <w:tc>
          <w:tcPr>
            <w:tcW w:type="dxa" w:w="1417"/>
            <w:shd w:val="clear" w:color="auto" w:fill="F2F4F7"/>
          </w:tcPr>
          <w:p>
            <w:pPr>
              <w:spacing w:after="0" w:line="240" w:lineRule="auto"/>
              <w:jc w:val="right"/>
            </w:pPr>
            <w:r/>
            <w:r>
              <w:rPr>
                <w:sz w:val="18"/>
              </w:rPr>
              <w:t>0.0</w:t>
            </w:r>
          </w:p>
        </w:tc>
        <w:tc>
          <w:tcPr>
            <w:tcW w:type="dxa" w:w="1644"/>
            <w:shd w:val="clear" w:color="auto" w:fill="F2F4F7"/>
          </w:tcPr>
          <w:p>
            <w:pPr>
              <w:spacing w:after="0" w:line="240" w:lineRule="auto"/>
              <w:jc w:val="right"/>
            </w:pPr>
            <w:r/>
            <w:r>
              <w:rPr>
                <w:sz w:val="18"/>
              </w:rPr>
              <w:t>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0.0</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b/>
                <w:sz w:val="18"/>
              </w:rPr>
              <w:t>Total</w:t>
            </w:r>
          </w:p>
        </w:tc>
        <w:tc>
          <w:tcPr>
            <w:tcW w:type="dxa" w:w="1417"/>
          </w:tcPr>
          <w:p>
            <w:pPr>
              <w:spacing w:after="0" w:line="240" w:lineRule="auto"/>
              <w:jc w:val="right"/>
            </w:pPr>
            <w:r/>
            <w:r>
              <w:rPr>
                <w:b/>
                <w:sz w:val="18"/>
              </w:rPr>
              <w:t>2,673.7</w:t>
            </w:r>
          </w:p>
        </w:tc>
        <w:tc>
          <w:tcPr>
            <w:tcW w:type="dxa" w:w="1644"/>
          </w:tcPr>
          <w:p>
            <w:pPr>
              <w:spacing w:after="0" w:line="240" w:lineRule="auto"/>
              <w:jc w:val="right"/>
            </w:pPr>
            <w:r/>
            <w:r>
              <w:rPr>
                <w:b/>
                <w:sz w:val="18"/>
              </w:rPr>
              <w:t>-1,169.8</w:t>
            </w:r>
          </w:p>
        </w:tc>
        <w:tc>
          <w:tcPr>
            <w:tcW w:type="dxa" w:w="2041"/>
          </w:tcPr>
          <w:p>
            <w:pPr>
              <w:spacing w:after="0" w:line="240" w:lineRule="auto"/>
              <w:jc w:val="right"/>
            </w:pPr>
            <w:r/>
            <w:r>
              <w:rPr>
                <w:b/>
                <w:sz w:val="18"/>
              </w:rPr>
              <w:t>-908.7</w:t>
            </w:r>
          </w:p>
        </w:tc>
        <w:tc>
          <w:tcPr>
            <w:tcW w:type="dxa" w:w="1417"/>
          </w:tcPr>
          <w:p>
            <w:pPr>
              <w:spacing w:after="0" w:line="240" w:lineRule="auto"/>
              <w:jc w:val="right"/>
            </w:pPr>
            <w:r/>
            <w:r>
              <w:rPr>
                <w:b/>
                <w:sz w:val="18"/>
              </w:rPr>
              <w:t>595.3</w:t>
            </w:r>
          </w:p>
        </w:tc>
        <w:tc>
          <w:tcPr>
            <w:tcW w:type="dxa" w:w="1361"/>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33.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351 million to EGP 294 million; a 20% overrun to EGP 237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75.0</w:t>
            </w:r>
          </w:p>
        </w:tc>
        <w:tc>
          <w:tcPr>
            <w:tcW w:type="dxa" w:w="2098"/>
          </w:tcPr>
          <w:p>
            <w:pPr>
              <w:spacing w:after="0" w:line="240" w:lineRule="auto"/>
              <w:jc w:val="right"/>
            </w:pPr>
            <w:r/>
            <w:r>
              <w:rPr>
                <w:sz w:val="19"/>
              </w:rPr>
              <w:t>67%</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37.5</w:t>
            </w:r>
          </w:p>
        </w:tc>
        <w:tc>
          <w:tcPr>
            <w:tcW w:type="dxa" w:w="2098"/>
            <w:shd w:val="clear" w:color="auto" w:fill="F2F4F7"/>
          </w:tcPr>
          <w:p>
            <w:pPr>
              <w:spacing w:after="0" w:line="240" w:lineRule="auto"/>
              <w:jc w:val="right"/>
            </w:pPr>
            <w:r/>
            <w:r>
              <w:rPr>
                <w:sz w:val="19"/>
              </w:rPr>
              <w:t>33%</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74% of the modelled peak cumulative shortage of EGP 102.0 million (month 18).</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351</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45</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469</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294</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239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313</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16</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3 and 6), EGP 725 million at list; the investor receives 20.7% of them.</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46.3 million (185 m2) and offices EGP 103.7 million (648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222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52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42; resale over four quarters from month 45;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172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14.38 million in months 27 to 60</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27</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14.38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30</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28.75</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33</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43.12</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36</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86.25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100.62</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129.38</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158.12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172.50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0.</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21% of those tranches' collections. Jalour receives the ticket at funding and forgoes those collections (the units' face value of EGP 150 million at list) as they would have been received, partly offset by commission saved. The landlord share is unchanged. On this basis Jalour's cost of capital is 22.6%; the NPV effect at 14% is EGP -17.8 million and the project NPV after the deal is EGP 333 million (before: 351). Peak cumulative shortage before the ticket rises to EGP 128.3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-27</w:t>
            </w:r>
          </w:p>
        </w:tc>
        <w:tc>
          <w:tcPr>
            <w:tcW w:type="dxa" w:w="1474"/>
            <w:shd w:val="clear" w:color="auto" w:fill="F2F4F7"/>
          </w:tcPr>
          <w:p>
            <w:pPr>
              <w:spacing w:after="0" w:line="240" w:lineRule="auto"/>
              <w:jc w:val="right"/>
            </w:pPr>
            <w:r/>
            <w:r>
              <w:rPr>
                <w:sz w:val="19"/>
              </w:rPr>
              <w:t>-860</w:t>
            </w:r>
          </w:p>
        </w:tc>
        <w:tc>
          <w:tcPr>
            <w:tcW w:type="dxa" w:w="1474"/>
            <w:shd w:val="clear" w:color="auto" w:fill="F2F4F7"/>
          </w:tcPr>
          <w:p>
            <w:pPr>
              <w:spacing w:after="0" w:line="240" w:lineRule="auto"/>
              <w:jc w:val="right"/>
            </w:pPr>
            <w:r/>
            <w:r>
              <w:rPr>
                <w:sz w:val="19"/>
              </w:rPr>
              <w:t>-13</w:t>
            </w:r>
          </w:p>
        </w:tc>
        <w:tc>
          <w:tcPr>
            <w:tcW w:type="dxa" w:w="1474"/>
            <w:shd w:val="clear" w:color="auto" w:fill="F2F4F7"/>
          </w:tcPr>
          <w:p>
            <w:pPr>
              <w:spacing w:after="0" w:line="240" w:lineRule="auto"/>
              <w:jc w:val="right"/>
            </w:pPr>
            <w:r/>
            <w:r>
              <w:rPr>
                <w:sz w:val="19"/>
              </w:rPr>
              <w:t>-241</w:t>
            </w:r>
          </w:p>
        </w:tc>
      </w:tr>
    </w:tbl>
    <w:p>
      <w:pPr>
        <w:spacing w:after="80"/>
      </w:pPr>
    </w:p>
    <w:p>
      <w:r>
        <w:rPr>
          <w:b w:val="0"/>
          <w:i w:val="0"/>
        </w:rPr>
        <w:t>In the base case the lowest pooled cash of EGP -27.0 million arises in month 18,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27</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3.1x</w:t>
            </w:r>
          </w:p>
        </w:tc>
        <w:tc>
          <w:tcPr>
            <w:tcW w:type="dxa" w:w="2041"/>
          </w:tcPr>
          <w:p>
            <w:pPr>
              <w:spacing w:after="0" w:line="240" w:lineRule="auto"/>
              <w:jc w:val="right"/>
            </w:pPr>
            <w:r/>
            <w:r>
              <w:rPr>
                <w:sz w:val="18"/>
              </w:rPr>
              <w:t>2.9x</w:t>
            </w:r>
          </w:p>
        </w:tc>
      </w:tr>
      <w:tr>
        <w:trPr>
          <w:cantSplit/>
        </w:trPr>
        <w:tc>
          <w:tcPr>
            <w:tcW w:type="dxa" w:w="1134"/>
            <w:shd w:val="clear" w:color="auto" w:fill="F2F4F7"/>
          </w:tcPr>
          <w:p>
            <w:pPr>
              <w:spacing w:after="0" w:line="240" w:lineRule="auto"/>
            </w:pPr>
            <w:r/>
            <w:r>
              <w:rPr>
                <w:sz w:val="18"/>
              </w:rPr>
              <w:t>30</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3.8x</w:t>
            </w:r>
          </w:p>
        </w:tc>
        <w:tc>
          <w:tcPr>
            <w:tcW w:type="dxa" w:w="2041"/>
            <w:shd w:val="clear" w:color="auto" w:fill="F2F4F7"/>
          </w:tcPr>
          <w:p>
            <w:pPr>
              <w:spacing w:after="0" w:line="240" w:lineRule="auto"/>
              <w:jc w:val="right"/>
            </w:pPr>
            <w:r/>
            <w:r>
              <w:rPr>
                <w:sz w:val="18"/>
              </w:rPr>
              <w:t>5.8x</w:t>
            </w:r>
          </w:p>
        </w:tc>
      </w:tr>
      <w:tr>
        <w:trPr>
          <w:cantSplit/>
        </w:trPr>
        <w:tc>
          <w:tcPr>
            <w:tcW w:type="dxa" w:w="1134"/>
          </w:tcPr>
          <w:p>
            <w:pPr>
              <w:spacing w:after="0" w:line="240" w:lineRule="auto"/>
            </w:pPr>
            <w:r/>
            <w:r>
              <w:rPr>
                <w:sz w:val="18"/>
              </w:rPr>
              <w:t>33</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33.5x</w:t>
            </w:r>
          </w:p>
        </w:tc>
        <w:tc>
          <w:tcPr>
            <w:tcW w:type="dxa" w:w="2041"/>
          </w:tcPr>
          <w:p>
            <w:pPr>
              <w:spacing w:after="0" w:line="240" w:lineRule="auto"/>
              <w:jc w:val="right"/>
            </w:pPr>
            <w:r/>
            <w:r>
              <w:rPr>
                <w:sz w:val="18"/>
              </w:rPr>
              <w:t>38.2x</w:t>
            </w:r>
          </w:p>
        </w:tc>
      </w:tr>
      <w:tr>
        <w:trPr>
          <w:cantSplit/>
        </w:trPr>
        <w:tc>
          <w:tcPr>
            <w:tcW w:type="dxa" w:w="1134"/>
            <w:shd w:val="clear" w:color="auto" w:fill="F2F4F7"/>
          </w:tcPr>
          <w:p>
            <w:pPr>
              <w:spacing w:after="0" w:line="240" w:lineRule="auto"/>
            </w:pPr>
            <w:r/>
            <w:r>
              <w:rPr>
                <w:sz w:val="18"/>
              </w:rPr>
              <w:t>36</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-2.1x</w:t>
            </w:r>
          </w:p>
        </w:tc>
        <w:tc>
          <w:tcPr>
            <w:tcW w:type="dxa" w:w="2041"/>
            <w:shd w:val="clear" w:color="auto" w:fill="F2F4F7"/>
          </w:tcPr>
          <w:p>
            <w:pPr>
              <w:spacing w:after="0" w:line="240" w:lineRule="auto"/>
              <w:jc w:val="right"/>
            </w:pPr>
            <w:r/>
            <w:r>
              <w:rPr>
                <w:sz w:val="18"/>
              </w:rPr>
              <w:t>35.2x</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-9.0x</w:t>
            </w:r>
          </w:p>
        </w:tc>
        <w:tc>
          <w:tcPr>
            <w:tcW w:type="dxa" w:w="2041"/>
          </w:tcPr>
          <w:p>
            <w:pPr>
              <w:spacing w:after="0" w:line="240" w:lineRule="auto"/>
              <w:jc w:val="right"/>
            </w:pPr>
            <w:r/>
            <w:r>
              <w:rPr>
                <w:sz w:val="18"/>
              </w:rPr>
              <w:t>25.2x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-6.8x</w:t>
            </w:r>
          </w:p>
        </w:tc>
        <w:tc>
          <w:tcPr>
            <w:tcW w:type="dxa" w:w="2041"/>
            <w:shd w:val="clear" w:color="auto" w:fill="F2F4F7"/>
          </w:tcPr>
          <w:p>
            <w:pPr>
              <w:spacing w:after="0" w:line="240" w:lineRule="auto"/>
              <w:jc w:val="right"/>
            </w:pPr>
            <w:r/>
            <w:r>
              <w:rPr>
                <w:sz w:val="18"/>
              </w:rPr>
              <w:t>17.3x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2.6x</w:t>
            </w:r>
          </w:p>
        </w:tc>
        <w:tc>
          <w:tcPr>
            <w:tcW w:type="dxa" w:w="2041"/>
          </w:tcPr>
          <w:p>
            <w:pPr>
              <w:spacing w:after="0" w:line="240" w:lineRule="auto"/>
              <w:jc w:val="right"/>
            </w:pPr>
            <w:r/>
            <w:r>
              <w:rPr>
                <w:sz w:val="18"/>
              </w:rPr>
              <w:t>18.9x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2.4x</w:t>
            </w:r>
          </w:p>
        </w:tc>
        <w:tc>
          <w:tcPr>
            <w:tcW w:type="dxa" w:w="2041"/>
            <w:shd w:val="clear" w:color="auto" w:fill="F2F4F7"/>
          </w:tcPr>
          <w:p>
            <w:pPr>
              <w:spacing w:after="0" w:line="240" w:lineRule="auto"/>
              <w:jc w:val="right"/>
            </w:pPr>
            <w:r/>
            <w:r>
              <w:rPr>
                <w:sz w:val="18"/>
              </w:rPr>
              <w:t>20.3x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3.8x</w:t>
            </w:r>
          </w:p>
        </w:tc>
        <w:tc>
          <w:tcPr>
            <w:tcW w:type="dxa" w:w="2041"/>
          </w:tcPr>
          <w:p>
            <w:pPr>
              <w:spacing w:after="0" w:line="240" w:lineRule="auto"/>
              <w:jc w:val="right"/>
            </w:pPr>
            <w:r/>
            <w:r>
              <w:rPr>
                <w:sz w:val="18"/>
              </w:rPr>
              <w:t>23.1x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3.3x</w:t>
            </w:r>
          </w:p>
        </w:tc>
        <w:tc>
          <w:tcPr>
            <w:tcW w:type="dxa" w:w="2041"/>
            <w:shd w:val="clear" w:color="auto" w:fill="F2F4F7"/>
          </w:tcPr>
          <w:p>
            <w:pPr>
              <w:spacing w:after="0" w:line="240" w:lineRule="auto"/>
              <w:jc w:val="right"/>
            </w:pPr>
            <w:r/>
            <w:r>
              <w:rPr>
                <w:sz w:val="18"/>
              </w:rPr>
              <w:t>25.4x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2.7x</w:t>
            </w:r>
          </w:p>
        </w:tc>
        <w:tc>
          <w:tcPr>
            <w:tcW w:type="dxa" w:w="2041"/>
          </w:tcPr>
          <w:p>
            <w:pPr>
              <w:spacing w:after="0" w:line="240" w:lineRule="auto"/>
              <w:jc w:val="right"/>
            </w:pPr>
            <w:r/>
            <w:r>
              <w:rPr>
                <w:sz w:val="18"/>
              </w:rPr>
              <w:t>27.1x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2.0x</w:t>
            </w:r>
          </w:p>
        </w:tc>
        <w:tc>
          <w:tcPr>
            <w:tcW w:type="dxa" w:w="2041"/>
            <w:shd w:val="clear" w:color="auto" w:fill="F2F4F7"/>
          </w:tcPr>
          <w:p>
            <w:pPr>
              <w:spacing w:after="0" w:line="240" w:lineRule="auto"/>
              <w:jc w:val="right"/>
            </w:pPr>
            <w:r/>
            <w:r>
              <w:rPr>
                <w:sz w:val="18"/>
              </w:rPr>
              <w:t>28.1x</w:t>
            </w:r>
          </w:p>
        </w:tc>
      </w:tr>
    </w:tbl>
    <w:p>
      <w:pPr>
        <w:spacing w:after="80"/>
      </w:pPr>
    </w:p>
    <w:p>
      <w:r>
        <w:rPr>
          <w:b w:val="0"/>
          <w:i w:val="0"/>
        </w:rPr>
        <w:t>Coverage on net cash flow alone is below the 1.5x threshold in 3 of 12 quarters, because instalments fall in the construction peak and in the quarters after handover when collections are thin. "Cash available" adds pooled project cash, including the ticket and earlier collections, and is at least 2.9x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-860</w:t>
            </w:r>
          </w:p>
        </w:tc>
        <w:tc>
          <w:tcPr>
            <w:tcW w:type="dxa" w:w="1020"/>
          </w:tcPr>
          <w:p>
            <w:pPr>
              <w:spacing w:after="0" w:line="240" w:lineRule="auto"/>
              <w:jc w:val="right"/>
            </w:pPr>
            <w:r/>
            <w:r>
              <w:rPr>
                <w:sz w:val="18"/>
              </w:rPr>
              <w:t>60</w:t>
            </w:r>
          </w:p>
        </w:tc>
      </w:tr>
      <w:tr>
        <w:trPr>
          <w:cantSplit/>
        </w:trPr>
        <w:tc>
          <w:tcPr>
            <w:tcW w:type="dxa" w:w="3515"/>
            <w:shd w:val="clear" w:color="auto" w:fill="F2F4F7"/>
          </w:tcPr>
          <w:p>
            <w:pPr>
              <w:spacing w:after="0" w:line="240" w:lineRule="auto"/>
            </w:pPr>
            <w:r/>
            <w:r>
              <w:rPr>
                <w:sz w:val="18"/>
              </w:rPr>
              <w:t>S2 14.8%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-850</w:t>
            </w:r>
          </w:p>
        </w:tc>
        <w:tc>
          <w:tcPr>
            <w:tcW w:type="dxa" w:w="1020"/>
            <w:shd w:val="clear" w:color="auto" w:fill="F2F4F7"/>
          </w:tcPr>
          <w:p>
            <w:pPr>
              <w:spacing w:after="0" w:line="240" w:lineRule="auto"/>
              <w:jc w:val="right"/>
            </w:pPr>
            <w:r/>
            <w:r>
              <w:rPr>
                <w:sz w:val="18"/>
              </w:rPr>
              <w:t>63</w:t>
            </w:r>
          </w:p>
        </w:tc>
      </w:tr>
      <w:tr>
        <w:trPr>
          <w:cantSplit/>
        </w:trPr>
        <w:tc>
          <w:tcPr>
            <w:tcW w:type="dxa" w:w="3515"/>
          </w:tcPr>
          <w:p>
            <w:pPr>
              <w:spacing w:after="0" w:line="240" w:lineRule="auto"/>
            </w:pPr>
            <w:r/>
            <w:r>
              <w:rPr>
                <w:sz w:val="18"/>
              </w:rPr>
              <w:t>S3 Fixed 1.8x plus 2.2%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-852</w:t>
            </w:r>
          </w:p>
        </w:tc>
        <w:tc>
          <w:tcPr>
            <w:tcW w:type="dxa" w:w="1020"/>
          </w:tcPr>
          <w:p>
            <w:pPr>
              <w:spacing w:after="0" w:line="240" w:lineRule="auto"/>
              <w:jc w:val="right"/>
            </w:pPr>
            <w:r/>
            <w:r>
              <w:rPr>
                <w:sz w:val="18"/>
              </w:rPr>
              <w:t>60</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351</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113</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232</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469</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588</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244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143</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49</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-38</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294</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237</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294</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239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134</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42; units can be registered and sold from handover. The base case assumes sale over four quarters from month 45.</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24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24</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42; for Option A, payback in the base case is month 48.</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143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57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7.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350.6</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-27.0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